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  <w:t>高青县教育局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  <w:lang w:val="en-US" w:eastAsia="zh-CN"/>
        </w:rPr>
        <w:t>10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  <w:t>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"http://www.gaoqing.gov.cn/art/2011/3/31/art_4654_1218903.html"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www.gaoqing.gov.cn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）下载。如对本报告有任何疑问，请与高青县教育局联系（地址：高青县青城路65号；邮编：256300；电话：0533-6973600；传真：0533-6973592；电子邮箱：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"mailto:sdgqjy@126.com"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sdgqjy@126.com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二、政府信息公开的组织领导和制度建设情况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我局严格按照我县制定的政府信息公开工作相关规章制度开展工作。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三、主动公开政府信息以及公开平台建设情况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 2010年，我局主动公开政府信息59条。其中，机构职能类信息8条；政策法规类信息11条；规划计划类信息3条；业务工作类信息34条；统计数据类信息0条；其它类信息3条。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政府网站。市民通过县政府门户网站的“政府信息公开”栏目可查看我局主动公开的政府信息。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政府信息查阅室。局办公室是我局信息查阅室及资料索取点，该科室明确一名工作人员为群众查阅信息服务。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2010年度，未有公民、法人或其他组织提出政府信息公开申请。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2010年度，无政府信息公开收费及减免情况。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2010年度，我局没有发生因政府信息公开申请行政复议、提起行政诉讼的情况。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七、政府信息公开保密审查及监督检查情况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49"/>
    <w:rsid w:val="001F0F59"/>
    <w:rsid w:val="005A1965"/>
    <w:rsid w:val="00722B18"/>
    <w:rsid w:val="00A1104B"/>
    <w:rsid w:val="00A47F49"/>
    <w:rsid w:val="00C050E3"/>
    <w:rsid w:val="00DE2590"/>
    <w:rsid w:val="00FC0DA2"/>
    <w:rsid w:val="084C6938"/>
    <w:rsid w:val="210B6324"/>
    <w:rsid w:val="4B4851A6"/>
    <w:rsid w:val="542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296</Words>
  <Characters>1691</Characters>
  <Lines>14</Lines>
  <Paragraphs>3</Paragraphs>
  <TotalTime>3</TotalTime>
  <ScaleCrop>false</ScaleCrop>
  <LinksUpToDate>false</LinksUpToDate>
  <CharactersWithSpaces>1984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2020-06-29T01:41:00Z</dcterms:created>
  <dc:creator>PC</dc:creator>
  <cp:lastModifiedBy>黑甜乡и</cp:lastModifiedBy>
  <dcterms:modified xsi:type="dcterms:W3CDTF">2021-05-28T09:51:24Z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5B7CDC5F9770495BA9301BBDBCBF7CEF</vt:lpwstr>
  </property>
</Properties>
</file>