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46129">
      <w:pPr>
        <w:spacing w:line="560" w:lineRule="exact"/>
        <w:ind w:firstLine="0"/>
        <w:jc w:val="center"/>
        <w:rPr>
          <w:rFonts w:ascii="方正小标宋简体" w:hAnsi="黑体" w:eastAsia="方正小标宋简体"/>
          <w:sz w:val="44"/>
          <w:szCs w:val="44"/>
        </w:rPr>
      </w:pPr>
      <w:r>
        <w:rPr>
          <w:rFonts w:hint="eastAsia" w:ascii="方正小标宋简体" w:hAnsi="黑体" w:eastAsia="方正小标宋简体"/>
          <w:sz w:val="44"/>
          <w:szCs w:val="44"/>
        </w:rPr>
        <w:t>高青县教育和体育局</w:t>
      </w:r>
    </w:p>
    <w:p w14:paraId="5138B413">
      <w:pPr>
        <w:spacing w:line="560" w:lineRule="exact"/>
        <w:ind w:firstLine="0"/>
        <w:jc w:val="center"/>
        <w:rPr>
          <w:rFonts w:ascii="方正小标宋简体" w:hAnsi="黑体" w:eastAsia="方正小标宋简体"/>
          <w:sz w:val="44"/>
          <w:szCs w:val="44"/>
        </w:rPr>
      </w:pPr>
      <w:r>
        <w:rPr>
          <w:rFonts w:hint="eastAsia" w:ascii="方正小标宋简体" w:hAnsi="黑体" w:eastAsia="方正小标宋简体"/>
          <w:sz w:val="44"/>
          <w:szCs w:val="44"/>
        </w:rPr>
        <w:t>2022年政府信息公开工作年度报告</w:t>
      </w:r>
    </w:p>
    <w:p w14:paraId="35542DB2">
      <w:pPr>
        <w:spacing w:line="560" w:lineRule="exact"/>
        <w:ind w:firstLine="640" w:firstLineChars="200"/>
        <w:rPr>
          <w:rFonts w:ascii="仿宋_GB2312" w:eastAsia="仿宋_GB2312"/>
        </w:rPr>
      </w:pPr>
    </w:p>
    <w:p w14:paraId="5B00540B">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14:paraId="713589BF">
      <w:pPr>
        <w:spacing w:line="560" w:lineRule="exact"/>
        <w:ind w:firstLine="640" w:firstLineChars="200"/>
        <w:rPr>
          <w:rFonts w:ascii="仿宋_GB2312" w:hAnsi="黑体" w:eastAsia="仿宋_GB2312"/>
        </w:rPr>
      </w:pPr>
      <w:r>
        <w:rPr>
          <w:rFonts w:hint="eastAsia" w:ascii="仿宋_GB2312" w:eastAsia="仿宋_GB2312"/>
        </w:rPr>
        <w:t>报告中所列数据统计期限自2022年1月1日始，至2022年12月31日止。报告电子版可在高青县人民政府门户网站（www.gaoqing.gov.cn）查阅和下载。如对报告内容有疑问，请与高青县教育和体育局办公室联系（地址：山东省淄博市高青县青城路65号；邮编：256300；电话：0533-6973600；传真：0533-6973592）。</w:t>
      </w:r>
    </w:p>
    <w:p w14:paraId="2832F010">
      <w:pPr>
        <w:spacing w:line="560" w:lineRule="exact"/>
        <w:ind w:firstLine="640" w:firstLineChars="200"/>
        <w:rPr>
          <w:rFonts w:ascii="黑体" w:hAnsi="黑体" w:eastAsia="黑体"/>
          <w:szCs w:val="32"/>
        </w:rPr>
      </w:pPr>
      <w:r>
        <w:rPr>
          <w:rFonts w:hint="eastAsia" w:ascii="黑体" w:hAnsi="黑体" w:eastAsia="黑体"/>
          <w:szCs w:val="32"/>
        </w:rPr>
        <w:t>一、总体情况</w:t>
      </w:r>
    </w:p>
    <w:p w14:paraId="4D4CE93E">
      <w:pPr>
        <w:spacing w:line="560" w:lineRule="exact"/>
        <w:jc w:val="left"/>
        <w:rPr>
          <w:rFonts w:ascii="楷体_GB2312" w:eastAsia="楷体_GB2312"/>
        </w:rPr>
      </w:pPr>
      <w:r>
        <w:rPr>
          <w:rFonts w:ascii="仿宋_GB2312" w:eastAsia="仿宋_GB2312"/>
          <w:szCs w:val="32"/>
        </w:rPr>
        <w:t>202</w:t>
      </w:r>
      <w:r>
        <w:rPr>
          <w:rFonts w:hint="eastAsia" w:ascii="仿宋_GB2312" w:eastAsia="仿宋_GB2312"/>
          <w:szCs w:val="32"/>
        </w:rPr>
        <w:t>2年，高青县教育和体育局坚持以习近平新时代中国特色社会主义思想为指导，认真落实国家和省市县政务公开工作部署，</w:t>
      </w:r>
      <w:r>
        <w:rPr>
          <w:rFonts w:ascii="仿宋_GB2312" w:eastAsia="仿宋_GB2312"/>
          <w:szCs w:val="32"/>
        </w:rPr>
        <w:t>进一步完善工作机制和公开程序</w:t>
      </w:r>
      <w:r>
        <w:rPr>
          <w:rFonts w:hint="eastAsia" w:ascii="仿宋_GB2312" w:eastAsia="仿宋_GB2312"/>
          <w:szCs w:val="32"/>
        </w:rPr>
        <w:t>，</w:t>
      </w:r>
      <w:r>
        <w:rPr>
          <w:rFonts w:ascii="仿宋_GB2312" w:eastAsia="仿宋_GB2312"/>
          <w:szCs w:val="32"/>
        </w:rPr>
        <w:t>切实提高</w:t>
      </w:r>
      <w:r>
        <w:rPr>
          <w:rFonts w:hint="eastAsia" w:ascii="仿宋_GB2312" w:eastAsia="仿宋_GB2312"/>
          <w:szCs w:val="32"/>
        </w:rPr>
        <w:t>了</w:t>
      </w:r>
      <w:r>
        <w:rPr>
          <w:rFonts w:ascii="仿宋_GB2312" w:eastAsia="仿宋_GB2312"/>
          <w:szCs w:val="32"/>
        </w:rPr>
        <w:t>教育和体育工作透明度和公信力。</w:t>
      </w:r>
    </w:p>
    <w:p w14:paraId="37CBC0CD">
      <w:pPr>
        <w:spacing w:line="560" w:lineRule="exact"/>
        <w:jc w:val="left"/>
        <w:rPr>
          <w:rFonts w:ascii="楷体_GB2312" w:eastAsia="楷体_GB2312"/>
        </w:rPr>
      </w:pPr>
      <w:r>
        <w:rPr>
          <w:rFonts w:hint="eastAsia" w:ascii="楷体_GB2312" w:eastAsia="楷体_GB2312"/>
        </w:rPr>
        <w:t>（一）主动公开</w:t>
      </w:r>
    </w:p>
    <w:p w14:paraId="0BC844FB">
      <w:pPr>
        <w:spacing w:line="560" w:lineRule="exact"/>
        <w:ind w:firstLine="640" w:firstLineChars="200"/>
        <w:rPr>
          <w:rFonts w:ascii="仿宋_GB2312" w:eastAsia="仿宋_GB2312"/>
          <w:szCs w:val="32"/>
        </w:rPr>
      </w:pPr>
      <w:r>
        <w:rPr>
          <w:rFonts w:hint="eastAsia" w:ascii="仿宋_GB2312" w:eastAsia="仿宋_GB2312"/>
          <w:szCs w:val="32"/>
        </w:rPr>
        <w:t>坚持以《中华人民共和国政府信息公开条例》为导向，制定《高青县教育和体育局2022年</w:t>
      </w:r>
      <w:bookmarkStart w:id="0" w:name="_GoBack"/>
      <w:bookmarkEnd w:id="0"/>
      <w:r>
        <w:rPr>
          <w:rFonts w:hint="eastAsia" w:ascii="仿宋_GB2312" w:eastAsia="仿宋_GB2312"/>
          <w:szCs w:val="32"/>
        </w:rPr>
        <w:t>政务公开工作实施方案》，全力推进政务公开工作开展。2022年主动公开政府信息1676条，主要包括机构职能信息</w:t>
      </w:r>
      <w:r>
        <w:rPr>
          <w:rFonts w:hint="eastAsia" w:ascii="仿宋_GB2312" w:eastAsia="仿宋_GB2312"/>
          <w:color w:val="000000" w:themeColor="text1"/>
          <w:szCs w:val="32"/>
          <w14:textFill>
            <w14:solidFill>
              <w14:schemeClr w14:val="tx1"/>
            </w14:solidFill>
          </w14:textFill>
        </w:rPr>
        <w:t>1</w:t>
      </w:r>
      <w:r>
        <w:rPr>
          <w:rFonts w:hint="eastAsia" w:ascii="仿宋_GB2312" w:eastAsia="仿宋_GB2312"/>
          <w:szCs w:val="32"/>
        </w:rPr>
        <w:t>项、“双随机、一公开”5项、财政预决算信息51项、重要部署执行15项、行政执法公示12项，建议提案办理18项，公共文化体育8项、义务教育信息160余项，学前教育信息5项，职业教育信息2项，特殊教育信息2项，其他信息1402余项，相较于2021年增加1200余条。坚持“发布解读必须同步”原则，2022年共发布5篇解读材料，均从政策背景、决策依据、出台目的等方面进行实质性解读。做好回应关切，办理政府信箱59件，对教学质量、教师招聘、校园安全等问题积极做出回应。</w:t>
      </w:r>
    </w:p>
    <w:p w14:paraId="4E7E7090">
      <w:pPr>
        <w:spacing w:line="560" w:lineRule="exact"/>
        <w:ind w:firstLine="640" w:firstLineChars="200"/>
        <w:rPr>
          <w:rFonts w:ascii="楷体_GB2312" w:eastAsia="楷体_GB2312"/>
        </w:rPr>
      </w:pPr>
      <w:r>
        <w:rPr>
          <w:rFonts w:ascii="仿宋_GB2312" w:eastAsia="仿宋_GB2312"/>
          <w:szCs w:val="32"/>
        </w:rPr>
        <w:drawing>
          <wp:anchor distT="0" distB="0" distL="114300" distR="114300" simplePos="0" relativeHeight="251659264" behindDoc="0" locked="0" layoutInCell="1" allowOverlap="1">
            <wp:simplePos x="0" y="0"/>
            <wp:positionH relativeFrom="column">
              <wp:posOffset>-13335</wp:posOffset>
            </wp:positionH>
            <wp:positionV relativeFrom="paragraph">
              <wp:posOffset>91440</wp:posOffset>
            </wp:positionV>
            <wp:extent cx="5570220" cy="3349625"/>
            <wp:effectExtent l="0" t="0" r="11430" b="317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570220" cy="3349625"/>
                    </a:xfrm>
                    <a:prstGeom prst="rect">
                      <a:avLst/>
                    </a:prstGeom>
                    <a:noFill/>
                    <a:ln>
                      <a:noFill/>
                    </a:ln>
                  </pic:spPr>
                </pic:pic>
              </a:graphicData>
            </a:graphic>
          </wp:anchor>
        </w:drawing>
      </w:r>
      <w:r>
        <w:rPr>
          <w:rFonts w:hint="eastAsia" w:ascii="楷体_GB2312" w:eastAsia="楷体_GB2312"/>
        </w:rPr>
        <w:t>（二）依申请公开</w:t>
      </w:r>
    </w:p>
    <w:p w14:paraId="70D0EB50">
      <w:pPr>
        <w:spacing w:line="560" w:lineRule="exact"/>
        <w:ind w:firstLine="640" w:firstLineChars="200"/>
        <w:rPr>
          <w:rFonts w:ascii="仿宋_GB2312" w:eastAsia="仿宋_GB2312"/>
          <w:szCs w:val="32"/>
        </w:rPr>
      </w:pPr>
      <w:r>
        <w:rPr>
          <w:rFonts w:hint="eastAsia" w:ascii="仿宋_GB2312" w:eastAsia="仿宋_GB2312"/>
          <w:szCs w:val="32"/>
        </w:rPr>
        <w:t>2022年度本机关未收到政府信息公开申请，上年度结转0件。本机关依申请公开政府信息未收取任何费用，未因政府信息公开被申请行政复议、提起行政诉讼。</w:t>
      </w:r>
    </w:p>
    <w:p w14:paraId="74A40FA3">
      <w:pPr>
        <w:spacing w:line="560" w:lineRule="exact"/>
        <w:jc w:val="left"/>
        <w:rPr>
          <w:rFonts w:ascii="楷体_GB2312" w:eastAsia="楷体_GB2312"/>
        </w:rPr>
      </w:pPr>
      <w:r>
        <w:rPr>
          <w:rFonts w:hint="eastAsia" w:ascii="楷体_GB2312" w:eastAsia="楷体_GB2312"/>
        </w:rPr>
        <w:t>（三）政府信息管理</w:t>
      </w:r>
    </w:p>
    <w:p w14:paraId="3A849D76">
      <w:pPr>
        <w:spacing w:line="560" w:lineRule="exact"/>
        <w:ind w:firstLine="640" w:firstLineChars="200"/>
        <w:rPr>
          <w:rFonts w:hint="eastAsia" w:ascii="楷体_GB2312" w:eastAsia="楷体_GB2312"/>
        </w:rPr>
      </w:pPr>
      <w:r>
        <w:rPr>
          <w:rFonts w:hint="eastAsia" w:ascii="仿宋_GB2312" w:eastAsia="仿宋_GB2312"/>
          <w:szCs w:val="32"/>
        </w:rPr>
        <w:t>严格落实政府信息公开审查制度，强化信息发布事前审查和事后检查，对需公开发布的信息经科室审核和保密审查后，由分管负责人签署审批意见，再进行对外发布。修编政府信息公开指南、主动公开基本目录，并对县教育信息领域公开目录进行了细化和完善，严格按照目录要求进行标准化规范化公开。</w:t>
      </w:r>
    </w:p>
    <w:p w14:paraId="69636760">
      <w:pPr>
        <w:spacing w:line="560" w:lineRule="exact"/>
        <w:jc w:val="left"/>
        <w:rPr>
          <w:rFonts w:ascii="宋体" w:hAnsi="宋体" w:eastAsia="宋体" w:cs="宋体"/>
          <w:color w:val="333333"/>
          <w:sz w:val="24"/>
          <w:szCs w:val="24"/>
          <w:shd w:val="clear" w:color="auto" w:fill="FFFFFF"/>
        </w:rPr>
      </w:pPr>
      <w:r>
        <w:rPr>
          <w:rFonts w:hint="eastAsia" w:ascii="楷体_GB2312" w:eastAsia="楷体_GB2312"/>
        </w:rPr>
        <w:t>（四）政府信息公开平台建设</w:t>
      </w:r>
    </w:p>
    <w:p w14:paraId="0F8856F4">
      <w:pPr>
        <w:spacing w:line="560" w:lineRule="exact"/>
        <w:jc w:val="left"/>
        <w:rPr>
          <w:rFonts w:hint="eastAsia" w:ascii="仿宋" w:hAnsi="仿宋" w:eastAsia="仿宋" w:cs="仿宋"/>
        </w:rPr>
      </w:pPr>
      <w:r>
        <w:rPr>
          <w:rFonts w:hint="eastAsia" w:ascii="仿宋" w:hAnsi="仿宋" w:eastAsia="仿宋" w:cs="仿宋"/>
        </w:rPr>
        <w:t>通过“高青教育发布”微信公众号、高青教育网站以及各学校的校园信息平台及时公布相关信息。及时调整优化信息公开网站栏目组配，目前“教育信息”专栏涵盖了义务教育、学前教育、职业教育、特殊教育、民办教育、教师管理等11个栏目。</w:t>
      </w:r>
    </w:p>
    <w:p w14:paraId="3A8DB80F">
      <w:pPr>
        <w:spacing w:line="560" w:lineRule="exact"/>
        <w:jc w:val="left"/>
        <w:rPr>
          <w:rFonts w:ascii="仿宋_GB2312" w:eastAsia="仿宋_GB2312"/>
          <w:color w:val="FF0000"/>
          <w:szCs w:val="32"/>
        </w:rPr>
      </w:pPr>
      <w:r>
        <w:rPr>
          <w:rFonts w:hint="eastAsia" w:ascii="仿宋" w:hAnsi="仿宋" w:eastAsia="仿宋" w:cs="仿宋"/>
        </w:rPr>
        <w:drawing>
          <wp:anchor distT="0" distB="0" distL="114300" distR="114300" simplePos="0" relativeHeight="251660288" behindDoc="0" locked="0" layoutInCell="1" allowOverlap="1">
            <wp:simplePos x="0" y="0"/>
            <wp:positionH relativeFrom="column">
              <wp:posOffset>15240</wp:posOffset>
            </wp:positionH>
            <wp:positionV relativeFrom="paragraph">
              <wp:posOffset>32385</wp:posOffset>
            </wp:positionV>
            <wp:extent cx="5269230" cy="3700145"/>
            <wp:effectExtent l="0" t="0" r="7620" b="14605"/>
            <wp:wrapTopAndBottom/>
            <wp:docPr id="1" name="图片 1" descr="58984f1a0ae57dc7868a25b0aaefd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8984f1a0ae57dc7868a25b0aaefd0b"/>
                    <pic:cNvPicPr>
                      <a:picLocks noChangeAspect="1"/>
                    </pic:cNvPicPr>
                  </pic:nvPicPr>
                  <pic:blipFill>
                    <a:blip r:embed="rId7"/>
                    <a:stretch>
                      <a:fillRect/>
                    </a:stretch>
                  </pic:blipFill>
                  <pic:spPr>
                    <a:xfrm>
                      <a:off x="0" y="0"/>
                      <a:ext cx="5269230" cy="3700145"/>
                    </a:xfrm>
                    <a:prstGeom prst="rect">
                      <a:avLst/>
                    </a:prstGeom>
                  </pic:spPr>
                </pic:pic>
              </a:graphicData>
            </a:graphic>
          </wp:anchor>
        </w:drawing>
      </w:r>
      <w:r>
        <w:rPr>
          <w:rFonts w:hint="eastAsia" w:ascii="楷体_GB2312" w:eastAsia="楷体_GB2312"/>
        </w:rPr>
        <w:t>（五）监督保障</w:t>
      </w:r>
    </w:p>
    <w:p w14:paraId="249DB9EA">
      <w:pPr>
        <w:spacing w:line="360" w:lineRule="auto"/>
        <w:ind w:firstLine="640" w:firstLineChars="200"/>
        <w:rPr>
          <w:rFonts w:ascii="仿宋_GB2312" w:eastAsia="仿宋_GB2312"/>
          <w:szCs w:val="32"/>
        </w:rPr>
      </w:pPr>
      <w:r>
        <w:rPr>
          <w:rFonts w:hint="eastAsia" w:eastAsia="仿宋_GB2312"/>
          <w:szCs w:val="32"/>
        </w:rPr>
        <w:t>调整政务公开工作领导小组，主要负责人担任组长，不定期召开会议研究政务公开工作。办公室具体负责政府信息公开内容维护、组织协调等日常工作，并配备专职人员1名。制定政务公开工作培训计划，</w:t>
      </w:r>
      <w:r>
        <w:rPr>
          <w:rFonts w:hint="eastAsia" w:ascii="仿宋_GB2312" w:eastAsia="仿宋_GB2312"/>
          <w:szCs w:val="32"/>
        </w:rPr>
        <w:t>2022年共组织政务公开培训4次，切实提升了我局工作人员政务公开工作的能力素质。</w:t>
      </w:r>
    </w:p>
    <w:p w14:paraId="15FD1650">
      <w:pPr>
        <w:spacing w:line="360" w:lineRule="auto"/>
        <w:ind w:firstLine="640" w:firstLineChars="200"/>
        <w:rPr>
          <w:rFonts w:ascii="仿宋_GB2312" w:eastAsia="仿宋_GB2312"/>
          <w:szCs w:val="32"/>
        </w:rPr>
      </w:pPr>
    </w:p>
    <w:p w14:paraId="1B2FB06A">
      <w:pPr>
        <w:spacing w:line="360" w:lineRule="auto"/>
        <w:ind w:firstLine="640" w:firstLineChars="200"/>
        <w:rPr>
          <w:rFonts w:ascii="仿宋_GB2312" w:eastAsia="仿宋_GB2312"/>
          <w:szCs w:val="32"/>
        </w:rPr>
      </w:pPr>
    </w:p>
    <w:p w14:paraId="6608768F">
      <w:pPr>
        <w:spacing w:line="360" w:lineRule="auto"/>
        <w:ind w:firstLine="640" w:firstLineChars="200"/>
        <w:rPr>
          <w:rFonts w:ascii="仿宋_GB2312" w:eastAsia="仿宋_GB2312"/>
          <w:szCs w:val="32"/>
        </w:rPr>
      </w:pPr>
    </w:p>
    <w:p w14:paraId="5DED8D28">
      <w:pPr>
        <w:spacing w:line="360" w:lineRule="auto"/>
        <w:ind w:firstLine="640" w:firstLineChars="200"/>
        <w:rPr>
          <w:rFonts w:hint="eastAsia" w:ascii="仿宋_GB2312" w:eastAsia="仿宋_GB2312"/>
          <w:szCs w:val="32"/>
        </w:rPr>
      </w:pPr>
    </w:p>
    <w:p w14:paraId="278AFF29">
      <w:pPr>
        <w:spacing w:line="360" w:lineRule="auto"/>
        <w:ind w:firstLine="640" w:firstLineChars="200"/>
        <w:rPr>
          <w:rFonts w:hint="eastAsia" w:ascii="仿宋_GB2312" w:eastAsia="仿宋_GB2312"/>
          <w:szCs w:val="32"/>
        </w:rPr>
      </w:pPr>
    </w:p>
    <w:p w14:paraId="22ED3E89">
      <w:pPr>
        <w:spacing w:line="360" w:lineRule="auto"/>
        <w:ind w:firstLine="640" w:firstLineChars="200"/>
        <w:rPr>
          <w:rFonts w:hint="eastAsia" w:ascii="仿宋_GB2312" w:eastAsia="仿宋_GB2312"/>
          <w:szCs w:val="32"/>
        </w:rPr>
      </w:pPr>
    </w:p>
    <w:p w14:paraId="1F62587E">
      <w:pPr>
        <w:spacing w:line="360" w:lineRule="auto"/>
        <w:ind w:firstLine="640" w:firstLineChars="200"/>
        <w:rPr>
          <w:rFonts w:hint="eastAsia" w:ascii="仿宋_GB2312" w:eastAsia="仿宋_GB2312"/>
          <w:szCs w:val="32"/>
        </w:rPr>
      </w:pPr>
    </w:p>
    <w:p w14:paraId="226642A4">
      <w:pPr>
        <w:spacing w:line="360" w:lineRule="auto"/>
        <w:ind w:firstLine="640" w:firstLineChars="200"/>
        <w:rPr>
          <w:rFonts w:hint="eastAsia" w:ascii="仿宋_GB2312" w:eastAsia="仿宋_GB2312"/>
          <w:szCs w:val="32"/>
        </w:rPr>
      </w:pPr>
    </w:p>
    <w:p w14:paraId="55F37468">
      <w:pPr>
        <w:spacing w:line="360" w:lineRule="auto"/>
        <w:ind w:firstLine="640" w:firstLineChars="200"/>
        <w:rPr>
          <w:rFonts w:hint="eastAsia" w:ascii="仿宋_GB2312" w:eastAsia="仿宋_GB2312"/>
          <w:szCs w:val="32"/>
        </w:rPr>
      </w:pPr>
    </w:p>
    <w:p w14:paraId="313CB804">
      <w:pPr>
        <w:spacing w:line="360" w:lineRule="auto"/>
        <w:ind w:firstLine="640" w:firstLineChars="200"/>
        <w:rPr>
          <w:rFonts w:hint="eastAsia" w:ascii="仿宋_GB2312" w:eastAsia="仿宋_GB2312"/>
          <w:szCs w:val="32"/>
        </w:rPr>
      </w:pPr>
    </w:p>
    <w:p w14:paraId="4BCD4173">
      <w:pPr>
        <w:spacing w:line="360" w:lineRule="auto"/>
        <w:ind w:firstLine="640" w:firstLineChars="200"/>
        <w:rPr>
          <w:rFonts w:hint="eastAsia" w:ascii="仿宋_GB2312" w:eastAsia="仿宋_GB2312"/>
          <w:szCs w:val="32"/>
        </w:rPr>
      </w:pPr>
    </w:p>
    <w:p w14:paraId="67C668B8">
      <w:pPr>
        <w:spacing w:line="360" w:lineRule="auto"/>
        <w:ind w:firstLine="640" w:firstLineChars="200"/>
        <w:rPr>
          <w:rFonts w:hint="eastAsia" w:ascii="仿宋_GB2312" w:eastAsia="仿宋_GB2312"/>
          <w:szCs w:val="32"/>
        </w:rPr>
      </w:pPr>
    </w:p>
    <w:p w14:paraId="009DC9B1">
      <w:pPr>
        <w:spacing w:line="360" w:lineRule="auto"/>
        <w:ind w:firstLine="640" w:firstLineChars="200"/>
        <w:rPr>
          <w:rFonts w:hint="eastAsia" w:ascii="仿宋_GB2312" w:eastAsia="仿宋_GB2312"/>
          <w:szCs w:val="32"/>
        </w:rPr>
      </w:pPr>
    </w:p>
    <w:p w14:paraId="52D5F279">
      <w:pPr>
        <w:spacing w:line="360" w:lineRule="auto"/>
        <w:ind w:firstLine="640" w:firstLineChars="200"/>
        <w:rPr>
          <w:rFonts w:hint="eastAsia" w:ascii="仿宋_GB2312" w:eastAsia="仿宋_GB2312"/>
          <w:szCs w:val="32"/>
        </w:rPr>
      </w:pPr>
    </w:p>
    <w:p w14:paraId="33FAAA06">
      <w:pPr>
        <w:spacing w:line="360" w:lineRule="auto"/>
        <w:ind w:firstLine="640" w:firstLineChars="200"/>
        <w:rPr>
          <w:rFonts w:hint="eastAsia" w:ascii="仿宋_GB2312" w:eastAsia="仿宋_GB2312"/>
          <w:szCs w:val="32"/>
        </w:rPr>
      </w:pPr>
    </w:p>
    <w:p w14:paraId="6EEEF5B6">
      <w:pPr>
        <w:spacing w:line="360" w:lineRule="auto"/>
        <w:ind w:firstLine="640" w:firstLineChars="200"/>
        <w:rPr>
          <w:rFonts w:hint="eastAsia" w:ascii="仿宋_GB2312" w:eastAsia="仿宋_GB2312"/>
          <w:szCs w:val="32"/>
        </w:rPr>
      </w:pPr>
    </w:p>
    <w:p w14:paraId="00E4EAD6">
      <w:pPr>
        <w:spacing w:line="360" w:lineRule="auto"/>
        <w:ind w:firstLine="640" w:firstLineChars="200"/>
        <w:rPr>
          <w:rFonts w:hint="eastAsia" w:ascii="仿宋_GB2312" w:eastAsia="仿宋_GB2312"/>
          <w:szCs w:val="32"/>
        </w:rPr>
      </w:pPr>
    </w:p>
    <w:p w14:paraId="138029F3">
      <w:pPr>
        <w:spacing w:line="360" w:lineRule="auto"/>
        <w:ind w:firstLine="640" w:firstLineChars="200"/>
        <w:rPr>
          <w:rFonts w:ascii="仿宋_GB2312" w:eastAsia="仿宋_GB2312"/>
          <w:szCs w:val="32"/>
        </w:rPr>
      </w:pPr>
    </w:p>
    <w:p w14:paraId="4C56A496">
      <w:pPr>
        <w:spacing w:line="360" w:lineRule="auto"/>
        <w:ind w:firstLine="640" w:firstLineChars="200"/>
        <w:rPr>
          <w:rFonts w:ascii="仿宋_GB2312" w:eastAsia="仿宋_GB2312"/>
          <w:szCs w:val="32"/>
        </w:rPr>
      </w:pPr>
    </w:p>
    <w:p w14:paraId="0F9877F7">
      <w:pPr>
        <w:spacing w:line="360" w:lineRule="auto"/>
        <w:ind w:firstLine="640" w:firstLineChars="200"/>
        <w:rPr>
          <w:rFonts w:ascii="仿宋_GB2312" w:eastAsia="仿宋_GB2312"/>
          <w:szCs w:val="32"/>
        </w:rPr>
      </w:pPr>
    </w:p>
    <w:p w14:paraId="1D34CC80">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2024"/>
        <w:gridCol w:w="2025"/>
        <w:gridCol w:w="2025"/>
      </w:tblGrid>
      <w:tr w14:paraId="19E1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F666EEF">
            <w:pPr>
              <w:spacing w:line="240" w:lineRule="auto"/>
              <w:ind w:firstLine="0"/>
              <w:jc w:val="center"/>
              <w:rPr>
                <w:rFonts w:ascii="黑体" w:hAnsi="黑体" w:eastAsia="黑体"/>
                <w:sz w:val="20"/>
              </w:rPr>
            </w:pPr>
            <w:r>
              <w:rPr>
                <w:rFonts w:hint="eastAsia" w:ascii="宋体" w:hAnsi="宋体" w:eastAsia="宋体" w:cs="宋体"/>
                <w:snapToGrid/>
                <w:sz w:val="20"/>
              </w:rPr>
              <w:t>第二十条第（一）项</w:t>
            </w:r>
          </w:p>
        </w:tc>
      </w:tr>
      <w:tr w14:paraId="44F6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B869246">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2130" w:type="dxa"/>
            <w:vAlign w:val="center"/>
          </w:tcPr>
          <w:p w14:paraId="4931603B">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21D793BE">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本年废止件数</w:t>
            </w:r>
          </w:p>
        </w:tc>
        <w:tc>
          <w:tcPr>
            <w:tcW w:w="2131" w:type="dxa"/>
            <w:vAlign w:val="center"/>
          </w:tcPr>
          <w:p w14:paraId="330ED9AA">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现行有效件</w:t>
            </w:r>
            <w:r>
              <w:rPr>
                <w:rFonts w:ascii="宋体" w:hAnsi="宋体" w:eastAsia="宋体" w:cs="Calibri"/>
                <w:snapToGrid/>
                <w:sz w:val="20"/>
              </w:rPr>
              <w:t>数</w:t>
            </w:r>
          </w:p>
        </w:tc>
      </w:tr>
      <w:tr w14:paraId="6D14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589" w:type="dxa"/>
            <w:vAlign w:val="center"/>
          </w:tcPr>
          <w:p w14:paraId="7876A143">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规章</w:t>
            </w:r>
          </w:p>
        </w:tc>
        <w:tc>
          <w:tcPr>
            <w:tcW w:w="2130" w:type="dxa"/>
            <w:vAlign w:val="center"/>
          </w:tcPr>
          <w:p w14:paraId="3C7D2917">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14:paraId="21A99468">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14:paraId="18838AA3">
            <w:pPr>
              <w:spacing w:line="240" w:lineRule="auto"/>
              <w:ind w:firstLine="0"/>
              <w:jc w:val="center"/>
              <w:rPr>
                <w:rFonts w:ascii="黑体" w:hAnsi="黑体" w:eastAsia="黑体"/>
                <w:sz w:val="20"/>
              </w:rPr>
            </w:pPr>
            <w:r>
              <w:rPr>
                <w:rFonts w:hint="eastAsia" w:ascii="黑体" w:hAnsi="黑体" w:eastAsia="黑体"/>
                <w:sz w:val="20"/>
              </w:rPr>
              <w:t>0</w:t>
            </w:r>
          </w:p>
        </w:tc>
      </w:tr>
      <w:tr w14:paraId="712E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A18CBD9">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行政规范性文件</w:t>
            </w:r>
          </w:p>
        </w:tc>
        <w:tc>
          <w:tcPr>
            <w:tcW w:w="2130" w:type="dxa"/>
            <w:vAlign w:val="center"/>
          </w:tcPr>
          <w:p w14:paraId="18B2047F">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14:paraId="4F6561DA">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14:paraId="5E5618CE">
            <w:pPr>
              <w:spacing w:line="240" w:lineRule="auto"/>
              <w:ind w:firstLine="0"/>
              <w:jc w:val="center"/>
              <w:rPr>
                <w:rFonts w:ascii="黑体" w:hAnsi="黑体" w:eastAsia="黑体"/>
                <w:sz w:val="20"/>
              </w:rPr>
            </w:pPr>
            <w:r>
              <w:rPr>
                <w:rFonts w:hint="eastAsia" w:ascii="黑体" w:hAnsi="黑体" w:eastAsia="黑体"/>
                <w:sz w:val="20"/>
              </w:rPr>
              <w:t>0</w:t>
            </w:r>
          </w:p>
        </w:tc>
      </w:tr>
      <w:tr w14:paraId="255A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2670B17">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第二十条第（五）项</w:t>
            </w:r>
          </w:p>
        </w:tc>
      </w:tr>
      <w:tr w14:paraId="7D51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871A13B">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14:paraId="621D4D31">
            <w:pPr>
              <w:spacing w:line="240" w:lineRule="auto"/>
              <w:ind w:firstLine="0"/>
              <w:jc w:val="center"/>
              <w:rPr>
                <w:rFonts w:ascii="黑体" w:hAnsi="黑体" w:eastAsia="黑体"/>
                <w:sz w:val="20"/>
              </w:rPr>
            </w:pPr>
            <w:r>
              <w:rPr>
                <w:rFonts w:hint="eastAsia" w:ascii="宋体" w:hAnsi="宋体" w:eastAsia="宋体" w:cs="宋体"/>
                <w:snapToGrid/>
                <w:sz w:val="20"/>
              </w:rPr>
              <w:t>本年处理决定数量</w:t>
            </w:r>
          </w:p>
        </w:tc>
      </w:tr>
      <w:tr w14:paraId="4866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10E12F6">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行政许可</w:t>
            </w:r>
          </w:p>
        </w:tc>
        <w:tc>
          <w:tcPr>
            <w:tcW w:w="6392" w:type="dxa"/>
            <w:gridSpan w:val="3"/>
            <w:vAlign w:val="center"/>
          </w:tcPr>
          <w:p w14:paraId="6CC03104">
            <w:pPr>
              <w:spacing w:line="240" w:lineRule="auto"/>
              <w:ind w:firstLine="0"/>
              <w:jc w:val="center"/>
              <w:rPr>
                <w:rFonts w:ascii="黑体" w:hAnsi="黑体" w:eastAsia="黑体"/>
                <w:sz w:val="20"/>
              </w:rPr>
            </w:pPr>
            <w:r>
              <w:rPr>
                <w:rFonts w:hint="eastAsia" w:ascii="黑体" w:hAnsi="黑体" w:eastAsia="黑体"/>
                <w:sz w:val="20"/>
              </w:rPr>
              <w:t>0</w:t>
            </w:r>
          </w:p>
        </w:tc>
      </w:tr>
      <w:tr w14:paraId="4594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C477786">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第二十条第（六）项</w:t>
            </w:r>
          </w:p>
        </w:tc>
      </w:tr>
      <w:tr w14:paraId="252A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8641097">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14:paraId="6772C211">
            <w:pPr>
              <w:spacing w:line="240" w:lineRule="auto"/>
              <w:ind w:firstLine="0"/>
              <w:jc w:val="center"/>
              <w:rPr>
                <w:rFonts w:ascii="黑体" w:hAnsi="黑体" w:eastAsia="黑体"/>
                <w:sz w:val="20"/>
              </w:rPr>
            </w:pPr>
            <w:r>
              <w:rPr>
                <w:rFonts w:hint="eastAsia" w:ascii="宋体" w:hAnsi="宋体" w:eastAsia="宋体" w:cs="宋体"/>
                <w:snapToGrid/>
                <w:sz w:val="20"/>
              </w:rPr>
              <w:t>本年处理决定数量</w:t>
            </w:r>
          </w:p>
        </w:tc>
      </w:tr>
      <w:tr w14:paraId="16ED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43BEE67">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行政处罚</w:t>
            </w:r>
          </w:p>
        </w:tc>
        <w:tc>
          <w:tcPr>
            <w:tcW w:w="6392" w:type="dxa"/>
            <w:gridSpan w:val="3"/>
            <w:vAlign w:val="center"/>
          </w:tcPr>
          <w:p w14:paraId="4DBECEAB">
            <w:pPr>
              <w:spacing w:line="240" w:lineRule="auto"/>
              <w:ind w:firstLine="0"/>
              <w:jc w:val="center"/>
              <w:rPr>
                <w:rFonts w:ascii="黑体" w:hAnsi="黑体" w:eastAsia="黑体"/>
                <w:sz w:val="20"/>
              </w:rPr>
            </w:pPr>
            <w:r>
              <w:rPr>
                <w:rFonts w:hint="eastAsia" w:ascii="黑体" w:hAnsi="黑体" w:eastAsia="黑体"/>
                <w:sz w:val="20"/>
              </w:rPr>
              <w:t>0</w:t>
            </w:r>
          </w:p>
        </w:tc>
      </w:tr>
      <w:tr w14:paraId="14E0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A5E29F3">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行政强制</w:t>
            </w:r>
          </w:p>
        </w:tc>
        <w:tc>
          <w:tcPr>
            <w:tcW w:w="6392" w:type="dxa"/>
            <w:gridSpan w:val="3"/>
            <w:vAlign w:val="center"/>
          </w:tcPr>
          <w:p w14:paraId="7B1ADA91">
            <w:pPr>
              <w:spacing w:line="240" w:lineRule="auto"/>
              <w:ind w:firstLine="0"/>
              <w:jc w:val="center"/>
              <w:rPr>
                <w:rFonts w:ascii="黑体" w:hAnsi="黑体" w:eastAsia="黑体"/>
                <w:sz w:val="20"/>
              </w:rPr>
            </w:pPr>
            <w:r>
              <w:rPr>
                <w:rFonts w:hint="eastAsia" w:ascii="黑体" w:hAnsi="黑体" w:eastAsia="黑体"/>
                <w:sz w:val="20"/>
              </w:rPr>
              <w:t>0</w:t>
            </w:r>
          </w:p>
        </w:tc>
      </w:tr>
      <w:tr w14:paraId="6CA1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8159DE3">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第二十条第（八）项</w:t>
            </w:r>
          </w:p>
        </w:tc>
      </w:tr>
      <w:tr w14:paraId="155E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9262E80">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14:paraId="6B64EFC4">
            <w:pPr>
              <w:spacing w:line="240" w:lineRule="auto"/>
              <w:ind w:firstLine="0"/>
              <w:jc w:val="center"/>
              <w:rPr>
                <w:rFonts w:ascii="黑体" w:hAnsi="黑体" w:eastAsia="黑体"/>
                <w:sz w:val="20"/>
              </w:rPr>
            </w:pPr>
            <w:r>
              <w:rPr>
                <w:rFonts w:hint="eastAsia" w:ascii="宋体" w:hAnsi="宋体" w:eastAsia="宋体" w:cs="宋体"/>
                <w:snapToGrid/>
                <w:sz w:val="20"/>
              </w:rPr>
              <w:t>本年收费金额（单位：万元）</w:t>
            </w:r>
          </w:p>
        </w:tc>
      </w:tr>
      <w:tr w14:paraId="39FD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5E3DD52">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行政事业性收费</w:t>
            </w:r>
          </w:p>
        </w:tc>
        <w:tc>
          <w:tcPr>
            <w:tcW w:w="6392" w:type="dxa"/>
            <w:gridSpan w:val="3"/>
            <w:vAlign w:val="center"/>
          </w:tcPr>
          <w:p w14:paraId="7E5DCD0D">
            <w:pPr>
              <w:spacing w:line="240" w:lineRule="auto"/>
              <w:ind w:firstLine="0"/>
              <w:jc w:val="center"/>
              <w:rPr>
                <w:rFonts w:ascii="黑体" w:hAnsi="黑体" w:eastAsia="黑体"/>
                <w:sz w:val="20"/>
              </w:rPr>
            </w:pPr>
            <w:r>
              <w:rPr>
                <w:rFonts w:hint="eastAsia" w:ascii="黑体" w:hAnsi="黑体" w:eastAsia="黑体"/>
                <w:sz w:val="20"/>
              </w:rPr>
              <w:t>4</w:t>
            </w:r>
            <w:r>
              <w:rPr>
                <w:rFonts w:ascii="黑体" w:hAnsi="黑体" w:eastAsia="黑体"/>
                <w:sz w:val="20"/>
              </w:rPr>
              <w:t>5</w:t>
            </w:r>
          </w:p>
        </w:tc>
      </w:tr>
    </w:tbl>
    <w:p w14:paraId="3393872F">
      <w:pPr>
        <w:spacing w:after="156" w:afterLines="50" w:line="240" w:lineRule="auto"/>
        <w:ind w:firstLine="0"/>
        <w:rPr>
          <w:rFonts w:ascii="黑体" w:hAnsi="黑体" w:eastAsia="黑体"/>
          <w:szCs w:val="32"/>
        </w:rPr>
      </w:pPr>
    </w:p>
    <w:p w14:paraId="35E77D6D">
      <w:pPr>
        <w:spacing w:after="156" w:afterLines="50" w:line="240" w:lineRule="auto"/>
        <w:ind w:firstLine="0"/>
        <w:rPr>
          <w:rFonts w:ascii="黑体" w:hAnsi="黑体" w:eastAsia="黑体"/>
          <w:szCs w:val="32"/>
        </w:rPr>
      </w:pPr>
    </w:p>
    <w:p w14:paraId="0371A592">
      <w:pPr>
        <w:spacing w:after="156" w:afterLines="50" w:line="240" w:lineRule="auto"/>
        <w:ind w:firstLine="0"/>
        <w:rPr>
          <w:rFonts w:ascii="黑体" w:hAnsi="黑体" w:eastAsia="黑体"/>
          <w:szCs w:val="32"/>
        </w:rPr>
      </w:pPr>
    </w:p>
    <w:p w14:paraId="147B7E0C">
      <w:pPr>
        <w:spacing w:after="156" w:afterLines="50" w:line="240" w:lineRule="auto"/>
        <w:ind w:firstLine="0"/>
        <w:rPr>
          <w:rFonts w:ascii="黑体" w:hAnsi="黑体" w:eastAsia="黑体"/>
          <w:szCs w:val="32"/>
        </w:rPr>
      </w:pPr>
    </w:p>
    <w:p w14:paraId="001FEAAE">
      <w:pPr>
        <w:spacing w:after="156" w:afterLines="50" w:line="240" w:lineRule="auto"/>
        <w:ind w:firstLine="0"/>
        <w:rPr>
          <w:rFonts w:ascii="黑体" w:hAnsi="黑体" w:eastAsia="黑体"/>
          <w:szCs w:val="32"/>
        </w:rPr>
      </w:pPr>
    </w:p>
    <w:p w14:paraId="20177E36">
      <w:pPr>
        <w:spacing w:after="156" w:afterLines="50" w:line="240" w:lineRule="auto"/>
        <w:ind w:firstLine="0"/>
        <w:rPr>
          <w:rFonts w:ascii="黑体" w:hAnsi="黑体" w:eastAsia="黑体"/>
          <w:szCs w:val="32"/>
        </w:rPr>
      </w:pPr>
    </w:p>
    <w:p w14:paraId="58195692">
      <w:pPr>
        <w:spacing w:after="156" w:afterLines="50" w:line="240" w:lineRule="auto"/>
        <w:ind w:firstLine="0"/>
        <w:rPr>
          <w:rFonts w:ascii="黑体" w:hAnsi="黑体" w:eastAsia="黑体"/>
          <w:szCs w:val="32"/>
        </w:rPr>
      </w:pPr>
    </w:p>
    <w:p w14:paraId="2B1C4D73">
      <w:pPr>
        <w:spacing w:after="156" w:afterLines="50" w:line="240" w:lineRule="auto"/>
        <w:ind w:firstLine="0"/>
        <w:rPr>
          <w:rFonts w:ascii="黑体" w:hAnsi="黑体" w:eastAsia="黑体"/>
          <w:szCs w:val="32"/>
        </w:rPr>
      </w:pPr>
    </w:p>
    <w:p w14:paraId="4654C2FE">
      <w:pPr>
        <w:spacing w:after="156" w:afterLines="50" w:line="240" w:lineRule="auto"/>
        <w:ind w:firstLine="0"/>
        <w:rPr>
          <w:rFonts w:ascii="黑体" w:hAnsi="黑体" w:eastAsia="黑体"/>
          <w:szCs w:val="32"/>
        </w:rPr>
      </w:pPr>
    </w:p>
    <w:p w14:paraId="27E23171">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三、收到和处理政府信息公开申请情况</w:t>
      </w:r>
    </w:p>
    <w:tbl>
      <w:tblPr>
        <w:tblStyle w:val="8"/>
        <w:tblW w:w="9550"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371"/>
      </w:tblGrid>
      <w:tr w14:paraId="13E1394E">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78D2F73B">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001"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15623A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489F88E4">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241E4233">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1005FA0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51E57C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371"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0D7B568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7161AFAF">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2CC8CBDC">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11EA44EC">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A621E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4AE9B8C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1E754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0B02C89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454EC5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666A57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4571BA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371" w:type="dxa"/>
            <w:vMerge w:val="continue"/>
            <w:tcBorders>
              <w:top w:val="single" w:color="auto" w:sz="8" w:space="0"/>
              <w:left w:val="nil"/>
              <w:bottom w:val="inset" w:color="auto" w:sz="8" w:space="0"/>
              <w:right w:val="single" w:color="auto" w:sz="8" w:space="0"/>
            </w:tcBorders>
            <w:vAlign w:val="center"/>
          </w:tcPr>
          <w:p w14:paraId="2D26C132">
            <w:pPr>
              <w:widowControl/>
              <w:autoSpaceDE/>
              <w:autoSpaceDN/>
              <w:snapToGrid/>
              <w:spacing w:line="240" w:lineRule="auto"/>
              <w:ind w:firstLine="0"/>
              <w:jc w:val="left"/>
              <w:rPr>
                <w:rFonts w:ascii="宋体" w:hAnsi="宋体" w:eastAsia="宋体" w:cs="宋体"/>
                <w:snapToGrid/>
                <w:sz w:val="24"/>
                <w:szCs w:val="24"/>
              </w:rPr>
            </w:pPr>
          </w:p>
        </w:tc>
      </w:tr>
      <w:tr w14:paraId="017BC35D">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0B4F39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648B0D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BBF42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B6996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BA0E8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470D45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84634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5885407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350FFEC5">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D659A9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D06BA7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353CE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AD097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F73BA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55718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C6E5B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02B8BC8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59C71340">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4CC053F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D7549F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89A95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27A98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C2522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BAC397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875C12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84D76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3CBF35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42A4BFC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45CC318">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ACA8D1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88EF79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0DFA6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872C9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27278D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690B11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DAFCA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3FEBE60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34831F9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B886F8">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458DA9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61A381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B32FC4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82EE5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08F94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73FAD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DBF4BB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A8499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B603B8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46E7C00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1EFB14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129507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3089D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807D15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75248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88F7C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1AED3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14DB38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9B8AE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7E199E6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17B10C2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4B4DAE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2E78DB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9CD80B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4590FB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41E65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1CEAA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D3563D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3565A1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7D2F1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2C63676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0141E1F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0E0B20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EB9C41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2AE3D6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4061F8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6C2699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1089C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D7B077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D0ED11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2578D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167A063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789ECD6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063CDF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F82C41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3349F9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E21D4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45D40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39367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62A1FA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9A3343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E8BCD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0DEAE19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790DFDC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EE9CD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F077E5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0B927A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FF234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D9815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6F064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C188D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519FE7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B832D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24E7A11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32B7F0D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940B37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07763B6">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FCF031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900D4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B4262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3DAF1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1C5B0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191A87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15ED5A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714A813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4609326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B3AD9B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6223FD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51EB4F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9B3CFC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2B64B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EE573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03E2D8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D44D3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65104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461F30E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3814E25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238869F">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1755D8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84EB06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6E0C74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6682A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F648F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AF1E17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FE74B1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33D98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5C27D15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66CF63D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E57450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B21727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CBE68F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9D6E06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4D348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F8720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E92BAC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4D90E7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252C6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61A1CF2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2A9259F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BE29CD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4795D66">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A59819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09DA02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1942F5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F935C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119397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C76BAB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0EF30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6FF6D12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71D21F3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6A06E75">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674D9B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0F77DF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335826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23220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C8BCD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C785D1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A8D16E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278E9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2105BE9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1B9C317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B3ED03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BD5937E">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F9153B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05B8D6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B8D99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F3D10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6B0E4B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8B527F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A7875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6A86504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28B9953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8FE59B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3AE5EA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0A22CE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EA3D6F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9B676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D0B65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C125A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8E443D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53158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195E9A8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6BBDA9D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368D5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A582F7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A9978B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B39E5B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C49D3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F68E5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F8CC3F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53318B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D3726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140F325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575276D0">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4F51BC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C9C8596">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6C45227B">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0D0D844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B4CC9C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74EFE44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5DEB17E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1463EB3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7CB50A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inset" w:color="auto" w:sz="8" w:space="0"/>
              <w:right w:val="single" w:color="auto" w:sz="8" w:space="0"/>
            </w:tcBorders>
            <w:tcMar>
              <w:top w:w="0" w:type="dxa"/>
              <w:left w:w="57" w:type="dxa"/>
              <w:bottom w:w="0" w:type="dxa"/>
              <w:right w:w="57" w:type="dxa"/>
            </w:tcMar>
            <w:vAlign w:val="center"/>
          </w:tcPr>
          <w:p w14:paraId="7261086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77679D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A7885EE">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0E36C3F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0C6C446">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F963AC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3E012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60EFAA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247100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75EC85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ABA7C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1519D71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2B064CA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B70F63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512D544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08018DC">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BFF408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355B1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4AB7E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82BF52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FE1D5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600FC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4D21D1B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1C57CE5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F1E44C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351F755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CEA502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1AB8D7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6209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B708F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773E08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1D018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9102E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27E1ECD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494B91D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4086F05">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119592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C9C632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0A786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0086F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8CAA7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16E8ED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FC107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39BFB81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14:paraId="5328EE04">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822BA7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F80636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104C9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4ED74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20693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70F588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3D780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371" w:type="dxa"/>
            <w:tcBorders>
              <w:top w:val="nil"/>
              <w:left w:val="nil"/>
              <w:bottom w:val="single" w:color="auto" w:sz="8" w:space="0"/>
              <w:right w:val="single" w:color="auto" w:sz="8" w:space="0"/>
            </w:tcBorders>
            <w:tcMar>
              <w:top w:w="0" w:type="dxa"/>
              <w:left w:w="57" w:type="dxa"/>
              <w:bottom w:w="0" w:type="dxa"/>
              <w:right w:w="57" w:type="dxa"/>
            </w:tcMar>
            <w:vAlign w:val="center"/>
          </w:tcPr>
          <w:p w14:paraId="2E306BF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bl>
    <w:p w14:paraId="0C98C862">
      <w:pPr>
        <w:spacing w:line="240" w:lineRule="auto"/>
        <w:ind w:firstLine="0"/>
        <w:rPr>
          <w:rFonts w:ascii="黑体" w:hAnsi="黑体" w:eastAsia="黑体"/>
          <w:sz w:val="30"/>
          <w:szCs w:val="30"/>
        </w:rPr>
      </w:pPr>
    </w:p>
    <w:p w14:paraId="6D86FCB9">
      <w:pPr>
        <w:spacing w:line="240" w:lineRule="auto"/>
        <w:ind w:firstLine="0"/>
        <w:rPr>
          <w:rFonts w:ascii="黑体" w:hAnsi="黑体" w:eastAsia="黑体"/>
          <w:sz w:val="30"/>
          <w:szCs w:val="30"/>
        </w:rPr>
      </w:pPr>
    </w:p>
    <w:p w14:paraId="0CE069EA">
      <w:pPr>
        <w:spacing w:line="240" w:lineRule="auto"/>
        <w:ind w:firstLine="0"/>
        <w:rPr>
          <w:rFonts w:ascii="黑体" w:hAnsi="黑体" w:eastAsia="黑体"/>
          <w:sz w:val="30"/>
          <w:szCs w:val="30"/>
        </w:rPr>
      </w:pPr>
    </w:p>
    <w:p w14:paraId="638D0CBD">
      <w:pPr>
        <w:spacing w:line="240" w:lineRule="auto"/>
        <w:ind w:firstLine="0"/>
        <w:rPr>
          <w:rFonts w:ascii="黑体" w:hAnsi="黑体" w:eastAsia="黑体"/>
          <w:sz w:val="30"/>
          <w:szCs w:val="30"/>
        </w:rPr>
      </w:pPr>
    </w:p>
    <w:p w14:paraId="7EF44440">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8"/>
        <w:tblW w:w="9406" w:type="dxa"/>
        <w:jc w:val="center"/>
        <w:tblLayout w:type="fixed"/>
        <w:tblCellMar>
          <w:top w:w="0" w:type="dxa"/>
          <w:left w:w="0" w:type="dxa"/>
          <w:bottom w:w="0" w:type="dxa"/>
          <w:right w:w="0" w:type="dxa"/>
        </w:tblCellMar>
      </w:tblPr>
      <w:tblGrid>
        <w:gridCol w:w="649"/>
        <w:gridCol w:w="649"/>
        <w:gridCol w:w="654"/>
        <w:gridCol w:w="644"/>
        <w:gridCol w:w="556"/>
        <w:gridCol w:w="742"/>
        <w:gridCol w:w="649"/>
        <w:gridCol w:w="650"/>
        <w:gridCol w:w="650"/>
        <w:gridCol w:w="650"/>
        <w:gridCol w:w="651"/>
        <w:gridCol w:w="651"/>
        <w:gridCol w:w="651"/>
        <w:gridCol w:w="651"/>
        <w:gridCol w:w="309"/>
      </w:tblGrid>
      <w:tr w14:paraId="05DD359D">
        <w:tblPrEx>
          <w:tblCellMar>
            <w:top w:w="0" w:type="dxa"/>
            <w:left w:w="0" w:type="dxa"/>
            <w:bottom w:w="0" w:type="dxa"/>
            <w:right w:w="0" w:type="dxa"/>
          </w:tblCellMar>
        </w:tblPrEx>
        <w:trPr>
          <w:jc w:val="center"/>
        </w:trPr>
        <w:tc>
          <w:tcPr>
            <w:tcW w:w="3152"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36230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254"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597F1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00B0D1B3">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09B3E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B420E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A2260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89348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55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2929A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341"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2B9DE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29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1D2FE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6DEA92DB">
        <w:tblPrEx>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vAlign w:val="center"/>
          </w:tcPr>
          <w:p w14:paraId="4F5CBC0F">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nil"/>
              <w:left w:val="single" w:color="auto" w:sz="8" w:space="0"/>
              <w:bottom w:val="single" w:color="auto" w:sz="8" w:space="0"/>
              <w:right w:val="single" w:color="auto" w:sz="8" w:space="0"/>
            </w:tcBorders>
            <w:vAlign w:val="center"/>
          </w:tcPr>
          <w:p w14:paraId="168804EF">
            <w:pPr>
              <w:widowControl/>
              <w:autoSpaceDE/>
              <w:autoSpaceDN/>
              <w:snapToGrid/>
              <w:spacing w:line="240" w:lineRule="auto"/>
              <w:ind w:firstLine="0"/>
              <w:jc w:val="left"/>
              <w:rPr>
                <w:rFonts w:ascii="宋体" w:hAnsi="宋体" w:eastAsia="宋体" w:cs="宋体"/>
                <w:snapToGrid/>
                <w:sz w:val="24"/>
                <w:szCs w:val="24"/>
              </w:rPr>
            </w:pPr>
          </w:p>
        </w:tc>
        <w:tc>
          <w:tcPr>
            <w:tcW w:w="654" w:type="dxa"/>
            <w:vMerge w:val="continue"/>
            <w:tcBorders>
              <w:top w:val="single" w:color="auto" w:sz="8" w:space="0"/>
              <w:left w:val="single" w:color="auto" w:sz="8" w:space="0"/>
              <w:bottom w:val="single" w:color="auto" w:sz="8" w:space="0"/>
              <w:right w:val="single" w:color="auto" w:sz="8" w:space="0"/>
            </w:tcBorders>
            <w:vAlign w:val="center"/>
          </w:tcPr>
          <w:p w14:paraId="363F962C">
            <w:pPr>
              <w:widowControl/>
              <w:autoSpaceDE/>
              <w:autoSpaceDN/>
              <w:snapToGrid/>
              <w:spacing w:line="240" w:lineRule="auto"/>
              <w:ind w:firstLine="0"/>
              <w:jc w:val="left"/>
              <w:rPr>
                <w:rFonts w:ascii="宋体" w:hAnsi="宋体" w:eastAsia="宋体" w:cs="宋体"/>
                <w:snapToGrid/>
                <w:sz w:val="24"/>
                <w:szCs w:val="24"/>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14:paraId="5447E548">
            <w:pPr>
              <w:widowControl/>
              <w:autoSpaceDE/>
              <w:autoSpaceDN/>
              <w:snapToGrid/>
              <w:spacing w:line="240" w:lineRule="auto"/>
              <w:ind w:firstLine="0"/>
              <w:jc w:val="left"/>
              <w:rPr>
                <w:rFonts w:ascii="宋体" w:hAnsi="宋体" w:eastAsia="宋体" w:cs="宋体"/>
                <w:snapToGrid/>
                <w:sz w:val="24"/>
                <w:szCs w:val="24"/>
              </w:rPr>
            </w:pPr>
          </w:p>
        </w:tc>
        <w:tc>
          <w:tcPr>
            <w:tcW w:w="556" w:type="dxa"/>
            <w:vMerge w:val="continue"/>
            <w:tcBorders>
              <w:top w:val="single" w:color="auto" w:sz="8" w:space="0"/>
              <w:left w:val="single" w:color="auto" w:sz="8" w:space="0"/>
              <w:bottom w:val="single" w:color="auto" w:sz="8" w:space="0"/>
              <w:right w:val="single" w:color="auto" w:sz="8" w:space="0"/>
            </w:tcBorders>
            <w:vAlign w:val="center"/>
          </w:tcPr>
          <w:p w14:paraId="02D61F2E">
            <w:pPr>
              <w:widowControl/>
              <w:autoSpaceDE/>
              <w:autoSpaceDN/>
              <w:snapToGrid/>
              <w:spacing w:line="240" w:lineRule="auto"/>
              <w:ind w:firstLine="0"/>
              <w:jc w:val="left"/>
              <w:rPr>
                <w:rFonts w:ascii="宋体" w:hAnsi="宋体" w:eastAsia="宋体" w:cs="宋体"/>
                <w:snapToGrid/>
                <w:sz w:val="24"/>
                <w:szCs w:val="24"/>
              </w:rPr>
            </w:pPr>
          </w:p>
        </w:tc>
        <w:tc>
          <w:tcPr>
            <w:tcW w:w="7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CBED0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CBECD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4650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18384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09FD1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D4E4D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C2813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88AA9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8CE4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3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CE24E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2884D380">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302B0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53084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0DA60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ED7B5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5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B9150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7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EEC63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53E09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A0247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25F9D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33F53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12893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FD0E4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BC9E5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A1439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B8AF5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14:paraId="3B8FACB4">
      <w:pPr>
        <w:spacing w:line="240" w:lineRule="auto"/>
        <w:ind w:firstLine="640" w:firstLineChars="200"/>
        <w:rPr>
          <w:rFonts w:ascii="黑体" w:hAnsi="黑体" w:eastAsia="黑体"/>
          <w:szCs w:val="32"/>
        </w:rPr>
      </w:pPr>
    </w:p>
    <w:p w14:paraId="77E425CC">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14:paraId="329651BA">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14:paraId="097C16E8">
      <w:pPr>
        <w:spacing w:line="560" w:lineRule="exact"/>
        <w:ind w:firstLine="640" w:firstLineChars="200"/>
        <w:rPr>
          <w:rFonts w:eastAsia="仿宋_GB2312"/>
          <w:szCs w:val="32"/>
        </w:rPr>
      </w:pPr>
      <w:r>
        <w:rPr>
          <w:rFonts w:hint="eastAsia" w:eastAsia="仿宋_GB2312"/>
          <w:szCs w:val="32"/>
        </w:rPr>
        <w:t> 2022年，县教体局信息公开工作取得了一定成绩，但还存在一些问题和不足，主要表现在：一是主动公开的意识不够高；二是工作力度还不够，公开方式有待于进一步创新；三是信息公开规范程度还有待于进一步加强。</w:t>
      </w:r>
    </w:p>
    <w:p w14:paraId="5B2E0AAA">
      <w:pPr>
        <w:spacing w:line="560" w:lineRule="exact"/>
        <w:ind w:firstLine="640" w:firstLineChars="200"/>
        <w:rPr>
          <w:rFonts w:eastAsia="仿宋_GB2312"/>
          <w:szCs w:val="32"/>
        </w:rPr>
      </w:pPr>
      <w:r>
        <w:rPr>
          <w:rFonts w:hint="eastAsia" w:ascii="楷体_GB2312" w:hAnsi="黑体" w:eastAsia="楷体_GB2312"/>
          <w:szCs w:val="32"/>
        </w:rPr>
        <w:t>（二）改进措施</w:t>
      </w:r>
    </w:p>
    <w:p w14:paraId="4727D494">
      <w:pPr>
        <w:spacing w:line="560" w:lineRule="exact"/>
        <w:rPr>
          <w:rFonts w:ascii="仿宋_GB2312" w:eastAsia="仿宋_GB2312"/>
          <w:szCs w:val="32"/>
        </w:rPr>
      </w:pPr>
      <w:r>
        <w:rPr>
          <w:rFonts w:hint="eastAsia" w:ascii="仿宋_GB2312" w:eastAsia="仿宋_GB2312"/>
          <w:szCs w:val="32"/>
        </w:rPr>
        <w:t>一是切实提高思想重视程度，围绕广大社会群众关注热点问题，及时回应群众关切，做到应公开尽公开。</w:t>
      </w:r>
    </w:p>
    <w:p w14:paraId="21D9A7D5">
      <w:pPr>
        <w:spacing w:line="560" w:lineRule="exact"/>
        <w:rPr>
          <w:rFonts w:ascii="仿宋_GB2312" w:eastAsia="仿宋_GB2312"/>
          <w:szCs w:val="32"/>
        </w:rPr>
      </w:pPr>
      <w:r>
        <w:rPr>
          <w:rFonts w:hint="eastAsia" w:ascii="仿宋_GB2312" w:eastAsia="仿宋_GB2312"/>
          <w:szCs w:val="32"/>
        </w:rPr>
        <w:t>二是加大主动公开工作力度，强化平台建设，创新拓宽公开渠道，把群众所盼做在手里，送到心里。</w:t>
      </w:r>
    </w:p>
    <w:p w14:paraId="1E730099">
      <w:pPr>
        <w:spacing w:line="560" w:lineRule="exact"/>
        <w:ind w:firstLine="640" w:firstLineChars="200"/>
        <w:rPr>
          <w:rFonts w:ascii="仿宋_GB2312" w:eastAsia="仿宋_GB2312"/>
          <w:szCs w:val="32"/>
        </w:rPr>
      </w:pPr>
      <w:r>
        <w:rPr>
          <w:rFonts w:hint="eastAsia" w:ascii="仿宋_GB2312" w:eastAsia="仿宋_GB2312"/>
          <w:szCs w:val="32"/>
        </w:rPr>
        <w:t>三是进一步规范工作程序，压实工作责任，强化队伍建设，加大工作培训力度，明确工作办理规范及要求，提升工作水平。</w:t>
      </w:r>
    </w:p>
    <w:p w14:paraId="11B0D334">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14:paraId="1B201D65">
      <w:pPr>
        <w:spacing w:line="560" w:lineRule="exact"/>
        <w:ind w:firstLine="640" w:firstLineChars="200"/>
        <w:rPr>
          <w:rFonts w:ascii="楷体_GB2312" w:eastAsia="楷体_GB2312"/>
          <w:szCs w:val="32"/>
        </w:rPr>
      </w:pPr>
      <w:r>
        <w:rPr>
          <w:rFonts w:hint="eastAsia" w:ascii="楷体_GB2312" w:eastAsia="楷体_GB2312"/>
          <w:szCs w:val="32"/>
        </w:rPr>
        <w:t>（一）政府信息公开信息处理费收取情况</w:t>
      </w:r>
    </w:p>
    <w:p w14:paraId="4FB56410">
      <w:pPr>
        <w:spacing w:line="560" w:lineRule="exact"/>
        <w:ind w:firstLine="640" w:firstLineChars="200"/>
        <w:rPr>
          <w:rFonts w:ascii="仿宋_GB2312" w:eastAsia="仿宋_GB2312"/>
          <w:szCs w:val="32"/>
        </w:rPr>
      </w:pPr>
      <w:r>
        <w:rPr>
          <w:rFonts w:hint="eastAsia" w:ascii="仿宋_GB2312" w:eastAsia="仿宋_GB231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14:paraId="28AD9EF4">
      <w:pPr>
        <w:spacing w:line="560" w:lineRule="exact"/>
        <w:ind w:firstLine="640" w:firstLineChars="200"/>
        <w:rPr>
          <w:rFonts w:ascii="楷体_GB2312" w:eastAsia="楷体_GB2312"/>
          <w:szCs w:val="32"/>
        </w:rPr>
      </w:pPr>
      <w:r>
        <w:rPr>
          <w:rFonts w:hint="eastAsia" w:ascii="楷体_GB2312" w:eastAsia="楷体_GB2312"/>
          <w:szCs w:val="32"/>
        </w:rPr>
        <w:t>（二）落实上级年度政务公开工作要点情况</w:t>
      </w:r>
    </w:p>
    <w:p w14:paraId="389014AE">
      <w:pPr>
        <w:spacing w:line="560" w:lineRule="exact"/>
        <w:ind w:firstLine="640" w:firstLineChars="200"/>
        <w:rPr>
          <w:rFonts w:ascii="仿宋_GB2312" w:eastAsia="仿宋_GB2312"/>
          <w:szCs w:val="32"/>
        </w:rPr>
      </w:pPr>
      <w:r>
        <w:rPr>
          <w:rFonts w:hint="eastAsia" w:ascii="仿宋_GB2312" w:eastAsia="仿宋_GB2312"/>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14:paraId="44DF20F8">
      <w:pPr>
        <w:spacing w:line="560" w:lineRule="exact"/>
        <w:ind w:firstLine="640" w:firstLineChars="200"/>
        <w:rPr>
          <w:rFonts w:ascii="仿宋_GB2312" w:eastAsia="仿宋_GB2312"/>
          <w:szCs w:val="32"/>
        </w:rPr>
      </w:pPr>
      <w:r>
        <w:rPr>
          <w:rFonts w:hint="eastAsia" w:ascii="仿宋_GB2312" w:eastAsia="仿宋_GB2312"/>
          <w:szCs w:val="32"/>
        </w:rPr>
        <w:t>一是严格遵循“公开是常态，不公开是例外”的原则，及时公布招生政策、招生计划、控辍保学、学生资助、学生营养改善计划、义务教育均衡发展等方面工作落实情况。做到教育领域政府信息公开内容准确、全面、及时、无遗漏，为政务公开工作创造良好环境。</w:t>
      </w:r>
    </w:p>
    <w:p w14:paraId="222BC760">
      <w:pPr>
        <w:spacing w:line="560" w:lineRule="exact"/>
        <w:ind w:firstLine="640" w:firstLineChars="200"/>
        <w:rPr>
          <w:rFonts w:ascii="仿宋_GB2312" w:eastAsia="仿宋_GB2312"/>
          <w:szCs w:val="32"/>
        </w:rPr>
      </w:pPr>
      <w:r>
        <w:rPr>
          <w:rFonts w:hint="eastAsia" w:ascii="仿宋_GB2312" w:eastAsia="仿宋_GB2312"/>
          <w:szCs w:val="32"/>
        </w:rPr>
        <w:t>二是对主动公开基本目录进行了调整优化，每个目录内容所涉及的公开事项更具体。成立政务公开工作领导小组，设立专门的办公机构，明确专人统筹负责教育信息公开工作的推进、指导、协调和监督。继续坚持严格执行网上信息公开“三审”制度，加强信息发布审核把关工作，保证公开工作安全规范有序。</w:t>
      </w:r>
    </w:p>
    <w:p w14:paraId="382A1080">
      <w:pPr>
        <w:spacing w:line="560" w:lineRule="exact"/>
        <w:ind w:firstLine="640" w:firstLineChars="200"/>
        <w:rPr>
          <w:rFonts w:ascii="仿宋_GB2312" w:eastAsia="仿宋_GB2312"/>
          <w:szCs w:val="32"/>
        </w:rPr>
      </w:pPr>
      <w:r>
        <w:rPr>
          <w:rFonts w:hint="eastAsia" w:ascii="仿宋_GB2312" w:eastAsia="仿宋_GB2312"/>
          <w:szCs w:val="32"/>
        </w:rPr>
        <w:t>三是按照要求公开基本内容的基础上，重点公开与群众切身利益密切相关的事项，以及群众最关心、社会最敏感、反映最强烈的热点问题，如义务教育阶段优待政策、学校招生、招生范围、教师资格认定、教师职称评定等问题，我们都在对外公开栏和网上全部进行公开，并做到及时更新，确保让社会和群众及时了解相关情况。</w:t>
      </w:r>
    </w:p>
    <w:p w14:paraId="2B191EA0">
      <w:pPr>
        <w:spacing w:line="560" w:lineRule="exact"/>
        <w:ind w:firstLine="640" w:firstLineChars="200"/>
        <w:rPr>
          <w:rFonts w:ascii="楷体_GB2312" w:hAnsi="黑体" w:eastAsia="楷体_GB2312"/>
          <w:szCs w:val="32"/>
          <w:highlight w:val="yellow"/>
        </w:rPr>
      </w:pPr>
      <w:r>
        <w:rPr>
          <w:rFonts w:hint="eastAsia" w:ascii="楷体_GB2312" w:hAnsi="黑体" w:eastAsia="楷体_GB2312"/>
          <w:szCs w:val="32"/>
        </w:rPr>
        <w:t>（三）人大代表建议和政协委员提案办理结果公开情况</w:t>
      </w:r>
    </w:p>
    <w:p w14:paraId="57A4BAD5">
      <w:pPr>
        <w:spacing w:line="560" w:lineRule="exact"/>
        <w:ind w:firstLine="640" w:firstLineChars="200"/>
        <w:rPr>
          <w:rFonts w:eastAsia="仿宋_GB2312" w:cs="仿宋_GB2312"/>
          <w:szCs w:val="32"/>
        </w:rPr>
      </w:pPr>
      <w:r>
        <w:rPr>
          <w:rFonts w:hint="eastAsia" w:ascii="仿宋_GB2312" w:eastAsia="仿宋_GB2312"/>
          <w:szCs w:val="32"/>
        </w:rPr>
        <w:t>2022年，本机关共承办县十八届人大一次会议建议6件，承办县政协十五届一次会议提案18件，办复率均为100%。</w:t>
      </w:r>
      <w:r>
        <w:rPr>
          <w:rFonts w:hint="eastAsia" w:eastAsia="仿宋_GB2312" w:cs="仿宋_GB2312"/>
          <w:szCs w:val="32"/>
        </w:rPr>
        <w:t>除涉及国家秘密、工作秘密的，所有建议提案办理复文或摘要以及办理总体情况均在县政府门户网站</w:t>
      </w:r>
      <w:r>
        <w:rPr>
          <w:rFonts w:hint="eastAsia" w:ascii="仿宋_GB2312" w:eastAsia="仿宋_GB2312"/>
          <w:szCs w:val="32"/>
        </w:rPr>
        <w:t>建议提案办理专题</w:t>
      </w:r>
      <w:r>
        <w:rPr>
          <w:rFonts w:hint="eastAsia" w:eastAsia="仿宋_GB2312" w:cs="仿宋_GB2312"/>
          <w:szCs w:val="32"/>
        </w:rPr>
        <w:t>中予以公开。</w:t>
      </w:r>
    </w:p>
    <w:p w14:paraId="12BCE1D6">
      <w:pPr>
        <w:spacing w:line="560" w:lineRule="exact"/>
        <w:ind w:firstLine="640" w:firstLineChars="200"/>
        <w:rPr>
          <w:rFonts w:hint="eastAsia" w:ascii="楷体_GB2312" w:hAnsi="黑体" w:eastAsia="楷体_GB2312"/>
          <w:szCs w:val="32"/>
        </w:rPr>
      </w:pPr>
      <w:r>
        <w:rPr>
          <w:rFonts w:hint="eastAsia" w:ascii="楷体_GB2312" w:hAnsi="黑体" w:eastAsia="楷体_GB2312"/>
          <w:szCs w:val="32"/>
        </w:rPr>
        <w:t>（四）政务公开工作创新情况</w:t>
      </w:r>
    </w:p>
    <w:p w14:paraId="13B56082">
      <w:pPr>
        <w:spacing w:line="560" w:lineRule="exact"/>
        <w:ind w:firstLine="640" w:firstLineChars="200"/>
        <w:rPr>
          <w:rFonts w:hint="eastAsia" w:eastAsia="仿宋_GB2312" w:cs="仿宋_GB2312"/>
          <w:szCs w:val="32"/>
        </w:rPr>
      </w:pPr>
      <w:r>
        <w:rPr>
          <w:rFonts w:hint="eastAsia" w:eastAsia="仿宋_GB2312" w:cs="仿宋_GB2312"/>
          <w:szCs w:val="32"/>
        </w:rPr>
        <w:t>创新信息公开平台建设，政府网站方面开设“公共企事业单位信息公开”专栏，集中公开学校信息；政务新媒体方面，依托“高青教育发布”微信公众号，</w:t>
      </w:r>
      <w:r>
        <w:rPr>
          <w:rFonts w:eastAsia="仿宋_GB2312" w:cs="仿宋_GB2312"/>
          <w:szCs w:val="32"/>
        </w:rPr>
        <w:t>图文并茂进行</w:t>
      </w:r>
      <w:r>
        <w:rPr>
          <w:rFonts w:hint="eastAsia" w:eastAsia="仿宋_GB2312" w:cs="仿宋_GB2312"/>
          <w:szCs w:val="32"/>
        </w:rPr>
        <w:t>对各学校信息进行</w:t>
      </w:r>
      <w:r>
        <w:rPr>
          <w:rFonts w:eastAsia="仿宋_GB2312" w:cs="仿宋_GB2312"/>
          <w:szCs w:val="32"/>
        </w:rPr>
        <w:t>宣传和公开，有力地推进了</w:t>
      </w:r>
      <w:r>
        <w:rPr>
          <w:rFonts w:hint="eastAsia" w:eastAsia="仿宋_GB2312" w:cs="仿宋_GB2312"/>
          <w:szCs w:val="32"/>
        </w:rPr>
        <w:t>信息</w:t>
      </w:r>
      <w:r>
        <w:rPr>
          <w:rFonts w:eastAsia="仿宋_GB2312" w:cs="仿宋_GB2312"/>
          <w:szCs w:val="32"/>
        </w:rPr>
        <w:t>公开工作的开展。</w:t>
      </w:r>
    </w:p>
    <w:p w14:paraId="6AC28766">
      <w:pPr>
        <w:spacing w:line="560" w:lineRule="exact"/>
        <w:ind w:firstLine="640" w:firstLineChars="200"/>
        <w:rPr>
          <w:rFonts w:ascii="楷体_GB2312" w:hAnsi="黑体" w:eastAsia="楷体_GB2312"/>
          <w:szCs w:val="32"/>
        </w:rPr>
      </w:pPr>
      <w:r>
        <w:rPr>
          <w:rFonts w:hint="eastAsia" w:ascii="楷体_GB2312" w:hAnsi="黑体" w:eastAsia="楷体_GB2312"/>
          <w:szCs w:val="32"/>
        </w:rPr>
        <w:t>（五）有关数据统计说明</w:t>
      </w:r>
    </w:p>
    <w:p w14:paraId="309B81E7">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14:paraId="6BA8581D">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14:paraId="29A12784">
      <w:pPr>
        <w:spacing w:line="560" w:lineRule="exact"/>
        <w:ind w:firstLine="640" w:firstLineChars="200"/>
        <w:rPr>
          <w:rFonts w:ascii="仿宋_GB2312" w:eastAsia="仿宋_GB2312"/>
          <w:szCs w:val="32"/>
        </w:rPr>
      </w:pPr>
      <w:r>
        <w:rPr>
          <w:rFonts w:hint="eastAsia" w:ascii="仿宋_GB2312" w:eastAsia="仿宋_GB2312"/>
          <w:szCs w:val="32"/>
        </w:rPr>
        <w:t xml:space="preserve">3.行政复议机关作为共同被告的行政诉讼案件，只计算原行为主体的案件数量，不计算行政复议机关的案件数量。 </w:t>
      </w:r>
    </w:p>
    <w:p w14:paraId="2ECF1970">
      <w:pPr>
        <w:spacing w:line="560" w:lineRule="exact"/>
        <w:ind w:firstLine="640" w:firstLineChars="200"/>
        <w:rPr>
          <w:rFonts w:ascii="楷体_GB2312" w:hAnsi="黑体" w:eastAsia="楷体_GB2312"/>
          <w:szCs w:val="32"/>
        </w:rPr>
      </w:pPr>
      <w:r>
        <w:rPr>
          <w:rFonts w:hint="eastAsia" w:ascii="楷体_GB2312" w:hAnsi="黑体" w:eastAsia="楷体_GB2312"/>
          <w:szCs w:val="32"/>
        </w:rPr>
        <w:t>（六）</w:t>
      </w:r>
      <w:r>
        <w:rPr>
          <w:rFonts w:hint="eastAsia" w:ascii="楷体_GB2312" w:eastAsia="楷体_GB2312"/>
          <w:szCs w:val="32"/>
        </w:rPr>
        <w:t>公共企事业单位信息公开工作开展情况</w:t>
      </w:r>
    </w:p>
    <w:p w14:paraId="1F6EFC97">
      <w:pPr>
        <w:spacing w:line="560" w:lineRule="exact"/>
        <w:ind w:firstLine="640" w:firstLineChars="200"/>
        <w:rPr>
          <w:rFonts w:ascii="仿宋_GB2312" w:eastAsia="仿宋_GB2312"/>
          <w:szCs w:val="32"/>
        </w:rPr>
      </w:pPr>
      <w:r>
        <w:rPr>
          <w:rFonts w:hint="eastAsia" w:ascii="仿宋_GB2312" w:eastAsia="仿宋_GB2312"/>
          <w:szCs w:val="32"/>
        </w:rPr>
        <w:t>做好中小学校信息公开，202</w:t>
      </w:r>
      <w:r>
        <w:rPr>
          <w:rFonts w:ascii="仿宋_GB2312" w:eastAsia="仿宋_GB2312"/>
          <w:szCs w:val="32"/>
        </w:rPr>
        <w:t>2</w:t>
      </w:r>
      <w:r>
        <w:rPr>
          <w:rFonts w:hint="eastAsia" w:ascii="仿宋_GB2312" w:eastAsia="仿宋_GB2312"/>
          <w:szCs w:val="32"/>
        </w:rPr>
        <w:t>年度在信息公开专栏公开全县24所县属学校相关信息，主要包括学校概况，规划统计，财务信息、招生录取、教育教学、教师管理、学生管理、体育美育、校园安全等信息。同时，各学校通过设置校务公开专栏、举办“家长开放日”等活动，不断更新优化信息开放的形式，为做好家校沟通，提高工作的透明度和公信力奠定了良好的基础。明确“专人”负责。将信息公开作为一项重点工作，确定“学校层面”信息公开负责人，实现“专人”全覆盖。实现“动态”管理。组织各学校开展6次信息公开自查工作，确保信息公开无缺项、漏项，做到应公开尽公开。</w:t>
      </w:r>
    </w:p>
    <w:p w14:paraId="5CEEE862">
      <w:pPr>
        <w:spacing w:line="560" w:lineRule="exact"/>
        <w:ind w:firstLine="640" w:firstLineChars="200"/>
        <w:rPr>
          <w:rFonts w:ascii="仿宋_GB2312" w:eastAsia="仿宋_GB2312"/>
          <w:szCs w:val="32"/>
        </w:rPr>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NTY4YTZjOGM4YmY2NGVjMDljNGRiMmJhOWJlMmIifQ=="/>
  </w:docVars>
  <w:rsids>
    <w:rsidRoot w:val="002E3543"/>
    <w:rsid w:val="00024945"/>
    <w:rsid w:val="00073074"/>
    <w:rsid w:val="00117733"/>
    <w:rsid w:val="00121DCF"/>
    <w:rsid w:val="00140EB0"/>
    <w:rsid w:val="001436D4"/>
    <w:rsid w:val="00153400"/>
    <w:rsid w:val="00176963"/>
    <w:rsid w:val="00211942"/>
    <w:rsid w:val="002E3543"/>
    <w:rsid w:val="00391652"/>
    <w:rsid w:val="0040134A"/>
    <w:rsid w:val="00415AB1"/>
    <w:rsid w:val="00441A10"/>
    <w:rsid w:val="00461787"/>
    <w:rsid w:val="005634DB"/>
    <w:rsid w:val="00591E5D"/>
    <w:rsid w:val="00610378"/>
    <w:rsid w:val="00673AC7"/>
    <w:rsid w:val="006E673E"/>
    <w:rsid w:val="00704FCD"/>
    <w:rsid w:val="00706B93"/>
    <w:rsid w:val="00804BCC"/>
    <w:rsid w:val="008C40CA"/>
    <w:rsid w:val="008C4ED2"/>
    <w:rsid w:val="009B028C"/>
    <w:rsid w:val="00A42342"/>
    <w:rsid w:val="00BE5BE8"/>
    <w:rsid w:val="00C67940"/>
    <w:rsid w:val="00CC2BE7"/>
    <w:rsid w:val="00CD1D00"/>
    <w:rsid w:val="00DC21A9"/>
    <w:rsid w:val="00E547E3"/>
    <w:rsid w:val="00E80709"/>
    <w:rsid w:val="00EA0721"/>
    <w:rsid w:val="00EF5607"/>
    <w:rsid w:val="00F621A0"/>
    <w:rsid w:val="00F8317F"/>
    <w:rsid w:val="00FA216A"/>
    <w:rsid w:val="00FD5381"/>
    <w:rsid w:val="01640A4B"/>
    <w:rsid w:val="03982A0B"/>
    <w:rsid w:val="06A81770"/>
    <w:rsid w:val="081F1718"/>
    <w:rsid w:val="0889487A"/>
    <w:rsid w:val="08E84CD2"/>
    <w:rsid w:val="10FC0367"/>
    <w:rsid w:val="125D64C5"/>
    <w:rsid w:val="14065C1C"/>
    <w:rsid w:val="14F728A9"/>
    <w:rsid w:val="187A22F0"/>
    <w:rsid w:val="1A0C7DEA"/>
    <w:rsid w:val="1C6D75B1"/>
    <w:rsid w:val="1E562965"/>
    <w:rsid w:val="1EF45480"/>
    <w:rsid w:val="1FE521F3"/>
    <w:rsid w:val="20651CF4"/>
    <w:rsid w:val="21E80F2A"/>
    <w:rsid w:val="24F85400"/>
    <w:rsid w:val="26FD374B"/>
    <w:rsid w:val="27335FDD"/>
    <w:rsid w:val="2922603F"/>
    <w:rsid w:val="2BA230AE"/>
    <w:rsid w:val="2C3D7C57"/>
    <w:rsid w:val="33EA7980"/>
    <w:rsid w:val="36805BF9"/>
    <w:rsid w:val="392E030F"/>
    <w:rsid w:val="3C0D06AF"/>
    <w:rsid w:val="3DAE1A1E"/>
    <w:rsid w:val="3E3F6B1A"/>
    <w:rsid w:val="3FF34060"/>
    <w:rsid w:val="408C24B8"/>
    <w:rsid w:val="421D3BE9"/>
    <w:rsid w:val="43B802BF"/>
    <w:rsid w:val="43B81CE0"/>
    <w:rsid w:val="45723C79"/>
    <w:rsid w:val="47D62416"/>
    <w:rsid w:val="48F621D2"/>
    <w:rsid w:val="492359B6"/>
    <w:rsid w:val="4A5B0BB1"/>
    <w:rsid w:val="4A5C2DC6"/>
    <w:rsid w:val="4EDA383C"/>
    <w:rsid w:val="50C3571D"/>
    <w:rsid w:val="529E42FF"/>
    <w:rsid w:val="52BC4786"/>
    <w:rsid w:val="53352CD2"/>
    <w:rsid w:val="5948472A"/>
    <w:rsid w:val="5B31645E"/>
    <w:rsid w:val="5E0E4F51"/>
    <w:rsid w:val="5E7714CE"/>
    <w:rsid w:val="62C02A8E"/>
    <w:rsid w:val="636D5BF9"/>
    <w:rsid w:val="6464192A"/>
    <w:rsid w:val="64FD1EA1"/>
    <w:rsid w:val="6679272C"/>
    <w:rsid w:val="66D954AE"/>
    <w:rsid w:val="687E71F0"/>
    <w:rsid w:val="68CD3FED"/>
    <w:rsid w:val="68F616AC"/>
    <w:rsid w:val="6B312E37"/>
    <w:rsid w:val="6CF04273"/>
    <w:rsid w:val="71AD37BF"/>
    <w:rsid w:val="72486B35"/>
    <w:rsid w:val="7401441F"/>
    <w:rsid w:val="74042785"/>
    <w:rsid w:val="7A113833"/>
    <w:rsid w:val="7C4D0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semiHidden/>
    <w:unhideWhenUsed/>
    <w:qFormat/>
    <w:uiPriority w:val="99"/>
    <w:pPr>
      <w:spacing w:beforeAutospacing="1" w:afterAutospacing="1"/>
      <w:jc w:val="left"/>
    </w:pPr>
    <w:rPr>
      <w:sz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5"/>
    <w:qFormat/>
    <w:uiPriority w:val="99"/>
    <w:rPr>
      <w:rFonts w:ascii="Times New Roman" w:hAnsi="Times New Roman" w:eastAsia="方正仿宋_GBK" w:cs="Times New Roman"/>
      <w:snapToGrid w:val="0"/>
      <w:kern w:val="0"/>
      <w:sz w:val="18"/>
      <w:szCs w:val="18"/>
    </w:rPr>
  </w:style>
  <w:style w:type="character" w:customStyle="1" w:styleId="14">
    <w:name w:val="页脚 Char"/>
    <w:basedOn w:val="10"/>
    <w:link w:val="4"/>
    <w:qFormat/>
    <w:uiPriority w:val="99"/>
    <w:rPr>
      <w:rFonts w:ascii="Times New Roman" w:hAnsi="Times New Roman" w:eastAsia="方正仿宋_GBK" w:cs="Times New Roman"/>
      <w:snapToGrid w:val="0"/>
      <w:kern w:val="0"/>
      <w:sz w:val="18"/>
      <w:szCs w:val="18"/>
    </w:rPr>
  </w:style>
  <w:style w:type="character" w:customStyle="1" w:styleId="15">
    <w:name w:val="批注框文本 Char"/>
    <w:basedOn w:val="10"/>
    <w:link w:val="3"/>
    <w:semiHidden/>
    <w:qFormat/>
    <w:uiPriority w:val="99"/>
    <w:rPr>
      <w:rFonts w:eastAsia="方正仿宋_GBK"/>
      <w:snapToGrid w:val="0"/>
      <w:sz w:val="18"/>
      <w:szCs w:val="18"/>
    </w:rPr>
  </w:style>
  <w:style w:type="character" w:customStyle="1" w:styleId="16">
    <w:name w:val="批注文字 Char"/>
    <w:basedOn w:val="10"/>
    <w:link w:val="2"/>
    <w:semiHidden/>
    <w:qFormat/>
    <w:uiPriority w:val="99"/>
    <w:rPr>
      <w:rFonts w:eastAsia="方正仿宋_GBK"/>
      <w:snapToGrid w:val="0"/>
      <w:sz w:val="32"/>
    </w:rPr>
  </w:style>
  <w:style w:type="character" w:customStyle="1" w:styleId="17">
    <w:name w:val="批注主题 Char"/>
    <w:basedOn w:val="16"/>
    <w:link w:val="7"/>
    <w:semiHidden/>
    <w:qFormat/>
    <w:uiPriority w:val="99"/>
    <w:rPr>
      <w:rFonts w:eastAsia="方正仿宋_GBK"/>
      <w:b/>
      <w:bCs/>
      <w:snapToGrid w:val="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10</Pages>
  <Words>1181</Words>
  <Characters>1277</Characters>
  <Lines>30</Lines>
  <Paragraphs>8</Paragraphs>
  <TotalTime>40</TotalTime>
  <ScaleCrop>false</ScaleCrop>
  <LinksUpToDate>false</LinksUpToDate>
  <CharactersWithSpaces>1277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cp:lastModifiedBy>
  <dcterms:modified xsi:type="dcterms:W3CDTF">2025-12-01T09:53:16Z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AD895078C2BE4DD491CDE95125F56CCE</vt:lpwstr>
  </property>
  <property fmtid="{D5CDD505-2E9C-101B-9397-08002B2CF9AE}" pid="4" name="KSOTemplateDocerSaveRecord">
    <vt:lpwstr>eyJoZGlkIjoiNDA0NDljNmFiMzFkY2ZjZmQ4N2MzMDQyM2Q3NzlkMzMiLCJ1c2VySWQiOiI1MjQ4Mzc4MjkifQ==</vt:lpwstr>
  </property>
</Properties>
</file>