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D0" w:rsidRDefault="00006AD0" w:rsidP="00006AD0">
      <w:pPr>
        <w:rPr>
          <w:rFonts w:ascii="仿宋_GB2312" w:eastAsia="仿宋_GB2312"/>
          <w:sz w:val="32"/>
          <w:szCs w:val="32"/>
        </w:rPr>
      </w:pPr>
      <w:bookmarkStart w:id="0" w:name="_GoBack"/>
      <w:bookmarkEnd w:id="0"/>
      <w:r>
        <w:rPr>
          <w:rFonts w:ascii="仿宋_GB2312" w:eastAsia="仿宋_GB2312"/>
          <w:sz w:val="32"/>
          <w:szCs w:val="32"/>
        </w:rPr>
        <w:t>附件</w:t>
      </w:r>
      <w:r>
        <w:rPr>
          <w:rFonts w:ascii="仿宋_GB2312" w:eastAsia="仿宋_GB2312" w:hint="eastAsia"/>
          <w:sz w:val="32"/>
          <w:szCs w:val="32"/>
        </w:rPr>
        <w:t>1</w:t>
      </w:r>
    </w:p>
    <w:p w:rsidR="00006AD0" w:rsidRPr="00006AD0" w:rsidRDefault="00006AD0" w:rsidP="00006AD0">
      <w:pPr>
        <w:jc w:val="center"/>
        <w:rPr>
          <w:rFonts w:ascii="方正小标宋简体" w:eastAsia="方正小标宋简体"/>
          <w:sz w:val="36"/>
          <w:szCs w:val="36"/>
        </w:rPr>
      </w:pPr>
      <w:r w:rsidRPr="00006AD0">
        <w:rPr>
          <w:rFonts w:ascii="方正小标宋简体" w:eastAsia="方正小标宋简体" w:hint="eastAsia"/>
          <w:sz w:val="36"/>
          <w:szCs w:val="36"/>
        </w:rPr>
        <w:t>失学辍学儿童少年统计表</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883"/>
        <w:gridCol w:w="1030"/>
        <w:gridCol w:w="882"/>
        <w:gridCol w:w="1620"/>
        <w:gridCol w:w="1643"/>
        <w:gridCol w:w="1418"/>
        <w:gridCol w:w="1449"/>
        <w:gridCol w:w="1386"/>
        <w:gridCol w:w="1275"/>
        <w:gridCol w:w="1418"/>
        <w:gridCol w:w="850"/>
      </w:tblGrid>
      <w:tr w:rsidR="004B3C10" w:rsidRPr="004B3C10" w:rsidTr="004B3C10">
        <w:trPr>
          <w:trHeight w:val="541"/>
          <w:jc w:val="center"/>
        </w:trPr>
        <w:tc>
          <w:tcPr>
            <w:tcW w:w="883" w:type="dxa"/>
            <w:shd w:val="clear" w:color="000000" w:fill="FFFFFF"/>
            <w:vAlign w:val="center"/>
            <w:hideMark/>
          </w:tcPr>
          <w:p w:rsidR="00006AD0" w:rsidRPr="00006AD0" w:rsidRDefault="004B3C10" w:rsidP="004B3C10">
            <w:pPr>
              <w:widowControl/>
              <w:spacing w:line="360" w:lineRule="exact"/>
              <w:rPr>
                <w:rFonts w:ascii="黑体" w:eastAsia="黑体" w:hAnsi="黑体" w:cs="宋体"/>
                <w:color w:val="000000"/>
                <w:kern w:val="0"/>
                <w:sz w:val="28"/>
                <w:szCs w:val="28"/>
              </w:rPr>
            </w:pPr>
            <w:r w:rsidRPr="004B3C10">
              <w:rPr>
                <w:rFonts w:ascii="黑体" w:eastAsia="黑体" w:hAnsi="黑体" w:cs="宋体"/>
                <w:color w:val="000000"/>
                <w:kern w:val="0"/>
                <w:sz w:val="28"/>
                <w:szCs w:val="28"/>
              </w:rPr>
              <w:t>区县</w:t>
            </w:r>
          </w:p>
        </w:tc>
        <w:tc>
          <w:tcPr>
            <w:tcW w:w="883"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序号</w:t>
            </w:r>
          </w:p>
        </w:tc>
        <w:tc>
          <w:tcPr>
            <w:tcW w:w="1030"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姓名</w:t>
            </w:r>
          </w:p>
        </w:tc>
        <w:tc>
          <w:tcPr>
            <w:tcW w:w="882"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性别</w:t>
            </w:r>
          </w:p>
        </w:tc>
        <w:tc>
          <w:tcPr>
            <w:tcW w:w="1620"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所在学校</w:t>
            </w:r>
          </w:p>
        </w:tc>
        <w:tc>
          <w:tcPr>
            <w:tcW w:w="1643"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身份证号</w:t>
            </w:r>
          </w:p>
        </w:tc>
        <w:tc>
          <w:tcPr>
            <w:tcW w:w="1418"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家庭住址</w:t>
            </w:r>
          </w:p>
        </w:tc>
        <w:tc>
          <w:tcPr>
            <w:tcW w:w="1449" w:type="dxa"/>
            <w:shd w:val="clear" w:color="000000" w:fill="FFFFFF"/>
            <w:vAlign w:val="center"/>
            <w:hideMark/>
          </w:tcPr>
          <w:p w:rsidR="00006AD0" w:rsidRPr="004B3C1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失学辍学</w:t>
            </w:r>
          </w:p>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原因</w:t>
            </w:r>
          </w:p>
        </w:tc>
        <w:tc>
          <w:tcPr>
            <w:tcW w:w="1386" w:type="dxa"/>
            <w:shd w:val="clear" w:color="000000" w:fill="FFFFFF"/>
            <w:vAlign w:val="center"/>
            <w:hideMark/>
          </w:tcPr>
          <w:p w:rsidR="00006AD0" w:rsidRPr="004B3C1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劝返过程</w:t>
            </w:r>
          </w:p>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记录</w:t>
            </w:r>
          </w:p>
        </w:tc>
        <w:tc>
          <w:tcPr>
            <w:tcW w:w="1275" w:type="dxa"/>
            <w:shd w:val="clear" w:color="000000" w:fill="FFFFFF"/>
            <w:vAlign w:val="center"/>
            <w:hideMark/>
          </w:tcPr>
          <w:p w:rsidR="004B3C1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劝返</w:t>
            </w:r>
          </w:p>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责任人</w:t>
            </w:r>
          </w:p>
        </w:tc>
        <w:tc>
          <w:tcPr>
            <w:tcW w:w="1418"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劝返结果</w:t>
            </w:r>
          </w:p>
        </w:tc>
        <w:tc>
          <w:tcPr>
            <w:tcW w:w="850" w:type="dxa"/>
            <w:shd w:val="clear" w:color="000000" w:fill="FFFFFF"/>
            <w:vAlign w:val="center"/>
            <w:hideMark/>
          </w:tcPr>
          <w:p w:rsidR="00006AD0" w:rsidRPr="00006AD0" w:rsidRDefault="00006AD0" w:rsidP="004B3C10">
            <w:pPr>
              <w:widowControl/>
              <w:spacing w:line="360" w:lineRule="exact"/>
              <w:jc w:val="center"/>
              <w:rPr>
                <w:rFonts w:ascii="黑体" w:eastAsia="黑体" w:hAnsi="黑体" w:cs="宋体"/>
                <w:color w:val="000000"/>
                <w:kern w:val="0"/>
                <w:sz w:val="28"/>
                <w:szCs w:val="28"/>
              </w:rPr>
            </w:pPr>
            <w:r w:rsidRPr="00006AD0">
              <w:rPr>
                <w:rFonts w:ascii="黑体" w:eastAsia="黑体" w:hAnsi="黑体" w:cs="宋体" w:hint="eastAsia"/>
                <w:color w:val="000000"/>
                <w:kern w:val="0"/>
                <w:sz w:val="28"/>
                <w:szCs w:val="28"/>
              </w:rPr>
              <w:t>备注</w:t>
            </w:r>
          </w:p>
        </w:tc>
      </w:tr>
      <w:tr w:rsidR="004B3C10" w:rsidRPr="00006AD0" w:rsidTr="004B3C10">
        <w:trPr>
          <w:trHeight w:val="1353"/>
          <w:jc w:val="center"/>
        </w:trPr>
        <w:tc>
          <w:tcPr>
            <w:tcW w:w="883"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XXX</w:t>
            </w:r>
          </w:p>
        </w:tc>
        <w:tc>
          <w:tcPr>
            <w:tcW w:w="883"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1</w:t>
            </w:r>
          </w:p>
        </w:tc>
        <w:tc>
          <w:tcPr>
            <w:tcW w:w="1030"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XXX</w:t>
            </w:r>
          </w:p>
        </w:tc>
        <w:tc>
          <w:tcPr>
            <w:tcW w:w="882"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男/女</w:t>
            </w:r>
          </w:p>
        </w:tc>
        <w:tc>
          <w:tcPr>
            <w:tcW w:w="1620"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XXX学校</w:t>
            </w:r>
          </w:p>
        </w:tc>
        <w:tc>
          <w:tcPr>
            <w:tcW w:w="1643"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w:t>
            </w:r>
          </w:p>
        </w:tc>
        <w:tc>
          <w:tcPr>
            <w:tcW w:w="1418"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详细住址</w:t>
            </w:r>
          </w:p>
        </w:tc>
        <w:tc>
          <w:tcPr>
            <w:tcW w:w="1449"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具体原因应详细说明。</w:t>
            </w:r>
          </w:p>
        </w:tc>
        <w:tc>
          <w:tcPr>
            <w:tcW w:w="1386"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XX月XX日XX老师进行劝返，与学生及家长进行了哪些沟通。</w:t>
            </w:r>
          </w:p>
        </w:tc>
        <w:tc>
          <w:tcPr>
            <w:tcW w:w="1275"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XXX</w:t>
            </w:r>
          </w:p>
        </w:tc>
        <w:tc>
          <w:tcPr>
            <w:tcW w:w="1418" w:type="dxa"/>
            <w:shd w:val="clear" w:color="000000" w:fill="FFFFFF"/>
            <w:vAlign w:val="center"/>
            <w:hideMark/>
          </w:tcPr>
          <w:p w:rsidR="00006AD0" w:rsidRPr="00006AD0" w:rsidRDefault="00006AD0" w:rsidP="00006AD0">
            <w:pPr>
              <w:widowControl/>
              <w:rPr>
                <w:rFonts w:ascii="仿宋_GB2312" w:eastAsia="仿宋_GB2312" w:hAnsi="宋体" w:cs="宋体"/>
                <w:color w:val="000000"/>
                <w:kern w:val="0"/>
                <w:szCs w:val="21"/>
              </w:rPr>
            </w:pPr>
            <w:r w:rsidRPr="00006AD0">
              <w:rPr>
                <w:rFonts w:ascii="仿宋_GB2312" w:eastAsia="仿宋_GB2312" w:hAnsi="宋体" w:cs="宋体" w:hint="eastAsia"/>
                <w:color w:val="000000"/>
                <w:kern w:val="0"/>
                <w:szCs w:val="21"/>
              </w:rPr>
              <w:t>1.已复学</w:t>
            </w:r>
            <w:r w:rsidRPr="00006AD0">
              <w:rPr>
                <w:rFonts w:ascii="仿宋_GB2312" w:eastAsia="仿宋_GB2312" w:hAnsi="宋体" w:cs="宋体" w:hint="eastAsia"/>
                <w:color w:val="000000"/>
                <w:kern w:val="0"/>
                <w:szCs w:val="21"/>
              </w:rPr>
              <w:br/>
              <w:t>2.尚未复学，拟于XX月XX日返校复学。</w:t>
            </w:r>
          </w:p>
        </w:tc>
        <w:tc>
          <w:tcPr>
            <w:tcW w:w="850" w:type="dxa"/>
            <w:shd w:val="clear" w:color="000000" w:fill="FFFFFF"/>
            <w:vAlign w:val="center"/>
            <w:hideMark/>
          </w:tcPr>
          <w:p w:rsidR="00006AD0" w:rsidRPr="00006AD0" w:rsidRDefault="00006AD0" w:rsidP="00006AD0">
            <w:pPr>
              <w:widowControl/>
              <w:jc w:val="center"/>
              <w:rPr>
                <w:rFonts w:ascii="仿宋_GB2312" w:eastAsia="仿宋_GB2312" w:hAnsi="宋体" w:cs="宋体"/>
                <w:color w:val="000000"/>
                <w:kern w:val="0"/>
                <w:sz w:val="18"/>
                <w:szCs w:val="18"/>
              </w:rPr>
            </w:pPr>
            <w:r w:rsidRPr="00006AD0">
              <w:rPr>
                <w:rFonts w:ascii="仿宋_GB2312" w:eastAsia="仿宋_GB2312" w:hAnsi="宋体" w:cs="宋体" w:hint="eastAsia"/>
                <w:color w:val="000000"/>
                <w:kern w:val="0"/>
                <w:sz w:val="18"/>
                <w:szCs w:val="18"/>
              </w:rPr>
              <w:t xml:space="preserve">　</w:t>
            </w:r>
          </w:p>
        </w:tc>
      </w:tr>
      <w:tr w:rsidR="004B3C10" w:rsidRPr="00006AD0" w:rsidTr="004B3C10">
        <w:trPr>
          <w:trHeight w:val="899"/>
          <w:jc w:val="center"/>
        </w:trPr>
        <w:tc>
          <w:tcPr>
            <w:tcW w:w="88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88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03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882"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62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64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18"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49"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386"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275"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18" w:type="dxa"/>
            <w:shd w:val="clear" w:color="000000" w:fill="FFFFFF"/>
            <w:vAlign w:val="center"/>
          </w:tcPr>
          <w:p w:rsidR="004B3C10" w:rsidRPr="00006AD0" w:rsidRDefault="004B3C10" w:rsidP="00006AD0">
            <w:pPr>
              <w:widowControl/>
              <w:rPr>
                <w:rFonts w:ascii="仿宋_GB2312" w:eastAsia="仿宋_GB2312" w:hAnsi="宋体" w:cs="宋体"/>
                <w:color w:val="000000"/>
                <w:kern w:val="0"/>
                <w:sz w:val="18"/>
                <w:szCs w:val="18"/>
              </w:rPr>
            </w:pPr>
          </w:p>
        </w:tc>
        <w:tc>
          <w:tcPr>
            <w:tcW w:w="85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r>
      <w:tr w:rsidR="004B3C10" w:rsidRPr="00006AD0" w:rsidTr="004B3C10">
        <w:trPr>
          <w:trHeight w:val="856"/>
          <w:jc w:val="center"/>
        </w:trPr>
        <w:tc>
          <w:tcPr>
            <w:tcW w:w="88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88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03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882"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62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64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18"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49"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386"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275"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18" w:type="dxa"/>
            <w:shd w:val="clear" w:color="000000" w:fill="FFFFFF"/>
            <w:vAlign w:val="center"/>
          </w:tcPr>
          <w:p w:rsidR="004B3C10" w:rsidRPr="00006AD0" w:rsidRDefault="004B3C10" w:rsidP="00006AD0">
            <w:pPr>
              <w:widowControl/>
              <w:rPr>
                <w:rFonts w:ascii="仿宋_GB2312" w:eastAsia="仿宋_GB2312" w:hAnsi="宋体" w:cs="宋体"/>
                <w:color w:val="000000"/>
                <w:kern w:val="0"/>
                <w:sz w:val="18"/>
                <w:szCs w:val="18"/>
              </w:rPr>
            </w:pPr>
          </w:p>
        </w:tc>
        <w:tc>
          <w:tcPr>
            <w:tcW w:w="85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r>
      <w:tr w:rsidR="004B3C10" w:rsidRPr="00006AD0" w:rsidTr="004B3C10">
        <w:trPr>
          <w:trHeight w:val="856"/>
          <w:jc w:val="center"/>
        </w:trPr>
        <w:tc>
          <w:tcPr>
            <w:tcW w:w="88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88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03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882"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62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643"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18"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49"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386"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275"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c>
          <w:tcPr>
            <w:tcW w:w="1418" w:type="dxa"/>
            <w:shd w:val="clear" w:color="000000" w:fill="FFFFFF"/>
            <w:vAlign w:val="center"/>
          </w:tcPr>
          <w:p w:rsidR="004B3C10" w:rsidRPr="00006AD0" w:rsidRDefault="004B3C10" w:rsidP="00006AD0">
            <w:pPr>
              <w:widowControl/>
              <w:rPr>
                <w:rFonts w:ascii="仿宋_GB2312" w:eastAsia="仿宋_GB2312" w:hAnsi="宋体" w:cs="宋体"/>
                <w:color w:val="000000"/>
                <w:kern w:val="0"/>
                <w:sz w:val="18"/>
                <w:szCs w:val="18"/>
              </w:rPr>
            </w:pPr>
          </w:p>
        </w:tc>
        <w:tc>
          <w:tcPr>
            <w:tcW w:w="850" w:type="dxa"/>
            <w:shd w:val="clear" w:color="000000" w:fill="FFFFFF"/>
            <w:vAlign w:val="center"/>
          </w:tcPr>
          <w:p w:rsidR="004B3C10" w:rsidRPr="00006AD0" w:rsidRDefault="004B3C10" w:rsidP="00006AD0">
            <w:pPr>
              <w:widowControl/>
              <w:jc w:val="center"/>
              <w:rPr>
                <w:rFonts w:ascii="仿宋_GB2312" w:eastAsia="仿宋_GB2312" w:hAnsi="宋体" w:cs="宋体"/>
                <w:color w:val="000000"/>
                <w:kern w:val="0"/>
                <w:sz w:val="18"/>
                <w:szCs w:val="18"/>
              </w:rPr>
            </w:pPr>
          </w:p>
        </w:tc>
      </w:tr>
    </w:tbl>
    <w:p w:rsidR="00E74FC5" w:rsidRDefault="004B3C10" w:rsidP="00E74FC5">
      <w:pPr>
        <w:rPr>
          <w:rFonts w:ascii="仿宋_GB2312" w:eastAsia="仿宋_GB2312"/>
          <w:sz w:val="32"/>
          <w:szCs w:val="32"/>
        </w:rPr>
      </w:pPr>
      <w:r w:rsidRPr="004B3C10">
        <w:rPr>
          <w:rFonts w:ascii="仿宋_GB2312" w:eastAsia="仿宋_GB2312" w:hint="eastAsia"/>
          <w:sz w:val="32"/>
          <w:szCs w:val="32"/>
        </w:rPr>
        <w:t>填表说明：请在备注栏内点击下拉式菜单，选择学生类型。相关学生类型分为家庭经济困难学生、残疾儿童、留守儿童、事实无人抚养儿童、孤困境儿童、普通学生。</w:t>
      </w:r>
    </w:p>
    <w:p w:rsidR="004B3C10" w:rsidRDefault="004B3C10" w:rsidP="00E74FC5">
      <w:pPr>
        <w:rPr>
          <w:rFonts w:ascii="仿宋_GB2312" w:eastAsia="仿宋_GB2312"/>
          <w:sz w:val="32"/>
          <w:szCs w:val="32"/>
        </w:rPr>
      </w:pPr>
    </w:p>
    <w:p w:rsidR="004B3C10" w:rsidRDefault="004B3C10" w:rsidP="004B3C10">
      <w:pPr>
        <w:rPr>
          <w:rFonts w:ascii="仿宋_GB2312" w:eastAsia="仿宋_GB2312"/>
          <w:sz w:val="32"/>
          <w:szCs w:val="32"/>
        </w:rPr>
      </w:pPr>
      <w:r>
        <w:rPr>
          <w:rFonts w:ascii="仿宋_GB2312" w:eastAsia="仿宋_GB2312"/>
          <w:sz w:val="32"/>
          <w:szCs w:val="32"/>
        </w:rPr>
        <w:lastRenderedPageBreak/>
        <w:t>附件</w:t>
      </w:r>
      <w:r w:rsidR="00EC1C2C">
        <w:rPr>
          <w:rFonts w:ascii="仿宋_GB2312" w:eastAsia="仿宋_GB2312"/>
          <w:sz w:val="32"/>
          <w:szCs w:val="32"/>
        </w:rPr>
        <w:t>2</w:t>
      </w:r>
    </w:p>
    <w:p w:rsidR="004B3C10" w:rsidRDefault="004B3C10" w:rsidP="004B3C10">
      <w:pPr>
        <w:jc w:val="center"/>
        <w:rPr>
          <w:rFonts w:ascii="方正小标宋简体" w:eastAsia="方正小标宋简体"/>
          <w:sz w:val="36"/>
          <w:szCs w:val="36"/>
        </w:rPr>
      </w:pPr>
      <w:r w:rsidRPr="004B3C10">
        <w:rPr>
          <w:rFonts w:ascii="方正小标宋简体" w:eastAsia="方正小标宋简体" w:hint="eastAsia"/>
          <w:sz w:val="36"/>
          <w:szCs w:val="36"/>
        </w:rPr>
        <w:t>控辍保学摸排情况统计表</w:t>
      </w:r>
    </w:p>
    <w:p w:rsidR="00EC1C2C" w:rsidRPr="00EC1C2C" w:rsidRDefault="00EC1C2C" w:rsidP="00EC1C2C">
      <w:pPr>
        <w:jc w:val="left"/>
        <w:rPr>
          <w:rFonts w:ascii="仿宋_GB2312" w:eastAsia="仿宋_GB2312"/>
          <w:sz w:val="32"/>
          <w:szCs w:val="32"/>
        </w:rPr>
      </w:pPr>
      <w:r w:rsidRPr="00EC1C2C">
        <w:rPr>
          <w:rFonts w:ascii="仿宋_GB2312" w:eastAsia="仿宋_GB2312" w:hint="eastAsia"/>
          <w:sz w:val="32"/>
          <w:szCs w:val="32"/>
        </w:rPr>
        <w:t>学校摸排责任人:</w:t>
      </w:r>
      <w:r>
        <w:rPr>
          <w:rFonts w:ascii="仿宋_GB2312" w:eastAsia="仿宋_GB2312"/>
          <w:sz w:val="32"/>
          <w:szCs w:val="32"/>
        </w:rPr>
        <w:t xml:space="preserve">                                      </w:t>
      </w:r>
      <w:r w:rsidRPr="00EC1C2C">
        <w:rPr>
          <w:rFonts w:ascii="仿宋_GB2312" w:eastAsia="仿宋_GB2312" w:hint="eastAsia"/>
          <w:sz w:val="32"/>
          <w:szCs w:val="32"/>
        </w:rPr>
        <w:t xml:space="preserve"> 村委（居委会）责任人:</w:t>
      </w:r>
    </w:p>
    <w:tbl>
      <w:tblPr>
        <w:tblW w:w="14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966"/>
        <w:gridCol w:w="1713"/>
        <w:gridCol w:w="992"/>
        <w:gridCol w:w="1701"/>
        <w:gridCol w:w="2299"/>
        <w:gridCol w:w="2019"/>
        <w:gridCol w:w="2177"/>
      </w:tblGrid>
      <w:tr w:rsidR="00EC1C2C" w:rsidRPr="004B3C10" w:rsidTr="00EC1C2C">
        <w:trPr>
          <w:trHeight w:val="780"/>
        </w:trPr>
        <w:tc>
          <w:tcPr>
            <w:tcW w:w="1141"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序号</w:t>
            </w:r>
          </w:p>
        </w:tc>
        <w:tc>
          <w:tcPr>
            <w:tcW w:w="1966"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学校</w:t>
            </w:r>
          </w:p>
        </w:tc>
        <w:tc>
          <w:tcPr>
            <w:tcW w:w="1713" w:type="dxa"/>
            <w:shd w:val="clear" w:color="000000" w:fill="FFFFFF"/>
            <w:vAlign w:val="center"/>
            <w:hideMark/>
          </w:tcPr>
          <w:p w:rsidR="00EC1C2C"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失学学生</w:t>
            </w:r>
          </w:p>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姓名</w:t>
            </w:r>
          </w:p>
        </w:tc>
        <w:tc>
          <w:tcPr>
            <w:tcW w:w="992"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性别</w:t>
            </w:r>
          </w:p>
        </w:tc>
        <w:tc>
          <w:tcPr>
            <w:tcW w:w="1701"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摸排时间</w:t>
            </w:r>
          </w:p>
        </w:tc>
        <w:tc>
          <w:tcPr>
            <w:tcW w:w="2299"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具体情况</w:t>
            </w:r>
          </w:p>
        </w:tc>
        <w:tc>
          <w:tcPr>
            <w:tcW w:w="2019"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劝返责任人</w:t>
            </w:r>
          </w:p>
        </w:tc>
        <w:tc>
          <w:tcPr>
            <w:tcW w:w="2177" w:type="dxa"/>
            <w:shd w:val="clear" w:color="000000" w:fill="FFFFFF"/>
            <w:vAlign w:val="center"/>
            <w:hideMark/>
          </w:tcPr>
          <w:p w:rsidR="004B3C10" w:rsidRPr="004B3C10" w:rsidRDefault="004B3C10" w:rsidP="00EC1C2C">
            <w:pPr>
              <w:widowControl/>
              <w:spacing w:line="360" w:lineRule="exact"/>
              <w:jc w:val="center"/>
              <w:rPr>
                <w:rFonts w:ascii="黑体" w:eastAsia="黑体" w:hAnsi="黑体" w:cs="宋体"/>
                <w:color w:val="000000"/>
                <w:kern w:val="0"/>
                <w:sz w:val="28"/>
                <w:szCs w:val="28"/>
              </w:rPr>
            </w:pPr>
            <w:r w:rsidRPr="004B3C10">
              <w:rPr>
                <w:rFonts w:ascii="黑体" w:eastAsia="黑体" w:hAnsi="黑体" w:cs="宋体" w:hint="eastAsia"/>
                <w:color w:val="000000"/>
                <w:kern w:val="0"/>
                <w:sz w:val="28"/>
                <w:szCs w:val="28"/>
              </w:rPr>
              <w:t>备注</w:t>
            </w:r>
          </w:p>
        </w:tc>
      </w:tr>
      <w:tr w:rsidR="00EC1C2C" w:rsidRPr="004B3C10" w:rsidTr="00EC1C2C">
        <w:trPr>
          <w:trHeight w:val="612"/>
        </w:trPr>
        <w:tc>
          <w:tcPr>
            <w:tcW w:w="1141"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1</w:t>
            </w:r>
          </w:p>
        </w:tc>
        <w:tc>
          <w:tcPr>
            <w:tcW w:w="1966"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XXX学校</w:t>
            </w:r>
          </w:p>
        </w:tc>
        <w:tc>
          <w:tcPr>
            <w:tcW w:w="1713"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XXX</w:t>
            </w:r>
          </w:p>
        </w:tc>
        <w:tc>
          <w:tcPr>
            <w:tcW w:w="992"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男/女</w:t>
            </w:r>
          </w:p>
        </w:tc>
        <w:tc>
          <w:tcPr>
            <w:tcW w:w="1701"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XX月XX日</w:t>
            </w:r>
          </w:p>
        </w:tc>
        <w:tc>
          <w:tcPr>
            <w:tcW w:w="2299"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详细说明</w:t>
            </w:r>
          </w:p>
        </w:tc>
        <w:tc>
          <w:tcPr>
            <w:tcW w:w="2019"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XXX</w:t>
            </w:r>
          </w:p>
        </w:tc>
        <w:tc>
          <w:tcPr>
            <w:tcW w:w="2177" w:type="dxa"/>
            <w:shd w:val="clear" w:color="000000" w:fill="FFFFFF"/>
            <w:vAlign w:val="center"/>
            <w:hideMark/>
          </w:tcPr>
          <w:p w:rsidR="004B3C10" w:rsidRPr="004B3C10" w:rsidRDefault="004B3C10" w:rsidP="004B3C10">
            <w:pPr>
              <w:widowControl/>
              <w:jc w:val="center"/>
              <w:rPr>
                <w:rFonts w:ascii="仿宋_GB2312" w:eastAsia="仿宋_GB2312" w:hAnsi="宋体" w:cs="宋体"/>
                <w:color w:val="000000"/>
                <w:kern w:val="0"/>
                <w:szCs w:val="21"/>
              </w:rPr>
            </w:pPr>
            <w:r w:rsidRPr="004B3C10">
              <w:rPr>
                <w:rFonts w:ascii="仿宋_GB2312" w:eastAsia="仿宋_GB2312" w:hAnsi="宋体" w:cs="宋体" w:hint="eastAsia"/>
                <w:color w:val="000000"/>
                <w:kern w:val="0"/>
                <w:szCs w:val="21"/>
              </w:rPr>
              <w:t xml:space="preserve">　</w:t>
            </w:r>
          </w:p>
        </w:tc>
      </w:tr>
      <w:tr w:rsidR="00EC1C2C" w:rsidRPr="004B3C10" w:rsidTr="00EC1C2C">
        <w:trPr>
          <w:trHeight w:val="612"/>
        </w:trPr>
        <w:tc>
          <w:tcPr>
            <w:tcW w:w="114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966"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13"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992"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0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29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01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177"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r>
      <w:tr w:rsidR="00EC1C2C" w:rsidRPr="004B3C10" w:rsidTr="00EC1C2C">
        <w:trPr>
          <w:trHeight w:val="612"/>
        </w:trPr>
        <w:tc>
          <w:tcPr>
            <w:tcW w:w="114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966"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13"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992"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0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29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01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177"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r>
      <w:tr w:rsidR="00EC1C2C" w:rsidRPr="004B3C10" w:rsidTr="00EC1C2C">
        <w:trPr>
          <w:trHeight w:val="612"/>
        </w:trPr>
        <w:tc>
          <w:tcPr>
            <w:tcW w:w="114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966"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13"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992"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0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29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01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177"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r>
      <w:tr w:rsidR="00EC1C2C" w:rsidRPr="004B3C10" w:rsidTr="00EC1C2C">
        <w:trPr>
          <w:trHeight w:val="612"/>
        </w:trPr>
        <w:tc>
          <w:tcPr>
            <w:tcW w:w="114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966"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13"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992"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1701"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29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019"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c>
          <w:tcPr>
            <w:tcW w:w="2177" w:type="dxa"/>
            <w:shd w:val="clear" w:color="000000" w:fill="FFFFFF"/>
            <w:vAlign w:val="center"/>
          </w:tcPr>
          <w:p w:rsidR="00EC1C2C" w:rsidRPr="004B3C10" w:rsidRDefault="00EC1C2C" w:rsidP="004B3C10">
            <w:pPr>
              <w:widowControl/>
              <w:jc w:val="center"/>
              <w:rPr>
                <w:rFonts w:ascii="仿宋_GB2312" w:eastAsia="仿宋_GB2312" w:hAnsi="宋体" w:cs="宋体"/>
                <w:color w:val="000000"/>
                <w:kern w:val="0"/>
                <w:szCs w:val="21"/>
              </w:rPr>
            </w:pPr>
          </w:p>
        </w:tc>
      </w:tr>
    </w:tbl>
    <w:p w:rsidR="004B3C10" w:rsidRDefault="00EC1C2C" w:rsidP="00E74FC5">
      <w:pPr>
        <w:rPr>
          <w:rFonts w:ascii="仿宋_GB2312" w:eastAsia="仿宋_GB2312"/>
          <w:sz w:val="32"/>
          <w:szCs w:val="32"/>
        </w:rPr>
      </w:pPr>
      <w:r w:rsidRPr="00EC1C2C">
        <w:rPr>
          <w:rFonts w:ascii="仿宋_GB2312" w:eastAsia="仿宋_GB2312" w:hint="eastAsia"/>
          <w:sz w:val="32"/>
          <w:szCs w:val="32"/>
        </w:rPr>
        <w:t>填表说明：请在备注栏内点击下拉式菜单，选择学生类型。相关学生类型分为家庭经济困难学生、残疾儿童、留守儿童、事实无人抚养儿童、孤困境儿童、普通学生。</w:t>
      </w:r>
    </w:p>
    <w:p w:rsidR="00EC1C2C" w:rsidRDefault="00EC1C2C" w:rsidP="00E74FC5">
      <w:pPr>
        <w:rPr>
          <w:rFonts w:ascii="仿宋_GB2312" w:eastAsia="仿宋_GB2312"/>
          <w:sz w:val="32"/>
          <w:szCs w:val="32"/>
        </w:rPr>
      </w:pPr>
    </w:p>
    <w:p w:rsidR="00EC1C2C" w:rsidRDefault="00EC1C2C" w:rsidP="00E74FC5">
      <w:pPr>
        <w:rPr>
          <w:rFonts w:ascii="仿宋_GB2312" w:eastAsia="仿宋_GB2312"/>
          <w:sz w:val="32"/>
          <w:szCs w:val="32"/>
        </w:rPr>
        <w:sectPr w:rsidR="00EC1C2C" w:rsidSect="00006AD0">
          <w:pgSz w:w="16838" w:h="11906" w:orient="landscape"/>
          <w:pgMar w:top="1800" w:right="1440" w:bottom="1800" w:left="1440" w:header="851" w:footer="992" w:gutter="0"/>
          <w:cols w:space="425"/>
          <w:docGrid w:type="lines" w:linePitch="312"/>
        </w:sectPr>
      </w:pPr>
    </w:p>
    <w:p w:rsidR="00EC1C2C" w:rsidRDefault="00EC1C2C" w:rsidP="003516F9">
      <w:pPr>
        <w:spacing w:line="570" w:lineRule="exact"/>
        <w:rPr>
          <w:rFonts w:ascii="仿宋_GB2312" w:eastAsia="仿宋_GB2312"/>
          <w:sz w:val="32"/>
          <w:szCs w:val="32"/>
        </w:rPr>
      </w:pPr>
      <w:r>
        <w:rPr>
          <w:rFonts w:ascii="仿宋_GB2312" w:eastAsia="仿宋_GB2312" w:hint="eastAsia"/>
          <w:sz w:val="32"/>
          <w:szCs w:val="32"/>
        </w:rPr>
        <w:lastRenderedPageBreak/>
        <w:t>附件3</w:t>
      </w:r>
    </w:p>
    <w:p w:rsidR="00EC1C2C" w:rsidRPr="003516F9" w:rsidRDefault="00EC1C2C" w:rsidP="003516F9">
      <w:pPr>
        <w:spacing w:line="570" w:lineRule="exact"/>
        <w:jc w:val="center"/>
        <w:rPr>
          <w:rFonts w:ascii="方正小标宋简体" w:eastAsia="方正小标宋简体"/>
          <w:sz w:val="36"/>
          <w:szCs w:val="36"/>
        </w:rPr>
      </w:pPr>
      <w:r w:rsidRPr="00EC1C2C">
        <w:rPr>
          <w:rFonts w:ascii="方正小标宋简体" w:eastAsia="方正小标宋简体" w:hint="eastAsia"/>
          <w:sz w:val="36"/>
          <w:szCs w:val="36"/>
        </w:rPr>
        <w:t>义务教育劝返复学具体情形工作指引</w:t>
      </w:r>
    </w:p>
    <w:p w:rsidR="003516F9" w:rsidRDefault="003516F9" w:rsidP="003516F9">
      <w:pPr>
        <w:spacing w:line="570" w:lineRule="exact"/>
        <w:ind w:firstLineChars="200" w:firstLine="640"/>
        <w:rPr>
          <w:rFonts w:ascii="黑体" w:eastAsia="黑体" w:hAnsi="黑体"/>
          <w:sz w:val="32"/>
          <w:szCs w:val="32"/>
        </w:rPr>
      </w:pPr>
    </w:p>
    <w:p w:rsidR="00EC1C2C" w:rsidRPr="00EC1C2C" w:rsidRDefault="00EC1C2C" w:rsidP="003516F9">
      <w:pPr>
        <w:spacing w:line="570" w:lineRule="exact"/>
        <w:ind w:firstLineChars="200" w:firstLine="640"/>
        <w:rPr>
          <w:rFonts w:ascii="黑体" w:eastAsia="黑体" w:hAnsi="黑体"/>
          <w:sz w:val="32"/>
          <w:szCs w:val="32"/>
        </w:rPr>
      </w:pPr>
      <w:r w:rsidRPr="00EC1C2C">
        <w:rPr>
          <w:rFonts w:ascii="黑体" w:eastAsia="黑体" w:hAnsi="黑体" w:hint="eastAsia"/>
          <w:sz w:val="32"/>
          <w:szCs w:val="32"/>
        </w:rPr>
        <w:t>一、非真实性失学辍学案例排查工作指引</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int="eastAsia"/>
          <w:sz w:val="32"/>
          <w:szCs w:val="32"/>
        </w:rPr>
        <w:t>下列儿童少年已经登记为失学辍学（疑似）的，完善相关证明材料后，可以作为非真实性数据进行核销。</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（一）年龄不符的。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对象：</w:t>
      </w:r>
      <w:r>
        <w:rPr>
          <w:rFonts w:ascii="仿宋_GB2312" w:eastAsia="仿宋_GB2312" w:hint="eastAsia"/>
          <w:sz w:val="32"/>
          <w:szCs w:val="32"/>
        </w:rPr>
        <w:t>实际年龄与户口登记不一致的。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学校或户籍地村（社区）告知法定监护人或户主或者学生本人，向户口登记机关提出变更年龄申请，由户口登记机关按相关法律法规审查后作出结论。经户口登记机关确认后，不再是义务教育适龄阶段的，在管理平台申请删除或进行“其他离校”操作，不再列为辍学学生。</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szCs w:val="32"/>
        </w:rPr>
        <w:t>登记核销原因；将户口登记机关更正后的户口信息等资料扫描记入管理平台台账系统。</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（二）户籍重复的（含迁出未注销的）。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对象：</w:t>
      </w:r>
      <w:r>
        <w:rPr>
          <w:rFonts w:ascii="仿宋_GB2312" w:eastAsia="仿宋_GB2312" w:hint="eastAsia"/>
          <w:sz w:val="32"/>
          <w:szCs w:val="32"/>
        </w:rPr>
        <w:t>有2个及以上户籍登记信息、或迁出仍未注销现户籍的。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学校或户籍地村（社区）告知法定监护人或户主或者学生本人，向户口登记机关（派出所）提出申请，由户口登记机关依法依规注销重复户籍，在管理平台申请删除或进行“其他离校”操作，不再列为辍学学生。</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szCs w:val="32"/>
        </w:rPr>
        <w:t>登记核销原因；将户口登记机关重复户籍注销信息等资料扫描记入管理平台台账系统。</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lastRenderedPageBreak/>
        <w:t>（三）失踪失联的。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对象：</w:t>
      </w:r>
      <w:r>
        <w:rPr>
          <w:rFonts w:ascii="仿宋_GB2312" w:eastAsia="仿宋_GB2312" w:hint="eastAsia"/>
          <w:sz w:val="32"/>
          <w:szCs w:val="32"/>
        </w:rPr>
        <w:t>因各种原因失踪失联，无法查找去向和就读情况的。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县级教育行政部门提请当地政府，由公安部门界定，从严掌握。经公安部门核查确为无法查找的，在管理平台进行“其他离校”操作，不再列为辍学学生。</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szCs w:val="32"/>
        </w:rPr>
        <w:t>登记核销原因；将公安派出所出具的失踪失联确认信息情况说明等资料扫描记入管理平台台账系统。</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（四）实际死亡的。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对象：</w:t>
      </w:r>
      <w:r>
        <w:rPr>
          <w:rFonts w:ascii="仿宋_GB2312" w:eastAsia="仿宋_GB2312" w:hint="eastAsia"/>
          <w:sz w:val="32"/>
          <w:szCs w:val="32"/>
        </w:rPr>
        <w:t>已实际死亡的。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学校或户籍地村（社区）凭相关</w:t>
      </w:r>
      <w:r>
        <w:rPr>
          <w:rFonts w:ascii="仿宋_GB2312" w:eastAsia="仿宋_GB2312"/>
          <w:sz w:val="32"/>
          <w:szCs w:val="32"/>
        </w:rPr>
        <w:t>死亡证明资料</w:t>
      </w:r>
      <w:r>
        <w:rPr>
          <w:rFonts w:ascii="仿宋_GB2312" w:eastAsia="仿宋_GB2312" w:hint="eastAsia"/>
          <w:sz w:val="32"/>
          <w:szCs w:val="32"/>
        </w:rPr>
        <w:t>，在管理平台作相应操作，不再列为辍学学生。</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sidRPr="0072323C">
        <w:rPr>
          <w:rFonts w:ascii="仿宋_GB2312" w:eastAsia="仿宋_GB2312" w:hAnsi="仿宋_GB2312" w:cs="仿宋_GB2312" w:hint="eastAsia"/>
          <w:bCs/>
          <w:sz w:val="32"/>
        </w:rPr>
        <w:t>将医疗卫生单位出具的死亡医学证明、殡葬部门出具的火化证明或公安部门出具的非正常死亡证明、户口注销证明等资料扫描记入管理平台台账系统。</w:t>
      </w:r>
      <w:r w:rsidDel="0072323C">
        <w:rPr>
          <w:rFonts w:ascii="仿宋_GB2312" w:eastAsia="仿宋_GB2312" w:hint="eastAsia"/>
          <w:sz w:val="32"/>
          <w:szCs w:val="32"/>
        </w:rPr>
        <w:t xml:space="preserve"> </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（五）因身体原因不具备学习条件的。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对象：</w:t>
      </w:r>
      <w:r>
        <w:rPr>
          <w:rFonts w:ascii="仿宋_GB2312" w:eastAsia="仿宋_GB2312" w:hint="eastAsia"/>
          <w:sz w:val="32"/>
          <w:szCs w:val="32"/>
        </w:rPr>
        <w:t>重度残疾不具备学习条件的。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由县级教育部门</w:t>
      </w:r>
      <w:r>
        <w:rPr>
          <w:rFonts w:ascii="仿宋_GB2312" w:eastAsia="仿宋_GB2312"/>
          <w:sz w:val="32"/>
          <w:szCs w:val="32"/>
        </w:rPr>
        <w:t>会同</w:t>
      </w:r>
      <w:r>
        <w:rPr>
          <w:rFonts w:ascii="仿宋_GB2312" w:eastAsia="仿宋_GB2312" w:hint="eastAsia"/>
          <w:sz w:val="32"/>
          <w:szCs w:val="32"/>
        </w:rPr>
        <w:t>卫生健康、残联等</w:t>
      </w:r>
      <w:r>
        <w:rPr>
          <w:rFonts w:ascii="仿宋_GB2312" w:eastAsia="仿宋_GB2312"/>
          <w:sz w:val="32"/>
          <w:szCs w:val="32"/>
        </w:rPr>
        <w:t>部门</w:t>
      </w:r>
      <w:r>
        <w:rPr>
          <w:rFonts w:ascii="仿宋_GB2312" w:eastAsia="仿宋_GB2312" w:hint="eastAsia"/>
          <w:sz w:val="32"/>
          <w:szCs w:val="32"/>
        </w:rPr>
        <w:t>及有关中小学校组成残疾人教育专家委员会进行鉴定，从严掌握。经鉴定确不具备学习条件的，在管理平台作相应操作，不再列为辍学学生。</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szCs w:val="32"/>
        </w:rPr>
        <w:t>登记核销原因；将残疾人教育专家委员会鉴定证明（证明材料要有专家组人员签字和所代表部门盖章）等资料扫描记入管理平台台账系统。</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lastRenderedPageBreak/>
        <w:t>（六）实际就读无学籍的。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对象：</w:t>
      </w:r>
      <w:r>
        <w:rPr>
          <w:rFonts w:ascii="仿宋_GB2312" w:eastAsia="仿宋_GB2312" w:hint="eastAsia"/>
          <w:sz w:val="32"/>
          <w:szCs w:val="32"/>
        </w:rPr>
        <w:t>实际在省内外学校就读，正常接受义务教育但无学籍的。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由县、市两级教育行政部门逐级汇总，由省教育厅组织核查。在省内就学的，依照相关规定建立学籍；在省外就学的，函商有关省级教育行政部门，帮助建立学籍，并向市级教育行政部门反馈建立后的学籍信息。正常学籍建立后，在管理平台作相应操作，不再列为辍学学生。</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szCs w:val="32"/>
        </w:rPr>
        <w:t>登记核销原因；将学生正式学籍号、</w:t>
      </w:r>
      <w:r w:rsidRPr="0092144A">
        <w:rPr>
          <w:rFonts w:ascii="仿宋_GB2312" w:eastAsia="仿宋_GB2312" w:hint="eastAsia"/>
          <w:sz w:val="32"/>
          <w:szCs w:val="32"/>
        </w:rPr>
        <w:t>身份</w:t>
      </w:r>
      <w:r>
        <w:rPr>
          <w:rFonts w:ascii="仿宋_GB2312" w:eastAsia="仿宋_GB2312" w:hint="eastAsia"/>
          <w:sz w:val="32"/>
          <w:szCs w:val="32"/>
        </w:rPr>
        <w:t>证号等信息资料记入管理平台台账系统。</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（七）因特殊原因申请延缓入学（正常休学）的。</w:t>
      </w:r>
    </w:p>
    <w:p w:rsidR="003516F9" w:rsidRDefault="003516F9" w:rsidP="003516F9">
      <w:pPr>
        <w:spacing w:line="570" w:lineRule="exact"/>
        <w:ind w:firstLineChars="200" w:firstLine="640"/>
        <w:rPr>
          <w:rFonts w:ascii="仿宋_GB2312" w:eastAsia="仿宋_GB2312"/>
          <w:sz w:val="32"/>
        </w:rPr>
      </w:pPr>
      <w:r>
        <w:rPr>
          <w:rFonts w:ascii="仿宋_GB2312" w:eastAsia="仿宋_GB2312" w:hAnsi="仿宋_GB2312" w:cs="仿宋_GB2312" w:hint="eastAsia"/>
          <w:bCs/>
          <w:sz w:val="32"/>
        </w:rPr>
        <w:t>对象：</w:t>
      </w:r>
      <w:r>
        <w:rPr>
          <w:rFonts w:ascii="仿宋_GB2312" w:eastAsia="仿宋_GB2312" w:hint="eastAsia"/>
          <w:sz w:val="32"/>
        </w:rPr>
        <w:t>患有重大疾病（或心理疾病）申请延缓入学或正常休学的。</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措施：</w:t>
      </w:r>
      <w:r>
        <w:rPr>
          <w:rFonts w:ascii="仿宋_GB2312" w:eastAsia="仿宋_GB2312" w:hint="eastAsia"/>
          <w:sz w:val="32"/>
          <w:szCs w:val="32"/>
        </w:rPr>
        <w:t>学校或户籍地村（社区）告知儿童少年父母或法定监护人或者学生本人，按照省义务教育条例有关规定和省学籍管理有关规定，提出延缓入学或休学申请，经审核</w:t>
      </w:r>
      <w:r>
        <w:rPr>
          <w:rFonts w:ascii="仿宋_GB2312" w:eastAsia="仿宋_GB2312"/>
          <w:sz w:val="32"/>
          <w:szCs w:val="32"/>
        </w:rPr>
        <w:t>同意</w:t>
      </w:r>
      <w:r>
        <w:rPr>
          <w:rFonts w:ascii="仿宋_GB2312" w:eastAsia="仿宋_GB2312" w:hint="eastAsia"/>
          <w:sz w:val="32"/>
          <w:szCs w:val="32"/>
        </w:rPr>
        <w:t>在管理平台作相应操作，不再列为辍学学生；休学学生按照学籍管理规定进行管理，由学籍所在学校进行跟踪。</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szCs w:val="32"/>
        </w:rPr>
        <w:t>登记核销原因；将其父母或者其他法定监护人书面申请、县(市、区)人民政府教育行政部门指定的医疗机构的检查证明）、当地乡镇人民政府或者县（市、区）人民政府教育行政部门批准意见等资料扫描记入管理平台台账系统。</w:t>
      </w:r>
    </w:p>
    <w:p w:rsidR="00EC1C2C" w:rsidRPr="003516F9" w:rsidRDefault="00EC1C2C" w:rsidP="003516F9">
      <w:pPr>
        <w:spacing w:line="570" w:lineRule="exact"/>
        <w:ind w:firstLineChars="200" w:firstLine="640"/>
        <w:rPr>
          <w:rFonts w:ascii="黑体" w:eastAsia="黑体" w:hAnsi="黑体"/>
          <w:sz w:val="32"/>
          <w:szCs w:val="32"/>
        </w:rPr>
      </w:pPr>
      <w:r w:rsidRPr="003516F9">
        <w:rPr>
          <w:rFonts w:ascii="黑体" w:eastAsia="黑体" w:hAnsi="黑体" w:hint="eastAsia"/>
          <w:sz w:val="32"/>
          <w:szCs w:val="32"/>
        </w:rPr>
        <w:t>二、失学辍学特殊案例劝返工作指引</w:t>
      </w:r>
    </w:p>
    <w:p w:rsidR="003516F9" w:rsidRDefault="003516F9" w:rsidP="003516F9">
      <w:pPr>
        <w:spacing w:line="570" w:lineRule="exact"/>
        <w:ind w:firstLineChars="200" w:firstLine="640"/>
        <w:rPr>
          <w:rFonts w:ascii="仿宋_GB2312" w:eastAsia="仿宋_GB2312"/>
          <w:sz w:val="32"/>
        </w:rPr>
      </w:pPr>
      <w:r>
        <w:rPr>
          <w:rFonts w:ascii="仿宋_GB2312" w:eastAsia="仿宋_GB2312" w:hint="eastAsia"/>
          <w:sz w:val="32"/>
        </w:rPr>
        <w:t>对普通失学辍学适龄儿童少年，原则上就近安排到义务</w:t>
      </w:r>
      <w:r>
        <w:rPr>
          <w:rFonts w:ascii="仿宋_GB2312" w:eastAsia="仿宋_GB2312" w:hint="eastAsia"/>
          <w:sz w:val="32"/>
        </w:rPr>
        <w:lastRenderedPageBreak/>
        <w:t>教育学校就读；对残疾儿童少年，根据有关规定落实义务教育措施。对于已经超出小学适龄阶段（年满12周岁）反复辍学、</w:t>
      </w:r>
      <w:r>
        <w:rPr>
          <w:rFonts w:ascii="仿宋_GB2312" w:eastAsia="仿宋_GB2312"/>
          <w:sz w:val="32"/>
        </w:rPr>
        <w:t>监护人拒不履行义务教育送教义务的</w:t>
      </w:r>
      <w:r>
        <w:rPr>
          <w:rFonts w:ascii="仿宋_GB2312" w:eastAsia="仿宋_GB2312" w:hint="eastAsia"/>
          <w:sz w:val="32"/>
        </w:rPr>
        <w:t>，可采取下列措施予以保障教育，并记入工作台账，做好随访跟踪。</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（一）引导至中职学校接受教育。</w:t>
      </w:r>
    </w:p>
    <w:p w:rsidR="003516F9" w:rsidRDefault="003516F9" w:rsidP="003516F9">
      <w:pPr>
        <w:spacing w:line="570" w:lineRule="exact"/>
        <w:ind w:firstLineChars="200" w:firstLine="640"/>
        <w:rPr>
          <w:rFonts w:ascii="仿宋_GB2312" w:eastAsia="仿宋_GB2312"/>
          <w:sz w:val="32"/>
        </w:rPr>
      </w:pPr>
      <w:r>
        <w:rPr>
          <w:rFonts w:ascii="仿宋_GB2312" w:eastAsia="仿宋_GB2312" w:hAnsi="仿宋_GB2312" w:cs="仿宋_GB2312" w:hint="eastAsia"/>
          <w:bCs/>
          <w:sz w:val="32"/>
        </w:rPr>
        <w:t>对象：</w:t>
      </w:r>
      <w:r>
        <w:rPr>
          <w:rFonts w:ascii="仿宋_GB2312" w:eastAsia="仿宋_GB2312" w:hint="eastAsia"/>
          <w:sz w:val="32"/>
        </w:rPr>
        <w:t>辍学时间较长（连续辍学时间在一年及以上）、从未上学、反复辍学或极度厌学等，且三次以上劝返及思想教育无效果的。</w:t>
      </w:r>
    </w:p>
    <w:p w:rsidR="003516F9" w:rsidRDefault="003516F9" w:rsidP="003516F9">
      <w:pPr>
        <w:spacing w:line="570" w:lineRule="exact"/>
        <w:ind w:firstLineChars="200" w:firstLine="640"/>
        <w:rPr>
          <w:rFonts w:ascii="仿宋_GB2312" w:eastAsia="仿宋_GB2312"/>
          <w:sz w:val="32"/>
        </w:rPr>
      </w:pPr>
      <w:r>
        <w:rPr>
          <w:rFonts w:ascii="仿宋_GB2312" w:eastAsia="仿宋_GB2312" w:hAnsi="仿宋_GB2312" w:cs="仿宋_GB2312" w:hint="eastAsia"/>
          <w:bCs/>
          <w:sz w:val="32"/>
        </w:rPr>
        <w:t>措施：</w:t>
      </w:r>
      <w:r>
        <w:rPr>
          <w:rFonts w:ascii="仿宋_GB2312" w:eastAsia="仿宋_GB2312" w:hint="eastAsia"/>
          <w:sz w:val="32"/>
        </w:rPr>
        <w:t>经父母或法定监护人及被劝返对象本人同意，安排至中职学校接受教育，由县级教育行政部门牵头制定思想法制教育、义务教育授课基本知识和职业技能培训内容，明确教学和管理要求，学籍编入义务教育学校，正常滚动。</w:t>
      </w:r>
    </w:p>
    <w:p w:rsidR="003516F9"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rPr>
        <w:t>标明劝返措施类型；附劝返过程记录资料（以实时劝返录音、书面记录为主，先前多次劝返的，详细记录各次劝返过程，涉及工作人员逐一签字确认材料真实性）、父母或法定监护人及被劝返对象本人书面申请、被劝返对象个性化教育方案（包括在学帮包责任人、教学计划方案、落实保障措施等）、接收中职学校接收证明等。纸质材料扫描（含照片资料）记入</w:t>
      </w:r>
      <w:r>
        <w:rPr>
          <w:rFonts w:ascii="仿宋_GB2312" w:eastAsia="仿宋_GB2312" w:hint="eastAsia"/>
          <w:sz w:val="32"/>
          <w:szCs w:val="32"/>
        </w:rPr>
        <w:t>管理平台台账系统，其他录音、视频资料留存备查。</w:t>
      </w:r>
    </w:p>
    <w:p w:rsidR="003516F9" w:rsidRDefault="003516F9" w:rsidP="003516F9">
      <w:pPr>
        <w:spacing w:line="57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（二）强制劝返。</w:t>
      </w:r>
    </w:p>
    <w:p w:rsidR="003516F9" w:rsidRDefault="003516F9" w:rsidP="003516F9">
      <w:pPr>
        <w:spacing w:line="570" w:lineRule="exact"/>
        <w:ind w:firstLineChars="200" w:firstLine="640"/>
        <w:rPr>
          <w:rFonts w:ascii="仿宋_GB2312" w:eastAsia="仿宋_GB2312"/>
          <w:sz w:val="32"/>
        </w:rPr>
      </w:pPr>
      <w:r>
        <w:rPr>
          <w:rFonts w:ascii="仿宋_GB2312" w:eastAsia="仿宋_GB2312" w:hAnsi="仿宋_GB2312" w:cs="仿宋_GB2312" w:hint="eastAsia"/>
          <w:bCs/>
          <w:sz w:val="32"/>
        </w:rPr>
        <w:t>对象：</w:t>
      </w:r>
      <w:r>
        <w:rPr>
          <w:rFonts w:ascii="仿宋_GB2312" w:eastAsia="仿宋_GB2312" w:hint="eastAsia"/>
          <w:sz w:val="32"/>
        </w:rPr>
        <w:t>家长</w:t>
      </w:r>
      <w:r>
        <w:rPr>
          <w:rFonts w:ascii="仿宋_GB2312" w:eastAsia="仿宋_GB2312"/>
          <w:sz w:val="32"/>
        </w:rPr>
        <w:t>（</w:t>
      </w:r>
      <w:r>
        <w:rPr>
          <w:rFonts w:ascii="仿宋_GB2312" w:eastAsia="仿宋_GB2312" w:hint="eastAsia"/>
          <w:sz w:val="32"/>
        </w:rPr>
        <w:t>法定</w:t>
      </w:r>
      <w:r>
        <w:rPr>
          <w:rFonts w:ascii="仿宋_GB2312" w:eastAsia="仿宋_GB2312"/>
          <w:sz w:val="32"/>
        </w:rPr>
        <w:t>监护人）</w:t>
      </w:r>
      <w:r>
        <w:rPr>
          <w:rFonts w:ascii="仿宋_GB2312" w:eastAsia="仿宋_GB2312" w:hint="eastAsia"/>
          <w:sz w:val="32"/>
        </w:rPr>
        <w:t>拒不送教</w:t>
      </w:r>
      <w:r>
        <w:rPr>
          <w:rFonts w:ascii="仿宋_GB2312" w:eastAsia="仿宋_GB2312"/>
          <w:sz w:val="32"/>
        </w:rPr>
        <w:t>；适龄儿童、少年拒不</w:t>
      </w:r>
      <w:r>
        <w:rPr>
          <w:rFonts w:ascii="仿宋_GB2312" w:eastAsia="仿宋_GB2312" w:hint="eastAsia"/>
          <w:sz w:val="32"/>
        </w:rPr>
        <w:t>返校、拒不到中职学校就读的。</w:t>
      </w:r>
    </w:p>
    <w:p w:rsidR="003516F9" w:rsidRDefault="003516F9" w:rsidP="003516F9">
      <w:pPr>
        <w:spacing w:line="570" w:lineRule="exact"/>
        <w:ind w:firstLineChars="200" w:firstLine="640"/>
        <w:rPr>
          <w:rFonts w:ascii="仿宋_GB2312" w:eastAsia="仿宋_GB2312"/>
          <w:sz w:val="32"/>
        </w:rPr>
      </w:pPr>
      <w:r>
        <w:rPr>
          <w:rFonts w:ascii="仿宋_GB2312" w:eastAsia="仿宋_GB2312" w:hAnsi="仿宋_GB2312" w:cs="仿宋_GB2312" w:hint="eastAsia"/>
          <w:bCs/>
          <w:sz w:val="32"/>
        </w:rPr>
        <w:t>措施：</w:t>
      </w:r>
      <w:r>
        <w:rPr>
          <w:rFonts w:ascii="仿宋_GB2312" w:eastAsia="仿宋_GB2312" w:hint="eastAsia"/>
          <w:sz w:val="32"/>
        </w:rPr>
        <w:t>对</w:t>
      </w:r>
      <w:r>
        <w:rPr>
          <w:rFonts w:ascii="仿宋_GB2312" w:eastAsia="仿宋_GB2312"/>
          <w:sz w:val="32"/>
        </w:rPr>
        <w:t>拒不送教的家长</w:t>
      </w:r>
      <w:r>
        <w:rPr>
          <w:rFonts w:ascii="仿宋_GB2312" w:eastAsia="仿宋_GB2312" w:hint="eastAsia"/>
          <w:sz w:val="32"/>
        </w:rPr>
        <w:t>（法定</w:t>
      </w:r>
      <w:r>
        <w:rPr>
          <w:rFonts w:ascii="仿宋_GB2312" w:eastAsia="仿宋_GB2312"/>
          <w:sz w:val="32"/>
        </w:rPr>
        <w:t>监护人</w:t>
      </w:r>
      <w:r>
        <w:rPr>
          <w:rFonts w:ascii="仿宋_GB2312" w:eastAsia="仿宋_GB2312" w:hint="eastAsia"/>
          <w:sz w:val="32"/>
        </w:rPr>
        <w:t>）启动司法程序，</w:t>
      </w:r>
      <w:r>
        <w:rPr>
          <w:rFonts w:ascii="仿宋_GB2312" w:eastAsia="仿宋_GB2312" w:hint="eastAsia"/>
          <w:sz w:val="32"/>
        </w:rPr>
        <w:lastRenderedPageBreak/>
        <w:t>采取巡回法庭等方式强制执行；</w:t>
      </w:r>
      <w:r>
        <w:rPr>
          <w:rFonts w:ascii="仿宋_GB2312" w:eastAsia="仿宋_GB2312"/>
          <w:sz w:val="32"/>
        </w:rPr>
        <w:t>对拒不返校、</w:t>
      </w:r>
      <w:r>
        <w:rPr>
          <w:rFonts w:ascii="仿宋_GB2312" w:eastAsia="仿宋_GB2312" w:hint="eastAsia"/>
          <w:sz w:val="32"/>
        </w:rPr>
        <w:t>拒不到中职学校就读的儿童</w:t>
      </w:r>
      <w:r>
        <w:rPr>
          <w:rFonts w:ascii="仿宋_GB2312" w:eastAsia="仿宋_GB2312"/>
          <w:sz w:val="32"/>
        </w:rPr>
        <w:t>、少年跟进思想教育和劝返引导，</w:t>
      </w:r>
      <w:r>
        <w:rPr>
          <w:rFonts w:ascii="仿宋_GB2312" w:eastAsia="仿宋_GB2312" w:hint="eastAsia"/>
          <w:sz w:val="32"/>
        </w:rPr>
        <w:t>劝返</w:t>
      </w:r>
      <w:r>
        <w:rPr>
          <w:rFonts w:ascii="仿宋_GB2312" w:eastAsia="仿宋_GB2312"/>
          <w:sz w:val="32"/>
        </w:rPr>
        <w:t>成功前</w:t>
      </w:r>
      <w:r>
        <w:rPr>
          <w:rFonts w:ascii="仿宋_GB2312" w:eastAsia="仿宋_GB2312" w:hint="eastAsia"/>
          <w:sz w:val="32"/>
        </w:rPr>
        <w:t>开展</w:t>
      </w:r>
      <w:r>
        <w:rPr>
          <w:rFonts w:ascii="仿宋_GB2312" w:eastAsia="仿宋_GB2312"/>
          <w:sz w:val="32"/>
        </w:rPr>
        <w:t>一定送教服务。</w:t>
      </w:r>
    </w:p>
    <w:p w:rsidR="00EC1C2C" w:rsidRPr="004B3C10" w:rsidRDefault="003516F9" w:rsidP="003516F9">
      <w:pPr>
        <w:spacing w:line="570" w:lineRule="exact"/>
        <w:ind w:firstLineChars="200" w:firstLine="640"/>
        <w:rPr>
          <w:rFonts w:ascii="仿宋_GB2312" w:eastAsia="仿宋_GB2312"/>
          <w:sz w:val="32"/>
          <w:szCs w:val="32"/>
        </w:rPr>
      </w:pPr>
      <w:r>
        <w:rPr>
          <w:rFonts w:ascii="仿宋_GB2312" w:eastAsia="仿宋_GB2312" w:hAnsi="仿宋_GB2312" w:cs="仿宋_GB2312" w:hint="eastAsia"/>
          <w:bCs/>
          <w:sz w:val="32"/>
        </w:rPr>
        <w:t>台账：</w:t>
      </w:r>
      <w:r>
        <w:rPr>
          <w:rFonts w:ascii="仿宋_GB2312" w:eastAsia="仿宋_GB2312" w:hint="eastAsia"/>
          <w:sz w:val="32"/>
        </w:rPr>
        <w:t>标明劝返措施类型和进度；附劝返过程记录资料（以实时劝返录音、视频</w:t>
      </w:r>
      <w:r>
        <w:rPr>
          <w:rFonts w:ascii="仿宋_GB2312" w:eastAsia="仿宋_GB2312"/>
          <w:sz w:val="32"/>
        </w:rPr>
        <w:t>、照片、</w:t>
      </w:r>
      <w:r>
        <w:rPr>
          <w:rFonts w:ascii="仿宋_GB2312" w:eastAsia="仿宋_GB2312" w:hint="eastAsia"/>
          <w:sz w:val="32"/>
        </w:rPr>
        <w:t>书面记录为主，先前多次劝返的，详细记录各次劝返过程，涉及工作人员逐一签字确认材料真实性）、执法机关执法记录及文书资料等。纸质材料扫描（含照片资料）记入</w:t>
      </w:r>
      <w:r>
        <w:rPr>
          <w:rFonts w:ascii="仿宋_GB2312" w:eastAsia="仿宋_GB2312" w:hint="eastAsia"/>
          <w:sz w:val="32"/>
          <w:szCs w:val="32"/>
        </w:rPr>
        <w:t>管理平台台账系统，其他录音、视频资料留存备查。</w:t>
      </w:r>
    </w:p>
    <w:sectPr w:rsidR="00EC1C2C" w:rsidRPr="004B3C10" w:rsidSect="00EC1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95"/>
    <w:rsid w:val="00006AD0"/>
    <w:rsid w:val="00326395"/>
    <w:rsid w:val="003516F9"/>
    <w:rsid w:val="004B3C10"/>
    <w:rsid w:val="00AA10D5"/>
    <w:rsid w:val="00D0653B"/>
    <w:rsid w:val="00E74FC5"/>
    <w:rsid w:val="00EC1C2C"/>
    <w:rsid w:val="00F8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1060A-CF39-4CB3-BE45-D0EE66AA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01970">
      <w:bodyDiv w:val="1"/>
      <w:marLeft w:val="0"/>
      <w:marRight w:val="0"/>
      <w:marTop w:val="0"/>
      <w:marBottom w:val="0"/>
      <w:divBdr>
        <w:top w:val="none" w:sz="0" w:space="0" w:color="auto"/>
        <w:left w:val="none" w:sz="0" w:space="0" w:color="auto"/>
        <w:bottom w:val="none" w:sz="0" w:space="0" w:color="auto"/>
        <w:right w:val="none" w:sz="0" w:space="0" w:color="auto"/>
      </w:divBdr>
    </w:div>
    <w:div w:id="21165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413</Words>
  <Characters>2358</Characters>
  <Application>Microsoft Office Word</Application>
  <DocSecurity>0</DocSecurity>
  <Lines>19</Lines>
  <Paragraphs>5</Paragraphs>
  <ScaleCrop>false</ScaleCrop>
  <Company>Microsoft</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2024-04-09T01:18:00Z</dcterms:created>
  <dcterms:modified xsi:type="dcterms:W3CDTF">2024-04-09T02:57:00Z</dcterms:modified>
</cp:coreProperties>
</file>