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C68D3">
      <w:pPr>
        <w:spacing w:line="570" w:lineRule="exact"/>
        <w:rPr>
          <w:rFonts w:ascii="仿宋_GB2312" w:hAnsi="仿宋_GB2312" w:eastAsia="仿宋_GB2312" w:cs="宋体"/>
          <w:kern w:val="0"/>
          <w:sz w:val="32"/>
          <w:szCs w:val="32"/>
        </w:rPr>
      </w:pPr>
      <w:r>
        <w:rPr>
          <w:rFonts w:hint="eastAsia" w:ascii="仿宋_GB2312" w:hAnsi="仿宋_GB2312" w:eastAsia="仿宋_GB2312" w:cs="宋体"/>
          <w:kern w:val="0"/>
          <w:sz w:val="32"/>
          <w:szCs w:val="32"/>
        </w:rPr>
        <w:t>附件</w:t>
      </w:r>
      <w:r>
        <w:rPr>
          <w:rFonts w:ascii="仿宋_GB2312" w:hAnsi="仿宋_GB2312" w:eastAsia="仿宋_GB2312" w:cs="宋体"/>
          <w:kern w:val="0"/>
          <w:sz w:val="32"/>
          <w:szCs w:val="32"/>
        </w:rPr>
        <w:t>1</w:t>
      </w:r>
    </w:p>
    <w:p w14:paraId="45FE9C97">
      <w:pPr>
        <w:widowControl/>
        <w:spacing w:line="540" w:lineRule="exact"/>
        <w:jc w:val="center"/>
        <w:rPr>
          <w:rFonts w:ascii="方正小标宋简体" w:hAnsi="方正小标宋简体" w:eastAsia="方正小标宋简体" w:cs="宋体"/>
          <w:kern w:val="0"/>
          <w:sz w:val="36"/>
          <w:szCs w:val="36"/>
        </w:rPr>
      </w:pPr>
      <w:r>
        <w:rPr>
          <w:rFonts w:hint="eastAsia" w:ascii="方正小标宋简体" w:hAnsi="方正小标宋简体" w:eastAsia="方正小标宋简体" w:cs="宋体"/>
          <w:kern w:val="0"/>
          <w:sz w:val="36"/>
          <w:szCs w:val="36"/>
        </w:rPr>
        <w:t>高青县202</w:t>
      </w:r>
      <w:r>
        <w:rPr>
          <w:rFonts w:hint="eastAsia" w:ascii="方正小标宋简体" w:hAnsi="方正小标宋简体" w:eastAsia="方正小标宋简体" w:cs="宋体"/>
          <w:kern w:val="0"/>
          <w:sz w:val="36"/>
          <w:szCs w:val="36"/>
          <w:lang w:val="en-US" w:eastAsia="zh-CN"/>
        </w:rPr>
        <w:t>5</w:t>
      </w:r>
      <w:r>
        <w:rPr>
          <w:rFonts w:hint="eastAsia" w:ascii="方正小标宋简体" w:hAnsi="方正小标宋简体" w:eastAsia="方正小标宋简体" w:cs="宋体"/>
          <w:kern w:val="0"/>
          <w:sz w:val="36"/>
          <w:szCs w:val="36"/>
        </w:rPr>
        <w:t>年义务教育段学校招生划片范围</w:t>
      </w:r>
    </w:p>
    <w:p w14:paraId="655F174C">
      <w:pPr>
        <w:spacing w:line="500" w:lineRule="exact"/>
        <w:ind w:firstLine="640" w:firstLineChars="200"/>
        <w:rPr>
          <w:rFonts w:ascii="黑体" w:hAnsi="华文中宋" w:eastAsia="黑体"/>
          <w:bCs/>
          <w:sz w:val="32"/>
          <w:szCs w:val="32"/>
        </w:rPr>
      </w:pPr>
    </w:p>
    <w:p w14:paraId="53E91F35">
      <w:pPr>
        <w:spacing w:line="500" w:lineRule="exact"/>
        <w:ind w:firstLine="640" w:firstLineChars="200"/>
        <w:rPr>
          <w:rFonts w:ascii="黑体" w:hAnsi="黑体" w:eastAsia="黑体"/>
          <w:bCs/>
          <w:sz w:val="32"/>
          <w:szCs w:val="32"/>
        </w:rPr>
      </w:pPr>
      <w:r>
        <w:rPr>
          <w:rFonts w:hint="eastAsia" w:ascii="黑体" w:hAnsi="黑体" w:eastAsia="黑体"/>
          <w:bCs/>
          <w:sz w:val="32"/>
          <w:szCs w:val="32"/>
        </w:rPr>
        <w:t>一、高青县202</w:t>
      </w:r>
      <w:r>
        <w:rPr>
          <w:rFonts w:hint="eastAsia" w:ascii="黑体" w:hAnsi="黑体" w:eastAsia="黑体"/>
          <w:bCs/>
          <w:sz w:val="32"/>
          <w:szCs w:val="32"/>
          <w:lang w:val="en-US" w:eastAsia="zh-CN"/>
        </w:rPr>
        <w:t>5</w:t>
      </w:r>
      <w:r>
        <w:rPr>
          <w:rFonts w:hint="eastAsia" w:ascii="黑体" w:hAnsi="黑体" w:eastAsia="黑体"/>
          <w:bCs/>
          <w:sz w:val="32"/>
          <w:szCs w:val="32"/>
        </w:rPr>
        <w:t>年城区小学招生划片范围</w:t>
      </w:r>
    </w:p>
    <w:p w14:paraId="04985751">
      <w:pPr>
        <w:spacing w:line="500" w:lineRule="exact"/>
        <w:ind w:firstLine="627" w:firstLineChars="196"/>
        <w:rPr>
          <w:rFonts w:ascii="楷体_GB2312" w:hAnsi="黑体" w:eastAsia="楷体_GB2312" w:cs="黑体"/>
          <w:bCs/>
          <w:sz w:val="32"/>
          <w:szCs w:val="32"/>
        </w:rPr>
      </w:pPr>
      <w:r>
        <w:rPr>
          <w:rFonts w:hint="eastAsia" w:ascii="楷体_GB2312" w:hAnsi="黑体" w:eastAsia="楷体_GB2312" w:cs="黑体"/>
          <w:bCs/>
          <w:sz w:val="32"/>
          <w:szCs w:val="32"/>
        </w:rPr>
        <w:t>1.实验小学划片范围</w:t>
      </w:r>
    </w:p>
    <w:p w14:paraId="7EF58C60">
      <w:pPr>
        <w:spacing w:line="5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（1）黄河路以北、田横路以南、文化路以东、开泰大道以西。</w:t>
      </w:r>
    </w:p>
    <w:p w14:paraId="74F7E6A6">
      <w:pPr>
        <w:spacing w:line="5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（2）青城路以北、黄河路以南、文化路以东、学府路以西。</w:t>
      </w:r>
    </w:p>
    <w:p w14:paraId="731CE1A1">
      <w:pPr>
        <w:spacing w:line="5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（3）高苑路以北、青城路以南，芦湖路以东、学府路以西。</w:t>
      </w:r>
    </w:p>
    <w:p w14:paraId="5488551D">
      <w:pPr>
        <w:spacing w:line="5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（4）原始户籍为县城派出所，房产地址在田镇中心小学片区的学生。</w:t>
      </w:r>
    </w:p>
    <w:p w14:paraId="0C9D1DEE">
      <w:pPr>
        <w:spacing w:line="500" w:lineRule="exact"/>
        <w:ind w:firstLine="627" w:firstLineChars="196"/>
        <w:rPr>
          <w:rFonts w:ascii="楷体_GB2312" w:hAnsi="黑体" w:eastAsia="楷体_GB2312" w:cs="黑体"/>
          <w:bCs/>
          <w:sz w:val="32"/>
          <w:szCs w:val="32"/>
        </w:rPr>
      </w:pPr>
      <w:r>
        <w:rPr>
          <w:rFonts w:hint="eastAsia" w:ascii="楷体_GB2312" w:hAnsi="黑体" w:eastAsia="楷体_GB2312" w:cs="黑体"/>
          <w:bCs/>
          <w:sz w:val="32"/>
          <w:szCs w:val="32"/>
        </w:rPr>
        <w:t>2.中心路小学划片范围</w:t>
      </w:r>
    </w:p>
    <w:p w14:paraId="0250D68F">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（1）高苑路以北、青城路以南、文化路以东、芦湖路以西。</w:t>
      </w:r>
    </w:p>
    <w:p w14:paraId="64745B09">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（2）千乘湖水系以北、高苑路以南、青苑路以东、学府路以西。</w:t>
      </w:r>
    </w:p>
    <w:p w14:paraId="104BEDFA">
      <w:pPr>
        <w:spacing w:line="500" w:lineRule="exact"/>
        <w:ind w:firstLine="627" w:firstLineChars="196"/>
        <w:rPr>
          <w:rFonts w:ascii="楷体_GB2312" w:hAnsi="仿宋_GB2312" w:eastAsia="楷体_GB2312" w:cs="仿宋_GB2312"/>
          <w:sz w:val="32"/>
          <w:szCs w:val="32"/>
        </w:rPr>
      </w:pPr>
      <w:r>
        <w:rPr>
          <w:rFonts w:hint="eastAsia" w:ascii="楷体_GB2312" w:hAnsi="仿宋_GB2312" w:eastAsia="楷体_GB2312" w:cs="仿宋_GB2312"/>
          <w:sz w:val="32"/>
          <w:szCs w:val="32"/>
        </w:rPr>
        <w:t>3.千乘湖小学划片范围</w:t>
      </w:r>
    </w:p>
    <w:p w14:paraId="59EBA729">
      <w:pPr>
        <w:spacing w:line="50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清河路以北、黄河路以南、学府路以东、国井大道以西（包含汤岛小区）。</w:t>
      </w:r>
    </w:p>
    <w:p w14:paraId="2CD6E164">
      <w:pPr>
        <w:spacing w:line="500" w:lineRule="exact"/>
        <w:ind w:firstLine="640" w:firstLineChars="200"/>
        <w:rPr>
          <w:rFonts w:ascii="楷体_GB2312" w:hAnsi="黑体" w:eastAsia="楷体_GB2312" w:cs="黑体"/>
          <w:bCs/>
          <w:sz w:val="32"/>
          <w:szCs w:val="32"/>
        </w:rPr>
      </w:pPr>
      <w:r>
        <w:rPr>
          <w:rFonts w:hint="eastAsia" w:ascii="楷体_GB2312" w:hAnsi="黑体" w:eastAsia="楷体_GB2312" w:cs="黑体"/>
          <w:bCs/>
          <w:sz w:val="32"/>
          <w:szCs w:val="32"/>
        </w:rPr>
        <w:t>4.长江路小学划片范围</w:t>
      </w:r>
    </w:p>
    <w:p w14:paraId="4C8AA1C8">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（1）南环路以北、千乘湖公园水系以南（包含原在中心路小学就读的城南8村）、青苑路以东、老张田路以西。</w:t>
      </w:r>
    </w:p>
    <w:p w14:paraId="12D97269">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w:t>
      </w:r>
      <w:r>
        <w:rPr>
          <w:rFonts w:ascii="仿宋_GB2312" w:hAnsi="仿宋_GB2312" w:eastAsia="仿宋_GB2312" w:cs="仿宋_GB2312"/>
          <w:color w:val="000000" w:themeColor="text1"/>
          <w:sz w:val="32"/>
          <w:szCs w:val="32"/>
          <w14:textFill>
            <w14:solidFill>
              <w14:schemeClr w14:val="tx1"/>
            </w14:solidFill>
          </w14:textFill>
        </w:rPr>
        <w:t>）原田镇学区崔张小学服务村庄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含前池、后池、韩连</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2F2E3109">
      <w:pPr>
        <w:spacing w:line="50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）红橡树小区、龙御佳苑小区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中房揽翠郡、东方悦府</w:t>
      </w:r>
      <w:r>
        <w:rPr>
          <w:rFonts w:hint="eastAsia" w:ascii="仿宋_GB2312" w:hAnsi="仿宋_GB2312" w:eastAsia="仿宋_GB2312" w:cs="仿宋_GB2312"/>
          <w:sz w:val="32"/>
          <w:szCs w:val="32"/>
        </w:rPr>
        <w:t>。</w:t>
      </w:r>
    </w:p>
    <w:p w14:paraId="7347B4D8">
      <w:pPr>
        <w:spacing w:line="500" w:lineRule="exact"/>
        <w:ind w:firstLine="627" w:firstLineChars="196"/>
        <w:rPr>
          <w:rFonts w:ascii="楷体_GB2312" w:hAnsi="黑体" w:eastAsia="楷体_GB2312" w:cs="黑体"/>
          <w:bCs/>
          <w:sz w:val="32"/>
          <w:szCs w:val="32"/>
        </w:rPr>
      </w:pPr>
      <w:r>
        <w:rPr>
          <w:rFonts w:hint="eastAsia" w:ascii="楷体_GB2312" w:hAnsi="黑体" w:eastAsia="楷体_GB2312" w:cs="黑体"/>
          <w:bCs/>
          <w:sz w:val="32"/>
          <w:szCs w:val="32"/>
        </w:rPr>
        <w:t>5.田镇学区中心小学划片范围</w:t>
      </w:r>
    </w:p>
    <w:p w14:paraId="12ED9BEA">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（1）田镇派出所户籍，原田镇中心小学和原义和小学服务村庄。</w:t>
      </w:r>
    </w:p>
    <w:p w14:paraId="66A73BD3">
      <w:pPr>
        <w:spacing w:line="500" w:lineRule="exact"/>
        <w:ind w:firstLine="640" w:firstLineChars="200"/>
        <w:rPr>
          <w:rFonts w:ascii="仿宋_GB2312" w:hAnsi="仿宋_GB2312" w:eastAsia="仿宋_GB2312" w:cs="仿宋_GB2312"/>
          <w:sz w:val="32"/>
          <w:szCs w:val="32"/>
          <w:u w:val="double"/>
        </w:rPr>
      </w:pPr>
      <w:r>
        <w:rPr>
          <w:rFonts w:hint="eastAsia" w:ascii="仿宋_GB2312" w:hAnsi="仿宋_GB2312" w:eastAsia="仿宋_GB2312" w:cs="仿宋_GB2312"/>
          <w:sz w:val="32"/>
          <w:szCs w:val="32"/>
        </w:rPr>
        <w:t>（2）高苑路以北、田横路以南、文化路以西。</w:t>
      </w:r>
    </w:p>
    <w:p w14:paraId="321D7051">
      <w:pPr>
        <w:spacing w:line="500" w:lineRule="exact"/>
        <w:ind w:firstLine="640" w:firstLineChars="200"/>
        <w:rPr>
          <w:rFonts w:ascii="楷体_GB2312" w:hAnsi="黑体" w:eastAsia="楷体_GB2312" w:cs="黑体"/>
          <w:bCs/>
          <w:sz w:val="32"/>
          <w:szCs w:val="32"/>
        </w:rPr>
      </w:pPr>
      <w:r>
        <w:rPr>
          <w:rFonts w:hint="eastAsia" w:ascii="楷体_GB2312" w:hAnsi="黑体" w:eastAsia="楷体_GB2312" w:cs="黑体"/>
          <w:bCs/>
          <w:sz w:val="32"/>
          <w:szCs w:val="32"/>
        </w:rPr>
        <w:t>6.高青三中小学部划片范围</w:t>
      </w:r>
    </w:p>
    <w:p w14:paraId="3B6447F2">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田横路以北的民生嘉园、银岭花园、文昌嘉苑、县中医院宿舍非常家学区中心小学服务片区的适龄儿童。</w:t>
      </w:r>
    </w:p>
    <w:p w14:paraId="4CD36139">
      <w:pPr>
        <w:spacing w:line="500" w:lineRule="exact"/>
        <w:ind w:firstLine="640" w:firstLineChars="200"/>
        <w:rPr>
          <w:rFonts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7.特殊情况说明</w:t>
      </w:r>
    </w:p>
    <w:p w14:paraId="5ACD062E">
      <w:pPr>
        <w:spacing w:line="500" w:lineRule="exact"/>
        <w:ind w:firstLine="640" w:firstLineChars="200"/>
        <w:rPr>
          <w:rFonts w:ascii="仿宋_GB2312" w:hAnsi="仿宋_GB2312" w:eastAsia="仿宋_GB2312" w:cs="仿宋_GB2312"/>
          <w:color w:val="000000" w:themeColor="text1"/>
          <w:sz w:val="32"/>
          <w:szCs w:val="32"/>
          <w:u w:val="none"/>
          <w14:textFill>
            <w14:solidFill>
              <w14:schemeClr w14:val="tx1"/>
            </w14:solidFill>
          </w14:textFill>
        </w:rPr>
      </w:pPr>
      <w:r>
        <w:rPr>
          <w:rFonts w:ascii="仿宋_GB2312" w:hAnsi="仿宋_GB2312" w:eastAsia="仿宋_GB2312" w:cs="仿宋_GB2312"/>
          <w:color w:val="000000" w:themeColor="text1"/>
          <w:sz w:val="32"/>
          <w:szCs w:val="32"/>
          <w:u w:val="none"/>
          <w14:textFill>
            <w14:solidFill>
              <w14:schemeClr w14:val="tx1"/>
            </w14:solidFill>
          </w14:textFill>
        </w:rPr>
        <w:t>因</w:t>
      </w:r>
      <w:r>
        <w:rPr>
          <w:rFonts w:hint="eastAsia" w:ascii="仿宋_GB2312" w:hAnsi="仿宋_GB2312" w:eastAsia="仿宋_GB2312" w:cs="仿宋_GB2312"/>
          <w:color w:val="000000" w:themeColor="text1"/>
          <w:sz w:val="32"/>
          <w:szCs w:val="32"/>
          <w:u w:val="none"/>
          <w14:textFill>
            <w14:solidFill>
              <w14:schemeClr w14:val="tx1"/>
            </w14:solidFill>
          </w14:textFill>
        </w:rPr>
        <w:t>2</w:t>
      </w:r>
      <w:r>
        <w:rPr>
          <w:rFonts w:ascii="仿宋_GB2312" w:hAnsi="仿宋_GB2312" w:eastAsia="仿宋_GB2312" w:cs="仿宋_GB2312"/>
          <w:color w:val="000000" w:themeColor="text1"/>
          <w:sz w:val="32"/>
          <w:szCs w:val="32"/>
          <w:u w:val="none"/>
          <w14:textFill>
            <w14:solidFill>
              <w14:schemeClr w14:val="tx1"/>
            </w14:solidFill>
          </w14:textFill>
        </w:rPr>
        <w:t>02</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w:t>
      </w:r>
      <w:r>
        <w:rPr>
          <w:rFonts w:ascii="仿宋_GB2312" w:hAnsi="仿宋_GB2312" w:eastAsia="仿宋_GB2312" w:cs="仿宋_GB2312"/>
          <w:color w:val="000000" w:themeColor="text1"/>
          <w:sz w:val="32"/>
          <w:szCs w:val="32"/>
          <w:u w:val="none"/>
          <w14:textFill>
            <w14:solidFill>
              <w14:schemeClr w14:val="tx1"/>
            </w14:solidFill>
          </w14:textFill>
        </w:rPr>
        <w:t>年</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2024年</w:t>
      </w:r>
      <w:r>
        <w:rPr>
          <w:rFonts w:ascii="仿宋_GB2312" w:hAnsi="仿宋_GB2312" w:eastAsia="仿宋_GB2312" w:cs="仿宋_GB2312"/>
          <w:color w:val="000000" w:themeColor="text1"/>
          <w:sz w:val="32"/>
          <w:szCs w:val="32"/>
          <w:u w:val="none"/>
          <w14:textFill>
            <w14:solidFill>
              <w14:schemeClr w14:val="tx1"/>
            </w14:solidFill>
          </w14:textFill>
        </w:rPr>
        <w:t>小学入学高峰，城区小学学位饱和，导致</w:t>
      </w:r>
      <w:r>
        <w:rPr>
          <w:rFonts w:hint="eastAsia" w:ascii="仿宋_GB2312" w:hAnsi="仿宋_GB2312" w:eastAsia="仿宋_GB2312" w:cs="仿宋_GB2312"/>
          <w:color w:val="000000" w:themeColor="text1"/>
          <w:sz w:val="32"/>
          <w:szCs w:val="32"/>
          <w:u w:val="none"/>
          <w14:textFill>
            <w14:solidFill>
              <w14:schemeClr w14:val="tx1"/>
            </w14:solidFill>
          </w14:textFill>
        </w:rPr>
        <w:t>城区小学学位异常紧张。城区已达到交工入住条件的</w:t>
      </w:r>
      <w:r>
        <w:rPr>
          <w:rFonts w:ascii="仿宋_GB2312" w:hAnsi="仿宋_GB2312" w:eastAsia="仿宋_GB2312" w:cs="仿宋_GB2312"/>
          <w:color w:val="000000" w:themeColor="text1"/>
          <w:sz w:val="32"/>
          <w:szCs w:val="32"/>
          <w:u w:val="none"/>
          <w14:textFill>
            <w14:solidFill>
              <w14:schemeClr w14:val="tx1"/>
            </w14:solidFill>
          </w14:textFill>
        </w:rPr>
        <w:t>新建小区</w:t>
      </w:r>
      <w:r>
        <w:rPr>
          <w:rFonts w:hint="eastAsia" w:ascii="仿宋_GB2312" w:hAnsi="仿宋_GB2312" w:eastAsia="仿宋_GB2312" w:cs="仿宋_GB2312"/>
          <w:color w:val="000000" w:themeColor="text1"/>
          <w:sz w:val="32"/>
          <w:szCs w:val="32"/>
          <w:u w:val="none"/>
          <w14:textFill>
            <w14:solidFill>
              <w14:schemeClr w14:val="tx1"/>
            </w14:solidFill>
          </w14:textFill>
        </w:rPr>
        <w:t>的适龄儿童可正常参加小学报名</w:t>
      </w:r>
      <w:r>
        <w:rPr>
          <w:rFonts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教体局将根据各城区小学片区内报名情况和学校学位情况统筹妥善安排入学。</w:t>
      </w:r>
    </w:p>
    <w:p w14:paraId="1830933A">
      <w:pPr>
        <w:spacing w:line="500" w:lineRule="exact"/>
        <w:ind w:firstLine="640" w:firstLineChars="200"/>
        <w:jc w:val="left"/>
        <w:rPr>
          <w:rFonts w:ascii="黑体" w:hAnsi="仿宋_GB2312" w:eastAsia="黑体" w:cs="仿宋_GB2312"/>
          <w:bCs/>
          <w:sz w:val="32"/>
          <w:szCs w:val="32"/>
        </w:rPr>
      </w:pPr>
      <w:r>
        <w:rPr>
          <w:rFonts w:hint="eastAsia" w:ascii="黑体" w:hAnsi="仿宋_GB2312" w:eastAsia="黑体" w:cs="仿宋_GB2312"/>
          <w:bCs/>
          <w:sz w:val="32"/>
          <w:szCs w:val="32"/>
        </w:rPr>
        <w:t>二、</w:t>
      </w:r>
      <w:r>
        <w:rPr>
          <w:rFonts w:hint="eastAsia" w:ascii="黑体" w:hAnsi="仿宋_GB2312" w:eastAsia="黑体" w:cs="仿宋_GB2312"/>
          <w:sz w:val="32"/>
          <w:szCs w:val="32"/>
        </w:rPr>
        <w:t>高青县202</w:t>
      </w:r>
      <w:r>
        <w:rPr>
          <w:rFonts w:hint="eastAsia" w:ascii="黑体" w:hAnsi="仿宋_GB2312" w:eastAsia="黑体" w:cs="仿宋_GB2312"/>
          <w:sz w:val="32"/>
          <w:szCs w:val="32"/>
          <w:lang w:val="en-US" w:eastAsia="zh-CN"/>
        </w:rPr>
        <w:t>5</w:t>
      </w:r>
      <w:r>
        <w:rPr>
          <w:rFonts w:hint="eastAsia" w:ascii="黑体" w:hAnsi="仿宋_GB2312" w:eastAsia="黑体" w:cs="仿宋_GB2312"/>
          <w:sz w:val="32"/>
          <w:szCs w:val="32"/>
        </w:rPr>
        <w:t>年初中招生划片范围</w:t>
      </w:r>
    </w:p>
    <w:p w14:paraId="0CFE4A80">
      <w:pPr>
        <w:spacing w:line="500" w:lineRule="exact"/>
        <w:ind w:firstLine="645"/>
        <w:rPr>
          <w:rFonts w:ascii="仿宋_GB2312" w:hAnsi="仿宋_GB2312" w:eastAsia="仿宋_GB2312" w:cs="仿宋_GB2312"/>
          <w:sz w:val="32"/>
          <w:szCs w:val="32"/>
        </w:rPr>
      </w:pPr>
      <w:r>
        <w:rPr>
          <w:rFonts w:hint="eastAsia" w:ascii="楷体_GB2312" w:hAnsi="黑体" w:eastAsia="楷体_GB2312" w:cs="黑体"/>
          <w:bCs/>
          <w:sz w:val="32"/>
          <w:szCs w:val="32"/>
        </w:rPr>
        <w:t>1.高青县实验中学：</w:t>
      </w:r>
      <w:r>
        <w:rPr>
          <w:rFonts w:hint="eastAsia" w:ascii="仿宋_GB2312" w:hAnsi="仿宋_GB2312" w:eastAsia="仿宋_GB2312" w:cs="仿宋_GB2312"/>
          <w:sz w:val="32"/>
          <w:szCs w:val="32"/>
        </w:rPr>
        <w:t>县城派出所户籍（包含从县城派出所迁至县开发区派出所户籍的）的小学毕业生；田镇中心小学和田镇义和小学服务片区的原田镇镇户籍的小学毕业生；以房产落户经济开发区派出所的小学毕业生。</w:t>
      </w:r>
      <w:r>
        <w:rPr>
          <w:rFonts w:hint="eastAsia" w:ascii="仿宋_GB2312" w:eastAsia="仿宋_GB2312"/>
          <w:sz w:val="32"/>
          <w:szCs w:val="32"/>
        </w:rPr>
        <w:t>当报名人数超出学校办学规模时，按照户籍迁移时间、迁出地进行调剂。</w:t>
      </w:r>
    </w:p>
    <w:p w14:paraId="37325135">
      <w:pPr>
        <w:spacing w:line="500" w:lineRule="exact"/>
        <w:ind w:firstLine="640" w:firstLineChars="200"/>
        <w:rPr>
          <w:rFonts w:ascii="仿宋_GB2312" w:hAnsi="仿宋_GB2312" w:eastAsia="仿宋_GB2312" w:cs="仿宋_GB2312"/>
          <w:sz w:val="32"/>
          <w:szCs w:val="32"/>
        </w:rPr>
      </w:pPr>
      <w:r>
        <w:rPr>
          <w:rFonts w:hint="eastAsia" w:ascii="楷体_GB2312" w:hAnsi="黑体" w:eastAsia="楷体_GB2312" w:cs="黑体"/>
          <w:bCs/>
          <w:sz w:val="32"/>
          <w:szCs w:val="32"/>
        </w:rPr>
        <w:t>2.高青二中：</w:t>
      </w:r>
      <w:r>
        <w:rPr>
          <w:rFonts w:hint="eastAsia" w:ascii="仿宋_GB2312" w:hAnsi="仿宋_GB2312" w:eastAsia="仿宋_GB2312" w:cs="仿宋_GB2312"/>
          <w:sz w:val="32"/>
          <w:szCs w:val="32"/>
        </w:rPr>
        <w:t>高城镇户籍、花沟镇唐口小学和花沟镇龙桑小学服务片区户籍的小学毕业生。</w:t>
      </w:r>
    </w:p>
    <w:p w14:paraId="0FE03F06">
      <w:pPr>
        <w:spacing w:line="500" w:lineRule="exact"/>
        <w:ind w:firstLine="640" w:firstLineChars="200"/>
        <w:rPr>
          <w:rFonts w:ascii="仿宋_GB2312" w:hAnsi="仿宋_GB2312" w:eastAsia="仿宋_GB2312" w:cs="仿宋_GB2312"/>
          <w:sz w:val="32"/>
          <w:szCs w:val="32"/>
        </w:rPr>
      </w:pPr>
      <w:r>
        <w:rPr>
          <w:rFonts w:hint="eastAsia" w:ascii="楷体_GB2312" w:hAnsi="黑体" w:eastAsia="楷体_GB2312" w:cs="黑体"/>
          <w:bCs/>
          <w:sz w:val="32"/>
          <w:szCs w:val="32"/>
        </w:rPr>
        <w:t>3.高青三中：</w:t>
      </w:r>
      <w:r>
        <w:rPr>
          <w:rFonts w:hint="eastAsia" w:ascii="仿宋_GB2312" w:hAnsi="仿宋_GB2312" w:eastAsia="仿宋_GB2312" w:cs="仿宋_GB2312"/>
          <w:sz w:val="32"/>
          <w:szCs w:val="32"/>
        </w:rPr>
        <w:t>常家镇户籍和木李镇户籍的小学毕业生。</w:t>
      </w:r>
    </w:p>
    <w:p w14:paraId="309154D7">
      <w:pPr>
        <w:spacing w:line="500" w:lineRule="exact"/>
        <w:ind w:firstLine="640" w:firstLineChars="200"/>
        <w:rPr>
          <w:rFonts w:ascii="仿宋_GB2312" w:hAnsi="仿宋_GB2312" w:eastAsia="仿宋_GB2312" w:cs="仿宋_GB2312"/>
          <w:sz w:val="32"/>
          <w:szCs w:val="32"/>
        </w:rPr>
      </w:pPr>
      <w:r>
        <w:rPr>
          <w:rFonts w:hint="eastAsia" w:ascii="楷体_GB2312" w:hAnsi="黑体" w:eastAsia="楷体_GB2312" w:cs="黑体"/>
          <w:bCs/>
          <w:sz w:val="32"/>
          <w:szCs w:val="32"/>
        </w:rPr>
        <w:t>4.高青四中：</w:t>
      </w:r>
      <w:r>
        <w:rPr>
          <w:rFonts w:hint="eastAsia" w:ascii="仿宋_GB2312" w:hAnsi="仿宋_GB2312" w:eastAsia="仿宋_GB2312" w:cs="仿宋_GB2312"/>
          <w:sz w:val="32"/>
          <w:szCs w:val="32"/>
        </w:rPr>
        <w:t>青城镇户籍和黑里寨镇户籍的小学毕业生。</w:t>
      </w:r>
    </w:p>
    <w:p w14:paraId="11CBA0B7">
      <w:pPr>
        <w:spacing w:line="500" w:lineRule="exact"/>
        <w:ind w:firstLine="640" w:firstLineChars="200"/>
        <w:rPr>
          <w:rFonts w:ascii="仿宋_GB2312" w:hAnsi="仿宋_GB2312" w:eastAsia="仿宋_GB2312" w:cs="仿宋_GB2312"/>
          <w:sz w:val="32"/>
          <w:szCs w:val="32"/>
        </w:rPr>
      </w:pPr>
      <w:r>
        <w:rPr>
          <w:rFonts w:hint="eastAsia" w:ascii="楷体_GB2312" w:hAnsi="黑体" w:eastAsia="楷体_GB2312" w:cs="黑体"/>
          <w:bCs/>
          <w:sz w:val="32"/>
          <w:szCs w:val="32"/>
        </w:rPr>
        <w:t>5.高青五中：</w:t>
      </w:r>
      <w:r>
        <w:rPr>
          <w:rFonts w:hint="eastAsia" w:ascii="仿宋_GB2312" w:hAnsi="仿宋_GB2312" w:eastAsia="仿宋_GB2312" w:cs="仿宋_GB2312"/>
          <w:sz w:val="32"/>
          <w:szCs w:val="32"/>
        </w:rPr>
        <w:t>唐坊镇户籍、芦湖街道户籍、花沟镇中心小学和花沟镇耿家小学服务片区户籍的小学毕业生。（说明：根据学校招生规模，优先录取2022年1月1日户籍新政实行前户籍是高青五中服务片区的学生，空余学位按照户籍迁移时间进行录取，未被录取学生依据迁出地户籍入学。）</w:t>
      </w:r>
    </w:p>
    <w:p w14:paraId="1988AB47">
      <w:pPr>
        <w:spacing w:line="500" w:lineRule="exact"/>
        <w:ind w:firstLine="640" w:firstLineChars="200"/>
        <w:rPr>
          <w:rFonts w:ascii="仿宋_GB2312" w:hAnsi="仿宋_GB2312" w:eastAsia="仿宋_GB2312" w:cs="仿宋_GB2312"/>
          <w:sz w:val="32"/>
          <w:szCs w:val="32"/>
        </w:rPr>
      </w:pPr>
      <w:r>
        <w:rPr>
          <w:rFonts w:hint="eastAsia" w:ascii="楷体_GB2312" w:hAnsi="黑体" w:eastAsia="楷体_GB2312" w:cs="黑体"/>
          <w:bCs/>
          <w:sz w:val="32"/>
          <w:szCs w:val="32"/>
        </w:rPr>
        <w:t>6.高青六中：</w:t>
      </w:r>
    </w:p>
    <w:p w14:paraId="2716C1DB">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（1）田镇街道田镇崔张小学服务片区户籍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含前池、后池、韩连</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和花沟镇榆林小学服务片区户籍的小学毕业生。</w:t>
      </w:r>
    </w:p>
    <w:p w14:paraId="1FF5C030">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城南</w:t>
      </w:r>
      <w:r>
        <w:rPr>
          <w:rFonts w:eastAsia="仿宋_GB2312"/>
          <w:sz w:val="32"/>
          <w:szCs w:val="32"/>
        </w:rPr>
        <w:t>8</w:t>
      </w:r>
      <w:r>
        <w:rPr>
          <w:rFonts w:hint="eastAsia" w:ascii="仿宋_GB2312" w:hAnsi="仿宋_GB2312" w:eastAsia="仿宋_GB2312" w:cs="仿宋_GB2312"/>
          <w:sz w:val="32"/>
          <w:szCs w:val="32"/>
        </w:rPr>
        <w:t>村户籍的小学毕业生。</w:t>
      </w:r>
    </w:p>
    <w:p w14:paraId="751439C2">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）具有长江路小学学籍的小学毕业生。</w:t>
      </w:r>
    </w:p>
    <w:p w14:paraId="2606D5F3">
      <w:pPr>
        <w:spacing w:line="500" w:lineRule="exact"/>
        <w:ind w:firstLine="640" w:firstLineChars="200"/>
        <w:rPr>
          <w:rFonts w:ascii="仿宋_GB2312" w:hAnsi="仿宋_GB2312" w:eastAsia="仿宋_GB2312" w:cs="仿宋_GB2312"/>
          <w:sz w:val="32"/>
          <w:szCs w:val="32"/>
        </w:rPr>
      </w:pPr>
    </w:p>
    <w:p w14:paraId="62E05264">
      <w:pPr>
        <w:spacing w:line="520" w:lineRule="exact"/>
        <w:rPr>
          <w:rFonts w:ascii="仿宋_GB2312" w:hAnsi="仿宋_GB2312" w:eastAsia="仿宋_GB2312" w:cs="宋体"/>
          <w:kern w:val="0"/>
          <w:sz w:val="32"/>
          <w:szCs w:val="32"/>
        </w:rPr>
      </w:pPr>
    </w:p>
    <w:p w14:paraId="4A4EAF87">
      <w:pPr>
        <w:spacing w:line="520" w:lineRule="exact"/>
        <w:rPr>
          <w:rFonts w:ascii="仿宋_GB2312" w:hAnsi="仿宋_GB2312" w:eastAsia="仿宋_GB2312" w:cs="宋体"/>
          <w:kern w:val="0"/>
          <w:sz w:val="32"/>
          <w:szCs w:val="32"/>
        </w:rPr>
      </w:pPr>
    </w:p>
    <w:p w14:paraId="3E3D9727">
      <w:pPr>
        <w:spacing w:line="520" w:lineRule="exact"/>
        <w:rPr>
          <w:rFonts w:ascii="仿宋_GB2312" w:hAnsi="仿宋_GB2312" w:eastAsia="仿宋_GB2312" w:cs="宋体"/>
          <w:kern w:val="0"/>
          <w:sz w:val="32"/>
          <w:szCs w:val="32"/>
        </w:rPr>
      </w:pPr>
    </w:p>
    <w:p w14:paraId="5EFC0B6C">
      <w:pPr>
        <w:spacing w:line="520" w:lineRule="exact"/>
        <w:rPr>
          <w:rFonts w:ascii="仿宋_GB2312" w:hAnsi="仿宋_GB2312" w:eastAsia="仿宋_GB2312" w:cs="宋体"/>
          <w:kern w:val="0"/>
          <w:sz w:val="32"/>
          <w:szCs w:val="32"/>
        </w:rPr>
      </w:pPr>
      <w:bookmarkStart w:id="0" w:name="_GoBack"/>
      <w:bookmarkEnd w:id="0"/>
    </w:p>
    <w:p w14:paraId="11E69C77">
      <w:pPr>
        <w:spacing w:line="520" w:lineRule="exact"/>
        <w:rPr>
          <w:rFonts w:ascii="仿宋_GB2312" w:hAnsi="仿宋_GB2312" w:eastAsia="仿宋_GB2312" w:cs="宋体"/>
          <w:kern w:val="0"/>
          <w:sz w:val="32"/>
          <w:szCs w:val="32"/>
        </w:rPr>
      </w:pPr>
    </w:p>
    <w:p w14:paraId="36B8E52D">
      <w:pPr>
        <w:spacing w:line="520" w:lineRule="exact"/>
        <w:rPr>
          <w:rFonts w:ascii="仿宋_GB2312" w:hAnsi="仿宋_GB2312" w:eastAsia="仿宋_GB2312" w:cs="宋体"/>
          <w:kern w:val="0"/>
          <w:sz w:val="32"/>
          <w:szCs w:val="32"/>
        </w:rPr>
      </w:pPr>
    </w:p>
    <w:p w14:paraId="137176E5">
      <w:pPr>
        <w:spacing w:line="520" w:lineRule="exact"/>
        <w:rPr>
          <w:rFonts w:ascii="仿宋_GB2312" w:hAnsi="仿宋_GB2312" w:eastAsia="仿宋_GB2312" w:cs="宋体"/>
          <w:kern w:val="0"/>
          <w:sz w:val="32"/>
          <w:szCs w:val="32"/>
        </w:rPr>
      </w:pPr>
    </w:p>
    <w:p w14:paraId="2DA9BCA5">
      <w:pPr>
        <w:spacing w:line="520" w:lineRule="exact"/>
        <w:rPr>
          <w:rFonts w:ascii="仿宋_GB2312" w:hAnsi="仿宋_GB2312" w:eastAsia="仿宋_GB2312" w:cs="宋体"/>
          <w:kern w:val="0"/>
          <w:sz w:val="32"/>
          <w:szCs w:val="32"/>
        </w:rPr>
      </w:pPr>
    </w:p>
    <w:p w14:paraId="1D989EB9">
      <w:pPr>
        <w:spacing w:line="520" w:lineRule="exact"/>
        <w:rPr>
          <w:rFonts w:ascii="仿宋_GB2312" w:hAnsi="仿宋_GB2312" w:eastAsia="仿宋_GB2312" w:cs="宋体"/>
          <w:kern w:val="0"/>
          <w:sz w:val="32"/>
          <w:szCs w:val="32"/>
        </w:rPr>
      </w:pPr>
    </w:p>
    <w:p w14:paraId="35AD8059">
      <w:pPr>
        <w:spacing w:line="520" w:lineRule="exact"/>
        <w:rPr>
          <w:rFonts w:ascii="仿宋_GB2312" w:hAnsi="仿宋_GB2312" w:eastAsia="仿宋_GB2312" w:cs="宋体"/>
          <w:kern w:val="0"/>
          <w:sz w:val="32"/>
          <w:szCs w:val="32"/>
        </w:rPr>
      </w:pPr>
    </w:p>
    <w:p w14:paraId="7EA53CBE">
      <w:pPr>
        <w:spacing w:line="520" w:lineRule="exact"/>
        <w:rPr>
          <w:rFonts w:ascii="仿宋_GB2312" w:hAnsi="仿宋_GB2312" w:eastAsia="仿宋_GB2312" w:cs="宋体"/>
          <w:kern w:val="0"/>
          <w:sz w:val="32"/>
          <w:szCs w:val="32"/>
        </w:rPr>
      </w:pPr>
    </w:p>
    <w:p w14:paraId="34082025">
      <w:pPr>
        <w:spacing w:line="520" w:lineRule="exact"/>
        <w:rPr>
          <w:rFonts w:ascii="仿宋_GB2312" w:hAnsi="仿宋_GB2312" w:eastAsia="仿宋_GB2312" w:cs="宋体"/>
          <w:kern w:val="0"/>
          <w:sz w:val="32"/>
          <w:szCs w:val="32"/>
        </w:rPr>
      </w:pPr>
    </w:p>
    <w:p w14:paraId="2727C6DA">
      <w:pPr>
        <w:spacing w:line="520" w:lineRule="exact"/>
        <w:rPr>
          <w:rFonts w:ascii="仿宋_GB2312" w:hAnsi="仿宋_GB2312" w:eastAsia="仿宋_GB2312" w:cs="宋体"/>
          <w:kern w:val="0"/>
          <w:sz w:val="32"/>
          <w:szCs w:val="32"/>
        </w:rPr>
      </w:pPr>
    </w:p>
    <w:p w14:paraId="29FDF5A1">
      <w:pPr>
        <w:spacing w:line="520" w:lineRule="exact"/>
        <w:rPr>
          <w:rFonts w:ascii="仿宋_GB2312" w:hAnsi="仿宋_GB2312" w:eastAsia="仿宋_GB2312" w:cs="宋体"/>
          <w:kern w:val="0"/>
          <w:sz w:val="32"/>
          <w:szCs w:val="32"/>
        </w:rPr>
      </w:pPr>
    </w:p>
    <w:p w14:paraId="53D553EB">
      <w:pPr>
        <w:spacing w:line="520" w:lineRule="exact"/>
        <w:rPr>
          <w:rFonts w:ascii="仿宋_GB2312" w:hAnsi="仿宋_GB2312" w:eastAsia="仿宋_GB2312" w:cs="宋体"/>
          <w:kern w:val="0"/>
          <w:sz w:val="32"/>
          <w:szCs w:val="32"/>
        </w:rPr>
      </w:pPr>
    </w:p>
    <w:p w14:paraId="087DD79B">
      <w:pPr>
        <w:spacing w:line="520" w:lineRule="exact"/>
        <w:rPr>
          <w:rFonts w:ascii="仿宋_GB2312" w:hAnsi="仿宋_GB2312" w:eastAsia="仿宋_GB2312" w:cs="宋体"/>
          <w:kern w:val="0"/>
          <w:sz w:val="32"/>
          <w:szCs w:val="32"/>
        </w:rPr>
      </w:pPr>
    </w:p>
    <w:p w14:paraId="457C3916">
      <w:pPr>
        <w:spacing w:line="520" w:lineRule="exact"/>
        <w:rPr>
          <w:rFonts w:ascii="仿宋_GB2312" w:hAnsi="仿宋_GB2312" w:eastAsia="仿宋_GB2312" w:cs="宋体"/>
          <w:kern w:val="0"/>
          <w:sz w:val="32"/>
          <w:szCs w:val="32"/>
        </w:rPr>
      </w:pPr>
    </w:p>
    <w:p w14:paraId="1B89D387">
      <w:pPr>
        <w:spacing w:line="520" w:lineRule="exact"/>
        <w:rPr>
          <w:rFonts w:hint="eastAsia" w:ascii="仿宋_GB2312" w:hAnsi="仿宋_GB2312" w:eastAsia="仿宋_GB2312" w:cs="宋体"/>
          <w:kern w:val="0"/>
          <w:sz w:val="32"/>
          <w:szCs w:val="32"/>
        </w:rPr>
      </w:pPr>
    </w:p>
    <w:p w14:paraId="46C3474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34E9C"/>
    <w:rsid w:val="3586192A"/>
    <w:rsid w:val="47D91D8D"/>
    <w:rsid w:val="48F76CCD"/>
    <w:rsid w:val="7D567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1039</Words>
  <Characters>1070</Characters>
  <Lines>0</Lines>
  <Paragraphs>0</Paragraphs>
  <TotalTime>0</TotalTime>
  <ScaleCrop>false</ScaleCrop>
  <LinksUpToDate>false</LinksUpToDate>
  <CharactersWithSpaces>1070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2025-06-19T00:15:00Z</dcterms:created>
  <dc:creator>Administrator</dc:creator>
  <cp:lastModifiedBy>A坚持✊</cp:lastModifiedBy>
  <dcterms:modified xsi:type="dcterms:W3CDTF">2025-06-24T07:58:26Z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eyJoZGlkIjoiZTUzZTBlOGUxM2JkYWVjNzg3MDM1NWU2Y2E3Y2Y5ZTEiLCJ1c2VySWQiOiIyMzcxNzY3ODUifQ==</vt:lpwstr>
  </property>
  <property fmtid="{D5CDD505-2E9C-101B-9397-08002B2CF9AE}" pid="4" name="ICV">
    <vt:lpwstr>227CA9265C9849C6975CE11699BF54D7_12</vt:lpwstr>
  </property>
</Properties>
</file>