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b/>
          <w:sz w:val="44"/>
          <w:szCs w:val="44"/>
        </w:rPr>
      </w:pPr>
      <w:r>
        <w:rPr>
          <w:rFonts w:hint="eastAsia" w:ascii="宋体" w:hAnsi="宋体"/>
          <w:b/>
          <w:sz w:val="44"/>
          <w:szCs w:val="44"/>
        </w:rPr>
        <w:t>高青县</w:t>
      </w:r>
      <w:r>
        <w:rPr>
          <w:rFonts w:hint="eastAsia" w:ascii="宋体" w:hAnsi="宋体"/>
          <w:b/>
          <w:sz w:val="44"/>
          <w:szCs w:val="44"/>
          <w:lang w:eastAsia="zh-CN"/>
        </w:rPr>
        <w:t>教育局</w:t>
      </w:r>
      <w:r>
        <w:rPr>
          <w:rFonts w:ascii="宋体" w:hAnsi="宋体"/>
          <w:b/>
          <w:sz w:val="44"/>
          <w:szCs w:val="44"/>
        </w:rPr>
        <w:t>2017</w:t>
      </w:r>
      <w:r>
        <w:rPr>
          <w:rFonts w:hint="eastAsia" w:ascii="宋体" w:hAnsi="宋体"/>
          <w:b/>
          <w:sz w:val="44"/>
          <w:szCs w:val="44"/>
        </w:rPr>
        <w:t>年政府信息公开</w:t>
      </w:r>
      <w:r>
        <w:rPr>
          <w:rFonts w:hint="eastAsia" w:ascii="宋体" w:hAnsi="宋体"/>
          <w:b/>
          <w:sz w:val="44"/>
          <w:szCs w:val="44"/>
          <w:lang w:val="en-US" w:eastAsia="zh-CN"/>
        </w:rPr>
        <w:t xml:space="preserve">         </w:t>
      </w:r>
      <w:r>
        <w:rPr>
          <w:rFonts w:hint="eastAsia" w:ascii="宋体" w:hAnsi="宋体"/>
          <w:b/>
          <w:sz w:val="44"/>
          <w:szCs w:val="44"/>
        </w:rPr>
        <w:t>工作年度报告</w:t>
      </w:r>
    </w:p>
    <w:p>
      <w:pPr>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本报告按照《中华人民共和国政府信息公开条例》（以下简称《条例》）和《山东省政府信息公开办法》（以下简称《办法》）规定，在高青县各乡镇人民政府、各街道办事处、经济开发区管委会和高青县人民政府各部门、各有关单位政府信息公开工作的基础上编制。</w:t>
      </w:r>
    </w:p>
    <w:p>
      <w:pPr>
        <w:spacing w:line="540" w:lineRule="exact"/>
        <w:ind w:firstLine="645"/>
        <w:rPr>
          <w:rFonts w:ascii="仿宋_GB2312" w:eastAsia="仿宋_GB2312"/>
          <w:sz w:val="32"/>
          <w:szCs w:val="32"/>
        </w:rPr>
      </w:pPr>
      <w:r>
        <w:rPr>
          <w:rFonts w:hint="eastAsia" w:ascii="仿宋_GB2312" w:eastAsia="仿宋_GB2312"/>
          <w:sz w:val="32"/>
          <w:szCs w:val="32"/>
        </w:rPr>
        <w:t>报告全文由概述、主动公开政府信息情况、依申请公开政府信息情况、政府信息公开复议诉讼和举报情况、政府信息公开工作机构和人员情况、存在的不足及改进措施六个部分组成，并附有相关统计表格。</w:t>
      </w:r>
    </w:p>
    <w:p>
      <w:pPr>
        <w:pStyle w:val="7"/>
        <w:keepNext w:val="0"/>
        <w:keepLines w:val="0"/>
        <w:widowControl/>
        <w:suppressLineNumbers w:val="0"/>
        <w:spacing w:line="480" w:lineRule="atLeast"/>
        <w:jc w:val="left"/>
        <w:rPr>
          <w:rFonts w:hint="eastAsia" w:ascii="仿宋" w:hAnsi="仿宋" w:eastAsia="仿宋" w:cs="仿宋"/>
          <w:sz w:val="32"/>
          <w:szCs w:val="32"/>
        </w:rPr>
      </w:pPr>
      <w:r>
        <w:rPr>
          <w:rFonts w:hint="eastAsia" w:ascii="仿宋_GB2312" w:hAnsi="Times New Roman" w:eastAsia="仿宋_GB2312"/>
          <w:sz w:val="32"/>
          <w:szCs w:val="32"/>
        </w:rPr>
        <w:t xml:space="preserve">    报告中所列数据统计期限自2017年1月1日始，至2017年12月31日止。报告电子版可在高青县人民政府门户网站（www.gaoqing.gov.cn）查阅和下载。</w:t>
      </w:r>
      <w:r>
        <w:rPr>
          <w:rFonts w:hint="eastAsia" w:ascii="仿宋" w:hAnsi="仿宋" w:eastAsia="仿宋" w:cs="仿宋"/>
          <w:b w:val="0"/>
          <w:color w:val="3D3D3D"/>
          <w:sz w:val="32"/>
          <w:szCs w:val="32"/>
          <w:u w:val="none"/>
        </w:rPr>
        <w:t>如对本报告有任何疑问，请与高青县教育局联系（地址：高青县青城路65号；邮编：256300；电话：6973600；传真：6973592）。</w:t>
      </w:r>
    </w:p>
    <w:p>
      <w:pPr>
        <w:spacing w:line="540" w:lineRule="exact"/>
        <w:ind w:firstLine="643" w:firstLineChars="200"/>
        <w:rPr>
          <w:rFonts w:ascii="仿宋_GB2312" w:hAnsi="Times New Roman" w:eastAsia="仿宋_GB2312"/>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一、概述</w:t>
      </w:r>
    </w:p>
    <w:p>
      <w:pPr>
        <w:pStyle w:val="7"/>
        <w:keepNext w:val="0"/>
        <w:keepLines w:val="0"/>
        <w:widowControl/>
        <w:suppressLineNumbers w:val="0"/>
        <w:spacing w:line="480" w:lineRule="atLeast"/>
        <w:ind w:firstLine="640" w:firstLineChars="200"/>
        <w:jc w:val="left"/>
        <w:rPr>
          <w:rFonts w:hint="eastAsia" w:ascii="楷体_GB2312" w:hAnsi="Times New Roman" w:eastAsia="楷体_GB2312"/>
          <w:sz w:val="32"/>
          <w:szCs w:val="32"/>
        </w:rPr>
      </w:pPr>
      <w:r>
        <w:rPr>
          <w:rFonts w:hint="eastAsia" w:ascii="楷体_GB2312" w:hAnsi="Times New Roman" w:eastAsia="楷体_GB2312"/>
          <w:sz w:val="32"/>
          <w:szCs w:val="32"/>
        </w:rPr>
        <w:t>（一）加强组织领导，优化队伍建设。</w:t>
      </w:r>
    </w:p>
    <w:p>
      <w:pPr>
        <w:pStyle w:val="7"/>
        <w:keepNext w:val="0"/>
        <w:keepLines w:val="0"/>
        <w:widowControl/>
        <w:suppressLineNumbers w:val="0"/>
        <w:spacing w:line="480" w:lineRule="atLeast"/>
        <w:ind w:firstLine="640" w:firstLineChars="200"/>
        <w:jc w:val="left"/>
        <w:rPr>
          <w:rFonts w:hint="eastAsia" w:ascii="仿宋" w:hAnsi="仿宋" w:eastAsia="仿宋" w:cs="仿宋"/>
          <w:sz w:val="32"/>
          <w:szCs w:val="32"/>
        </w:rPr>
      </w:pPr>
      <w:r>
        <w:rPr>
          <w:rFonts w:hint="eastAsia" w:ascii="仿宋" w:hAnsi="仿宋" w:eastAsia="仿宋" w:cs="仿宋"/>
          <w:b w:val="0"/>
          <w:color w:val="3D3D3D"/>
          <w:sz w:val="32"/>
          <w:szCs w:val="32"/>
          <w:u w:val="none"/>
        </w:rPr>
        <w:t>进一步加强对政府信息公开工作的组织领导，不断完善政府信息公开工作体制机制建设。及时调整县教育局政府信息公开工作领导小组，县教育局党委书记、局长任组长，分管副局长任副组长，局机关各科室、各学区主要负责人为成员，领导小组办公室设在县教育局办公室。各学校也成立了相应的领导小组及其办事机构，进一步建立健全教育系统政府信息公开工作网络。局主要领导和分管领导定期听取局政府信息公开领导小组办公室的工作汇报，研究推进政府信息公开工作措施，协调解决信息公开工作中存在的问题，确保了2017年政府信息公开工作的有序进行。</w:t>
      </w:r>
    </w:p>
    <w:p>
      <w:pPr>
        <w:pStyle w:val="7"/>
        <w:keepNext w:val="0"/>
        <w:keepLines w:val="0"/>
        <w:widowControl/>
        <w:suppressLineNumbers w:val="0"/>
        <w:spacing w:line="480" w:lineRule="atLeast"/>
        <w:ind w:firstLine="320" w:firstLineChars="100"/>
        <w:jc w:val="left"/>
        <w:rPr>
          <w:rFonts w:hint="eastAsia" w:ascii="仿宋" w:hAnsi="仿宋" w:eastAsia="仿宋" w:cs="仿宋"/>
          <w:b/>
          <w:bCs/>
          <w:sz w:val="32"/>
          <w:szCs w:val="32"/>
        </w:rPr>
      </w:pPr>
      <w:r>
        <w:rPr>
          <w:rFonts w:hint="eastAsia" w:ascii="仿宋" w:hAnsi="仿宋" w:eastAsia="仿宋" w:cs="仿宋"/>
          <w:b w:val="0"/>
          <w:color w:val="3D3D3D"/>
          <w:sz w:val="32"/>
          <w:szCs w:val="32"/>
          <w:u w:val="none"/>
        </w:rPr>
        <w:t>（二）</w:t>
      </w:r>
      <w:r>
        <w:rPr>
          <w:rFonts w:hint="eastAsia" w:ascii="仿宋" w:hAnsi="仿宋" w:eastAsia="仿宋" w:cs="仿宋"/>
          <w:b/>
          <w:bCs/>
          <w:color w:val="3D3D3D"/>
          <w:sz w:val="32"/>
          <w:szCs w:val="32"/>
          <w:u w:val="none"/>
        </w:rPr>
        <w:t>制度建设情况</w:t>
      </w:r>
    </w:p>
    <w:p>
      <w:pPr>
        <w:pStyle w:val="7"/>
        <w:keepNext w:val="0"/>
        <w:keepLines w:val="0"/>
        <w:widowControl/>
        <w:suppressLineNumbers w:val="0"/>
        <w:spacing w:line="480" w:lineRule="atLeast"/>
        <w:ind w:firstLine="640" w:firstLineChars="200"/>
        <w:jc w:val="left"/>
        <w:rPr>
          <w:rFonts w:hint="eastAsia" w:ascii="仿宋" w:hAnsi="仿宋" w:eastAsia="仿宋" w:cs="仿宋"/>
          <w:sz w:val="32"/>
          <w:szCs w:val="32"/>
        </w:rPr>
      </w:pPr>
      <w:r>
        <w:rPr>
          <w:rFonts w:hint="eastAsia" w:ascii="仿宋" w:hAnsi="仿宋" w:eastAsia="仿宋" w:cs="仿宋"/>
          <w:b w:val="0"/>
          <w:color w:val="3D3D3D"/>
          <w:sz w:val="32"/>
          <w:szCs w:val="32"/>
          <w:u w:val="none"/>
        </w:rPr>
        <w:t>认真贯彻执行政府信息公开工作相关规章制度。高青县教育局根据《中华人民共和国</w:t>
      </w:r>
      <w:r>
        <w:rPr>
          <w:rFonts w:hint="eastAsia" w:ascii="仿宋" w:hAnsi="仿宋" w:eastAsia="仿宋" w:cs="仿宋"/>
          <w:b w:val="0"/>
          <w:color w:val="3D3D3D"/>
          <w:sz w:val="32"/>
          <w:szCs w:val="32"/>
          <w:u w:val="none"/>
          <w:lang w:val="en-US" w:eastAsia="zh-CN"/>
        </w:rPr>
        <w:t>政府</w:t>
      </w:r>
      <w:r>
        <w:rPr>
          <w:rFonts w:hint="eastAsia" w:ascii="仿宋" w:hAnsi="仿宋" w:eastAsia="仿宋" w:cs="仿宋"/>
          <w:b w:val="0"/>
          <w:color w:val="3D3D3D"/>
          <w:sz w:val="32"/>
          <w:szCs w:val="32"/>
          <w:u w:val="none"/>
        </w:rPr>
        <w:t>信息公开条例》，制定了政府信息公开指南和公开目录，在高青教育网及高</w:t>
      </w:r>
      <w:bookmarkStart w:id="0" w:name="_GoBack"/>
      <w:bookmarkEnd w:id="0"/>
      <w:r>
        <w:rPr>
          <w:rFonts w:hint="eastAsia" w:ascii="仿宋" w:hAnsi="仿宋" w:eastAsia="仿宋" w:cs="仿宋"/>
          <w:b w:val="0"/>
          <w:color w:val="3D3D3D"/>
          <w:sz w:val="32"/>
          <w:szCs w:val="32"/>
          <w:u w:val="none"/>
        </w:rPr>
        <w:t>青县信息公开网站进行了发布，并根据《条例》及公开工作的要求，制定了主动公开制度，依申请公开制度、保密审查制度等相关制度。认真落实政府信息公开考核、评议和责任追究制度。将政务公开工作纳入对机关科室目标绩效考核，对主动公开意识不强、执行政务公开制度不力的情况，在科室年度考核中予以扣分。</w:t>
      </w:r>
    </w:p>
    <w:p>
      <w:pPr>
        <w:spacing w:line="540" w:lineRule="exact"/>
        <w:ind w:firstLine="643" w:firstLineChars="200"/>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二、主动公开政府信息情况</w:t>
      </w:r>
    </w:p>
    <w:p>
      <w:pPr>
        <w:pStyle w:val="7"/>
        <w:keepNext w:val="0"/>
        <w:keepLines w:val="0"/>
        <w:widowControl/>
        <w:suppressLineNumbers w:val="0"/>
        <w:spacing w:line="480" w:lineRule="atLeast"/>
        <w:ind w:firstLine="640" w:firstLineChars="200"/>
        <w:jc w:val="left"/>
        <w:rPr>
          <w:rFonts w:hint="eastAsia" w:ascii="仿宋" w:hAnsi="仿宋" w:eastAsia="仿宋" w:cs="仿宋"/>
          <w:sz w:val="32"/>
          <w:szCs w:val="32"/>
          <w:lang w:eastAsia="zh-CN"/>
        </w:rPr>
      </w:pPr>
      <w:r>
        <w:rPr>
          <w:rFonts w:hint="eastAsia" w:ascii="仿宋" w:hAnsi="仿宋" w:eastAsia="仿宋" w:cs="仿宋"/>
          <w:b w:val="0"/>
          <w:color w:val="3D3D3D"/>
          <w:sz w:val="32"/>
          <w:szCs w:val="32"/>
          <w:u w:val="none"/>
        </w:rPr>
        <w:t>2017年，县教育局通过高青政务网主动公开文件、公告、报告等106条。根据高政办字[2017]32号文件要求，重点加强解决城镇普通中小学大班额问题、全面改善义务教育薄弱学校基本办学条件和校舍建设、师资招聘、设备购置类项目等的信息公开。在单位网站（高青教育网）设立义务教育招生入学专栏，扎实推进招生政策公开。在高青教育网公开文件、公告等164个，信息2164条，在省、市教育局信息网、及其他媒体公开教育信息536条。</w:t>
      </w:r>
      <w:r>
        <w:rPr>
          <w:rFonts w:hint="eastAsia" w:ascii="仿宋_GB2312" w:eastAsia="仿宋_GB2312"/>
          <w:sz w:val="32"/>
          <w:szCs w:val="32"/>
        </w:rPr>
        <w:t>在县政府网站“建议提案办理”栏目主动公开人大代表建议和政协委员提案办理情况。</w:t>
      </w:r>
      <w:r>
        <w:rPr>
          <w:rFonts w:hint="eastAsia" w:ascii="仿宋" w:hAnsi="仿宋" w:eastAsia="仿宋" w:cs="仿宋"/>
          <w:b w:val="0"/>
          <w:color w:val="3D3D3D"/>
          <w:sz w:val="32"/>
          <w:szCs w:val="32"/>
          <w:u w:val="none"/>
        </w:rPr>
        <w:t>201</w:t>
      </w:r>
      <w:r>
        <w:rPr>
          <w:rFonts w:hint="eastAsia" w:ascii="仿宋" w:hAnsi="仿宋" w:eastAsia="仿宋" w:cs="仿宋"/>
          <w:b w:val="0"/>
          <w:color w:val="3D3D3D"/>
          <w:sz w:val="32"/>
          <w:szCs w:val="32"/>
          <w:u w:val="none"/>
          <w:lang w:val="en-US" w:eastAsia="zh-CN"/>
        </w:rPr>
        <w:t>7</w:t>
      </w:r>
      <w:r>
        <w:rPr>
          <w:rFonts w:hint="eastAsia" w:ascii="仿宋" w:hAnsi="仿宋" w:eastAsia="仿宋" w:cs="仿宋"/>
          <w:b w:val="0"/>
          <w:color w:val="3D3D3D"/>
          <w:sz w:val="32"/>
          <w:szCs w:val="32"/>
          <w:u w:val="none"/>
        </w:rPr>
        <w:t>年主动公开县政府承办的</w:t>
      </w:r>
      <w:r>
        <w:rPr>
          <w:rFonts w:hint="eastAsia" w:ascii="仿宋" w:hAnsi="仿宋" w:eastAsia="仿宋" w:cs="仿宋"/>
          <w:b w:val="0"/>
          <w:color w:val="3D3D3D"/>
          <w:sz w:val="32"/>
          <w:szCs w:val="32"/>
          <w:u w:val="none"/>
          <w:lang w:val="en-US" w:eastAsia="zh-CN"/>
        </w:rPr>
        <w:t>11</w:t>
      </w:r>
      <w:r>
        <w:rPr>
          <w:rFonts w:hint="eastAsia" w:ascii="仿宋" w:hAnsi="仿宋" w:eastAsia="仿宋" w:cs="仿宋"/>
          <w:b w:val="0"/>
          <w:color w:val="3D3D3D"/>
          <w:sz w:val="32"/>
          <w:szCs w:val="32"/>
          <w:u w:val="none"/>
        </w:rPr>
        <w:t>件县人大代表建议、</w:t>
      </w:r>
      <w:r>
        <w:rPr>
          <w:rFonts w:hint="eastAsia" w:ascii="仿宋" w:hAnsi="仿宋" w:eastAsia="仿宋" w:cs="仿宋"/>
          <w:b w:val="0"/>
          <w:color w:val="3D3D3D"/>
          <w:sz w:val="32"/>
          <w:szCs w:val="32"/>
          <w:u w:val="none"/>
          <w:lang w:val="en-US" w:eastAsia="zh-CN"/>
        </w:rPr>
        <w:t>5</w:t>
      </w:r>
      <w:r>
        <w:rPr>
          <w:rFonts w:hint="eastAsia" w:ascii="仿宋" w:hAnsi="仿宋" w:eastAsia="仿宋" w:cs="仿宋"/>
          <w:b w:val="0"/>
          <w:color w:val="3D3D3D"/>
          <w:sz w:val="32"/>
          <w:szCs w:val="32"/>
          <w:u w:val="none"/>
        </w:rPr>
        <w:t>件县政协委员提案的整体办理情况</w:t>
      </w:r>
      <w:r>
        <w:rPr>
          <w:rFonts w:hint="eastAsia" w:ascii="仿宋" w:hAnsi="仿宋" w:eastAsia="仿宋" w:cs="仿宋"/>
          <w:b w:val="0"/>
          <w:color w:val="3D3D3D"/>
          <w:sz w:val="32"/>
          <w:szCs w:val="32"/>
          <w:u w:val="none"/>
          <w:lang w:eastAsia="zh-CN"/>
        </w:rPr>
        <w:t>。</w:t>
      </w:r>
    </w:p>
    <w:p>
      <w:pPr>
        <w:spacing w:line="540" w:lineRule="exact"/>
        <w:ind w:firstLine="643"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三、依申请公开政府信息情况</w:t>
      </w:r>
    </w:p>
    <w:p>
      <w:pPr>
        <w:spacing w:line="540" w:lineRule="exact"/>
        <w:ind w:firstLine="648"/>
        <w:rPr>
          <w:rFonts w:ascii="楷体_GB2312" w:hAnsi="Times New Roman" w:eastAsia="楷体_GB2312"/>
          <w:sz w:val="32"/>
          <w:szCs w:val="32"/>
        </w:rPr>
      </w:pPr>
      <w:r>
        <w:rPr>
          <w:rFonts w:hint="eastAsia" w:ascii="楷体_GB2312" w:hAnsi="Times New Roman" w:eastAsia="楷体_GB2312"/>
          <w:sz w:val="32"/>
          <w:szCs w:val="32"/>
        </w:rPr>
        <w:t>（一）依申请公开处理情况</w:t>
      </w:r>
    </w:p>
    <w:p>
      <w:pPr>
        <w:spacing w:line="540" w:lineRule="exact"/>
        <w:ind w:firstLine="648"/>
        <w:rPr>
          <w:rFonts w:ascii="仿宋_GB2312" w:hAnsi="Times New Roman" w:eastAsia="仿宋_GB2312"/>
          <w:sz w:val="32"/>
          <w:szCs w:val="32"/>
        </w:rPr>
      </w:pPr>
      <w:r>
        <w:rPr>
          <w:rFonts w:hint="eastAsia" w:ascii="仿宋_GB2312" w:hAnsi="Times New Roman" w:eastAsia="仿宋_GB2312"/>
          <w:sz w:val="32"/>
          <w:szCs w:val="32"/>
        </w:rPr>
        <w:t>2017年，</w:t>
      </w:r>
      <w:r>
        <w:rPr>
          <w:rFonts w:hint="eastAsia" w:ascii="仿宋_GB2312" w:hAnsi="Times New Roman" w:eastAsia="仿宋_GB2312"/>
          <w:kern w:val="0"/>
          <w:sz w:val="32"/>
          <w:szCs w:val="32"/>
          <w:lang w:val="zh-CN"/>
        </w:rPr>
        <w:t>全县各级各部门</w:t>
      </w:r>
      <w:r>
        <w:rPr>
          <w:rFonts w:hint="eastAsia" w:ascii="仿宋_GB2312" w:hAnsi="Times New Roman" w:eastAsia="仿宋_GB2312"/>
          <w:sz w:val="32"/>
          <w:szCs w:val="32"/>
        </w:rPr>
        <w:t>各单位</w:t>
      </w:r>
      <w:r>
        <w:rPr>
          <w:rFonts w:hint="eastAsia" w:ascii="仿宋_GB2312" w:hAnsi="Times New Roman" w:eastAsia="仿宋_GB2312"/>
          <w:kern w:val="0"/>
          <w:sz w:val="32"/>
          <w:szCs w:val="32"/>
          <w:lang w:val="zh-CN"/>
        </w:rPr>
        <w:t>共收到政府信息公开申请</w:t>
      </w:r>
      <w:r>
        <w:rPr>
          <w:rFonts w:hint="eastAsia" w:ascii="仿宋_GB2312" w:hAnsi="Times New Roman" w:eastAsia="仿宋_GB2312"/>
          <w:kern w:val="0"/>
          <w:sz w:val="32"/>
          <w:szCs w:val="32"/>
          <w:lang w:val="en-US" w:eastAsia="zh-CN"/>
        </w:rPr>
        <w:t>0</w:t>
      </w:r>
      <w:r>
        <w:rPr>
          <w:rFonts w:hint="eastAsia" w:ascii="仿宋_GB2312" w:hAnsi="Times New Roman" w:eastAsia="仿宋_GB2312"/>
          <w:kern w:val="0"/>
          <w:sz w:val="32"/>
          <w:szCs w:val="32"/>
          <w:lang w:val="zh-CN"/>
        </w:rPr>
        <w:t>件，办结政府信息公开申请</w:t>
      </w:r>
      <w:r>
        <w:rPr>
          <w:rFonts w:hint="eastAsia" w:ascii="仿宋_GB2312" w:hAnsi="Times New Roman" w:eastAsia="仿宋_GB2312"/>
          <w:kern w:val="0"/>
          <w:sz w:val="32"/>
          <w:szCs w:val="32"/>
          <w:lang w:val="en-US" w:eastAsia="zh-CN"/>
        </w:rPr>
        <w:t>0</w:t>
      </w:r>
      <w:r>
        <w:rPr>
          <w:rFonts w:hint="eastAsia" w:ascii="仿宋_GB2312" w:hAnsi="Times New Roman" w:eastAsia="仿宋_GB2312"/>
          <w:kern w:val="0"/>
          <w:sz w:val="32"/>
          <w:szCs w:val="32"/>
          <w:lang w:val="zh-CN"/>
        </w:rPr>
        <w:t>件，全部按时答复。</w:t>
      </w:r>
    </w:p>
    <w:p>
      <w:pPr>
        <w:spacing w:line="540" w:lineRule="exact"/>
        <w:ind w:firstLine="648"/>
        <w:rPr>
          <w:rFonts w:ascii="楷体_GB2312" w:hAnsi="Times New Roman" w:eastAsia="楷体_GB2312"/>
          <w:sz w:val="32"/>
          <w:szCs w:val="32"/>
        </w:rPr>
      </w:pPr>
      <w:r>
        <w:rPr>
          <w:rFonts w:hint="eastAsia" w:ascii="楷体_GB2312" w:hAnsi="Times New Roman" w:eastAsia="楷体_GB2312"/>
          <w:sz w:val="32"/>
          <w:szCs w:val="32"/>
        </w:rPr>
        <w:t>（二）收费及减免情况</w:t>
      </w:r>
    </w:p>
    <w:p>
      <w:pPr>
        <w:spacing w:line="540" w:lineRule="exact"/>
        <w:ind w:firstLine="640" w:firstLineChars="200"/>
        <w:rPr>
          <w:rFonts w:ascii="仿宋_GB2312" w:hAnsi="Times New Roman" w:eastAsia="仿宋_GB2312"/>
          <w:color w:val="000000" w:themeColor="text1"/>
          <w:kern w:val="0"/>
          <w:sz w:val="32"/>
          <w:szCs w:val="32"/>
          <w:lang w:val="zh-CN"/>
          <w14:textFill>
            <w14:solidFill>
              <w14:schemeClr w14:val="tx1"/>
            </w14:solidFill>
          </w14:textFill>
        </w:rPr>
      </w:pPr>
      <w:r>
        <w:rPr>
          <w:rFonts w:hint="eastAsia" w:ascii="仿宋_GB2312" w:hAnsi="Times New Roman" w:eastAsia="仿宋_GB2312"/>
          <w:color w:val="000000" w:themeColor="text1"/>
          <w:kern w:val="0"/>
          <w:sz w:val="32"/>
          <w:szCs w:val="32"/>
          <w:lang w:val="zh-CN"/>
          <w14:textFill>
            <w14:solidFill>
              <w14:schemeClr w14:val="tx1"/>
            </w14:solidFill>
          </w14:textFill>
        </w:rPr>
        <w:t>本年度，全县各级各部门在政府信息公开申请办理过程中，未收取任何费用。</w:t>
      </w:r>
    </w:p>
    <w:p>
      <w:pPr>
        <w:spacing w:line="540" w:lineRule="exact"/>
        <w:ind w:firstLine="648"/>
        <w:rPr>
          <w:rFonts w:ascii="黑体" w:hAnsi="黑体" w:eastAsia="黑体"/>
          <w:b/>
          <w:color w:val="FF0000"/>
          <w:sz w:val="32"/>
          <w:szCs w:val="32"/>
        </w:rPr>
      </w:pPr>
      <w:r>
        <w:rPr>
          <w:rFonts w:hint="eastAsia" w:ascii="黑体" w:hAnsi="黑体" w:eastAsia="黑体"/>
          <w:b/>
          <w:color w:val="000000" w:themeColor="text1"/>
          <w:sz w:val="32"/>
          <w:szCs w:val="32"/>
          <w14:textFill>
            <w14:solidFill>
              <w14:schemeClr w14:val="tx1"/>
            </w14:solidFill>
          </w14:textFill>
        </w:rPr>
        <w:t>四、政府信息公开复议诉讼和举报情况</w:t>
      </w:r>
    </w:p>
    <w:p>
      <w:pPr>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kern w:val="0"/>
          <w:sz w:val="32"/>
          <w:szCs w:val="32"/>
          <w:lang w:val="zh-CN"/>
        </w:rPr>
        <w:t>2017年，全县各级共发生政府信息公开行政复议</w:t>
      </w:r>
      <w:r>
        <w:rPr>
          <w:rFonts w:hint="eastAsia" w:ascii="仿宋_GB2312" w:hAnsi="Times New Roman" w:eastAsia="仿宋_GB2312"/>
          <w:kern w:val="0"/>
          <w:sz w:val="32"/>
          <w:szCs w:val="32"/>
          <w:lang w:val="en-US" w:eastAsia="zh-CN"/>
        </w:rPr>
        <w:t>0</w:t>
      </w:r>
      <w:r>
        <w:rPr>
          <w:rFonts w:hint="eastAsia" w:ascii="仿宋_GB2312" w:hAnsi="Times New Roman" w:eastAsia="仿宋_GB2312"/>
          <w:kern w:val="0"/>
          <w:sz w:val="32"/>
          <w:szCs w:val="32"/>
          <w:lang w:val="zh-CN"/>
        </w:rPr>
        <w:t>件，其中，复议结果维持行政机关具体行政行为0件，纠错</w:t>
      </w:r>
      <w:r>
        <w:rPr>
          <w:rFonts w:hint="eastAsia" w:ascii="仿宋_GB2312" w:hAnsi="Times New Roman" w:eastAsia="仿宋_GB2312"/>
          <w:kern w:val="0"/>
          <w:sz w:val="32"/>
          <w:szCs w:val="32"/>
          <w:lang w:val="en-US" w:eastAsia="zh-CN"/>
        </w:rPr>
        <w:t>0</w:t>
      </w:r>
      <w:r>
        <w:rPr>
          <w:rFonts w:hint="eastAsia" w:ascii="仿宋_GB2312" w:hAnsi="Times New Roman" w:eastAsia="仿宋_GB2312"/>
          <w:kern w:val="0"/>
          <w:sz w:val="32"/>
          <w:szCs w:val="32"/>
          <w:lang w:val="zh-CN"/>
        </w:rPr>
        <w:t>件，其他</w:t>
      </w:r>
      <w:r>
        <w:rPr>
          <w:rFonts w:hint="eastAsia" w:ascii="仿宋_GB2312" w:hAnsi="Times New Roman" w:eastAsia="仿宋_GB2312"/>
          <w:color w:val="000000"/>
          <w:sz w:val="32"/>
          <w:szCs w:val="32"/>
        </w:rPr>
        <w:t>情形</w:t>
      </w:r>
      <w:r>
        <w:rPr>
          <w:rFonts w:hint="eastAsia" w:ascii="仿宋_GB2312" w:hAnsi="Times New Roman" w:eastAsia="仿宋_GB2312"/>
          <w:color w:val="000000"/>
          <w:sz w:val="32"/>
          <w:szCs w:val="32"/>
          <w:lang w:val="en-US" w:eastAsia="zh-CN"/>
        </w:rPr>
        <w:t>0</w:t>
      </w:r>
      <w:r>
        <w:rPr>
          <w:rFonts w:hint="eastAsia" w:ascii="仿宋_GB2312" w:hAnsi="Times New Roman" w:eastAsia="仿宋_GB2312"/>
          <w:color w:val="000000"/>
          <w:sz w:val="32"/>
          <w:szCs w:val="32"/>
        </w:rPr>
        <w:t>件。</w:t>
      </w:r>
    </w:p>
    <w:p>
      <w:pPr>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全县各级未发生政府信息公开行政诉讼。</w:t>
      </w:r>
    </w:p>
    <w:p>
      <w:pPr>
        <w:spacing w:line="540" w:lineRule="exact"/>
        <w:ind w:firstLine="640" w:firstLineChars="200"/>
        <w:rPr>
          <w:rFonts w:hint="eastAsia" w:ascii="黑体" w:hAnsi="黑体" w:eastAsia="黑体"/>
          <w:sz w:val="32"/>
          <w:szCs w:val="32"/>
        </w:rPr>
      </w:pPr>
      <w:r>
        <w:rPr>
          <w:rFonts w:hint="eastAsia" w:ascii="仿宋_GB2312" w:hAnsi="Times New Roman" w:eastAsia="仿宋_GB2312"/>
          <w:color w:val="000000"/>
          <w:sz w:val="32"/>
          <w:szCs w:val="32"/>
        </w:rPr>
        <w:t>未收到政府信息公开工作群众举报。</w:t>
      </w:r>
    </w:p>
    <w:p>
      <w:pPr>
        <w:spacing w:line="540" w:lineRule="exact"/>
        <w:ind w:firstLine="643" w:firstLineChars="200"/>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五、政府信息公开工作机构和人员情况</w:t>
      </w:r>
    </w:p>
    <w:p>
      <w:pPr>
        <w:pStyle w:val="7"/>
        <w:keepNext w:val="0"/>
        <w:keepLines w:val="0"/>
        <w:widowControl/>
        <w:suppressLineNumbers w:val="0"/>
        <w:spacing w:line="480" w:lineRule="atLeast"/>
        <w:ind w:firstLine="640" w:firstLineChars="200"/>
        <w:jc w:val="left"/>
        <w:rPr>
          <w:rFonts w:hint="eastAsia" w:ascii="仿宋" w:hAnsi="仿宋" w:eastAsia="仿宋" w:cs="仿宋"/>
          <w:sz w:val="32"/>
          <w:szCs w:val="32"/>
        </w:rPr>
      </w:pPr>
      <w:r>
        <w:rPr>
          <w:rFonts w:hint="eastAsia" w:ascii="仿宋" w:hAnsi="仿宋" w:eastAsia="仿宋" w:cs="仿宋"/>
          <w:b w:val="0"/>
          <w:color w:val="3D3D3D"/>
          <w:sz w:val="32"/>
          <w:szCs w:val="32"/>
          <w:u w:val="none"/>
        </w:rPr>
        <w:t>进一步加强对政府信息公开工作的组织领导，不断完善政府信息公开工作体制机制建设。及时调整县教育局政府信息公开工作领导小组，县教育局党委书记、局长任组长，分管副局长任副组长，局机关各科室、各学区主要负责人为成员，领导小组办公室设在县教育局办公室。各学校也成立了相应的领导小组及其办事机构，进一步建立健全教育系统政府信息公开工作网络。局主要领导和分管领导定期听取局政府信息公开领导小组办公室的工作汇报，研究推进政府信息公开工作措施，协调解决信息公开工作中存在的问题，确保了2017年政府信息公开工作的有序进行。</w:t>
      </w:r>
    </w:p>
    <w:p>
      <w:pPr>
        <w:spacing w:line="540" w:lineRule="exact"/>
        <w:ind w:firstLine="643" w:firstLineChars="200"/>
        <w:rPr>
          <w:rFonts w:ascii="黑体" w:hAnsi="黑体" w:eastAsia="黑体"/>
          <w:b/>
          <w:color w:val="FF0000"/>
          <w:sz w:val="32"/>
          <w:szCs w:val="32"/>
        </w:rPr>
      </w:pPr>
      <w:r>
        <w:rPr>
          <w:rFonts w:hint="eastAsia" w:ascii="黑体" w:hAnsi="黑体" w:eastAsia="黑体"/>
          <w:b/>
          <w:color w:val="FF0000"/>
          <w:sz w:val="32"/>
          <w:szCs w:val="32"/>
        </w:rPr>
        <w:t>六、存在的不足及改进措施</w:t>
      </w:r>
    </w:p>
    <w:p>
      <w:pPr>
        <w:pStyle w:val="7"/>
        <w:keepNext w:val="0"/>
        <w:keepLines w:val="0"/>
        <w:widowControl/>
        <w:suppressLineNumbers w:val="0"/>
        <w:spacing w:line="480" w:lineRule="atLeast"/>
        <w:ind w:firstLine="640" w:firstLineChars="200"/>
        <w:jc w:val="left"/>
        <w:rPr>
          <w:rFonts w:hint="eastAsia" w:ascii="仿宋" w:hAnsi="仿宋" w:eastAsia="仿宋" w:cs="仿宋"/>
          <w:sz w:val="32"/>
          <w:szCs w:val="32"/>
        </w:rPr>
      </w:pPr>
      <w:r>
        <w:rPr>
          <w:rFonts w:hint="eastAsia" w:ascii="仿宋" w:hAnsi="仿宋" w:eastAsia="仿宋" w:cs="仿宋"/>
          <w:b w:val="0"/>
          <w:color w:val="3D3D3D"/>
          <w:sz w:val="32"/>
          <w:szCs w:val="32"/>
          <w:u w:val="none"/>
        </w:rPr>
        <w:t>（一）存在的主要问题</w:t>
      </w:r>
    </w:p>
    <w:p>
      <w:pPr>
        <w:pStyle w:val="7"/>
        <w:keepNext w:val="0"/>
        <w:keepLines w:val="0"/>
        <w:widowControl/>
        <w:suppressLineNumbers w:val="0"/>
        <w:spacing w:line="480" w:lineRule="atLeast"/>
        <w:ind w:firstLine="640" w:firstLineChars="200"/>
        <w:jc w:val="left"/>
        <w:rPr>
          <w:rFonts w:hint="eastAsia" w:ascii="仿宋" w:hAnsi="仿宋" w:eastAsia="仿宋" w:cs="仿宋"/>
          <w:sz w:val="32"/>
          <w:szCs w:val="32"/>
        </w:rPr>
      </w:pPr>
      <w:r>
        <w:rPr>
          <w:rFonts w:hint="eastAsia" w:ascii="仿宋" w:hAnsi="仿宋" w:eastAsia="仿宋" w:cs="仿宋"/>
          <w:b w:val="0"/>
          <w:color w:val="3D3D3D"/>
          <w:sz w:val="32"/>
          <w:szCs w:val="32"/>
          <w:u w:val="none"/>
        </w:rPr>
        <w:t>2017年，我局的政府信息公开工作从总体来看，运行状况较好，但也存在如下主要问题：一是积极性、主动性有待加强。一些科室没有正确认识到政府信息公开工作的重要性，工作积极性、主动性有待加强。二是公开工作离上级和群众要求尚远。现有主动公开的政府信息与上级要求和公众的需求还存在一些距离，许多公众关心的信息没能及时公开。</w:t>
      </w:r>
    </w:p>
    <w:p>
      <w:pPr>
        <w:pStyle w:val="7"/>
        <w:keepNext w:val="0"/>
        <w:keepLines w:val="0"/>
        <w:widowControl/>
        <w:suppressLineNumbers w:val="0"/>
        <w:spacing w:line="480" w:lineRule="atLeast"/>
        <w:ind w:firstLine="640" w:firstLineChars="200"/>
        <w:jc w:val="left"/>
        <w:rPr>
          <w:rFonts w:hint="eastAsia" w:ascii="仿宋" w:hAnsi="仿宋" w:eastAsia="仿宋" w:cs="仿宋"/>
          <w:sz w:val="32"/>
          <w:szCs w:val="32"/>
        </w:rPr>
      </w:pPr>
      <w:r>
        <w:rPr>
          <w:rFonts w:hint="eastAsia" w:ascii="仿宋" w:hAnsi="仿宋" w:eastAsia="仿宋" w:cs="仿宋"/>
          <w:b w:val="0"/>
          <w:color w:val="3D3D3D"/>
          <w:sz w:val="32"/>
          <w:szCs w:val="32"/>
          <w:u w:val="none"/>
        </w:rPr>
        <w:t>（二）整改措施</w:t>
      </w:r>
    </w:p>
    <w:p>
      <w:pPr>
        <w:pStyle w:val="7"/>
        <w:keepNext w:val="0"/>
        <w:keepLines w:val="0"/>
        <w:widowControl/>
        <w:suppressLineNumbers w:val="0"/>
        <w:spacing w:line="480" w:lineRule="atLeast"/>
        <w:ind w:firstLine="640" w:firstLineChars="200"/>
        <w:jc w:val="left"/>
        <w:rPr>
          <w:rFonts w:hint="eastAsia" w:ascii="仿宋" w:hAnsi="仿宋" w:eastAsia="仿宋" w:cs="仿宋"/>
          <w:sz w:val="32"/>
          <w:szCs w:val="32"/>
        </w:rPr>
      </w:pPr>
      <w:r>
        <w:rPr>
          <w:rFonts w:hint="eastAsia" w:ascii="仿宋" w:hAnsi="仿宋" w:eastAsia="仿宋" w:cs="仿宋"/>
          <w:b w:val="0"/>
          <w:color w:val="3D3D3D"/>
          <w:sz w:val="32"/>
          <w:szCs w:val="32"/>
          <w:u w:val="none"/>
        </w:rPr>
        <w:t>1、认真梳理，逐步扩大公开内容。本局政府信息公开工作领导小组办公室将进一步梳理政府信息，对原有的政府信息公开目录进行补充完善，并及时公开需要公开的信息，确保公开信息的完整性和准确性。</w:t>
      </w:r>
    </w:p>
    <w:p>
      <w:pPr>
        <w:pStyle w:val="7"/>
        <w:keepNext w:val="0"/>
        <w:keepLines w:val="0"/>
        <w:widowControl/>
        <w:suppressLineNumbers w:val="0"/>
        <w:spacing w:line="480" w:lineRule="atLeast"/>
        <w:ind w:firstLine="640" w:firstLineChars="200"/>
        <w:jc w:val="left"/>
        <w:rPr>
          <w:rFonts w:hint="eastAsia" w:ascii="仿宋" w:hAnsi="仿宋" w:eastAsia="仿宋" w:cs="仿宋"/>
          <w:sz w:val="32"/>
          <w:szCs w:val="32"/>
        </w:rPr>
      </w:pPr>
      <w:r>
        <w:rPr>
          <w:rFonts w:hint="eastAsia" w:ascii="仿宋" w:hAnsi="仿宋" w:eastAsia="仿宋" w:cs="仿宋"/>
          <w:b w:val="0"/>
          <w:color w:val="3D3D3D"/>
          <w:sz w:val="32"/>
          <w:szCs w:val="32"/>
          <w:u w:val="none"/>
        </w:rPr>
        <w:t>2、进一步加强政府信息公开工作的宣传和培训工作。县教育局将继续按照县委、县政府关于政务公开和政府信息公开工作的有关要求，加强政府信息公开相关业务培训，做好教育信息公开工作，规范行政权力运行，进一步深化行政管理方式改革，加强机关效能监察，提高机关执行力，促进服务型政府部门建设。</w:t>
      </w:r>
    </w:p>
    <w:p>
      <w:pPr>
        <w:spacing w:line="540" w:lineRule="exact"/>
        <w:ind w:firstLine="640" w:firstLineChars="200"/>
        <w:rPr>
          <w:rFonts w:hint="eastAsia" w:ascii="仿宋_GB2312" w:hAnsi="Times New Roman" w:eastAsia="仿宋_GB2312"/>
          <w:color w:val="000000"/>
          <w:sz w:val="32"/>
          <w:szCs w:val="32"/>
        </w:rPr>
      </w:pPr>
    </w:p>
    <w:p>
      <w:pPr>
        <w:spacing w:line="54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附：2017年度政府信息公开工作情况统计表</w:t>
      </w:r>
    </w:p>
    <w:p>
      <w:pPr>
        <w:spacing w:line="540" w:lineRule="exact"/>
        <w:ind w:firstLine="640" w:firstLineChars="200"/>
        <w:rPr>
          <w:rFonts w:ascii="仿宋_GB2312" w:hAnsi="Times New Roman" w:eastAsia="仿宋_GB2312"/>
          <w:kern w:val="0"/>
          <w:sz w:val="32"/>
          <w:szCs w:val="32"/>
        </w:rPr>
      </w:pPr>
    </w:p>
    <w:p>
      <w:pPr>
        <w:spacing w:line="540" w:lineRule="exact"/>
        <w:ind w:firstLine="640" w:firstLineChars="200"/>
        <w:rPr>
          <w:rFonts w:ascii="仿宋_GB2312" w:hAnsi="Times New Roman" w:eastAsia="仿宋_GB2312"/>
          <w:kern w:val="0"/>
          <w:sz w:val="32"/>
          <w:szCs w:val="32"/>
        </w:rPr>
      </w:pPr>
    </w:p>
    <w:p>
      <w:pPr>
        <w:spacing w:line="540" w:lineRule="exact"/>
        <w:ind w:firstLine="640" w:firstLineChars="200"/>
        <w:jc w:val="right"/>
        <w:rPr>
          <w:rFonts w:ascii="仿宋_GB2312" w:hAnsi="Times New Roman" w:eastAsia="仿宋_GB2312"/>
          <w:kern w:val="0"/>
          <w:sz w:val="32"/>
          <w:szCs w:val="32"/>
        </w:rPr>
      </w:pPr>
      <w:r>
        <w:rPr>
          <w:rFonts w:hint="eastAsia" w:ascii="仿宋_GB2312" w:hAnsi="Times New Roman" w:eastAsia="仿宋_GB2312"/>
          <w:kern w:val="0"/>
          <w:sz w:val="32"/>
          <w:szCs w:val="32"/>
        </w:rPr>
        <w:t>高青县人民政府办公室</w:t>
      </w:r>
    </w:p>
    <w:p>
      <w:pPr>
        <w:spacing w:line="540" w:lineRule="exact"/>
        <w:ind w:firstLine="640" w:firstLineChars="200"/>
        <w:jc w:val="right"/>
        <w:rPr>
          <w:rFonts w:hint="eastAsia" w:ascii="仿宋_GB2312" w:hAnsi="Times New Roman" w:eastAsia="仿宋_GB2312"/>
          <w:kern w:val="0"/>
          <w:sz w:val="32"/>
          <w:szCs w:val="32"/>
        </w:rPr>
      </w:pPr>
      <w:r>
        <w:rPr>
          <w:rFonts w:hint="eastAsia" w:ascii="仿宋_GB2312" w:hAnsi="Times New Roman" w:eastAsia="仿宋_GB2312"/>
          <w:kern w:val="0"/>
          <w:sz w:val="32"/>
          <w:szCs w:val="32"/>
        </w:rPr>
        <w:t>2018年2月27日</w:t>
      </w:r>
    </w:p>
    <w:p>
      <w:pPr>
        <w:rPr>
          <w:rFonts w:hint="eastAsia" w:ascii="黑体" w:hAnsi="宋体" w:eastAsia="黑体"/>
          <w:szCs w:val="32"/>
        </w:rPr>
      </w:pPr>
    </w:p>
    <w:p>
      <w:pPr>
        <w:rPr>
          <w:rFonts w:hint="eastAsia" w:ascii="黑体" w:hAnsi="宋体" w:eastAsia="黑体"/>
          <w:szCs w:val="32"/>
        </w:rPr>
      </w:pPr>
      <w:r>
        <w:rPr>
          <w:rFonts w:hint="eastAsia" w:ascii="黑体" w:hAnsi="宋体" w:eastAsia="黑体"/>
          <w:szCs w:val="32"/>
        </w:rPr>
        <w:t>附件1</w:t>
      </w:r>
    </w:p>
    <w:p>
      <w:pPr>
        <w:jc w:val="center"/>
        <w:rPr>
          <w:rFonts w:hint="eastAsia" w:ascii="宋体" w:hAnsi="宋体"/>
          <w:b/>
        </w:rPr>
      </w:pPr>
      <w:r>
        <w:rPr>
          <w:rFonts w:hint="eastAsia" w:ascii="宋体" w:hAnsi="宋体"/>
          <w:b/>
          <w:sz w:val="36"/>
          <w:szCs w:val="36"/>
        </w:rPr>
        <w:t>2017年度政府信息公开工作情况统计表</w:t>
      </w:r>
    </w:p>
    <w:p>
      <w:pPr>
        <w:jc w:val="center"/>
        <w:rPr>
          <w:rFonts w:hint="eastAsia" w:ascii="宋体" w:hAnsi="宋体"/>
          <w:b/>
          <w:sz w:val="28"/>
          <w:szCs w:val="28"/>
        </w:rPr>
      </w:pPr>
      <w:r>
        <w:rPr>
          <w:rFonts w:hint="eastAsia" w:ascii="宋体" w:hAnsi="宋体"/>
          <w:b/>
          <w:sz w:val="28"/>
          <w:szCs w:val="28"/>
        </w:rPr>
        <w:t>（高青县）</w:t>
      </w:r>
    </w:p>
    <w:tbl>
      <w:tblPr>
        <w:tblStyle w:val="8"/>
        <w:tblW w:w="9458"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023"/>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8"/>
              <w:spacing w:before="0" w:beforeAutospacing="0" w:after="0" w:afterAutospacing="0" w:line="420" w:lineRule="atLeast"/>
              <w:ind w:firstLine="685"/>
              <w:jc w:val="center"/>
              <w:rPr>
                <w:rFonts w:hint="eastAsia"/>
                <w:color w:val="000000"/>
              </w:rPr>
            </w:pPr>
            <w:r>
              <w:rPr>
                <w:rStyle w:val="10"/>
                <w:rFonts w:hint="eastAsia"/>
                <w:color w:val="000000"/>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10"/>
                <w:rFonts w:hint="eastAsia" w:ascii="宋体" w:hAnsi="宋体"/>
                <w:color w:val="000000"/>
                <w:sz w:val="20"/>
                <w:szCs w:val="20"/>
              </w:rPr>
              <w:t>单位</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10"/>
                <w:rFonts w:hint="eastAsia" w:ascii="宋体" w:hAnsi="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（一）主动公开政府信息数</w:t>
            </w:r>
            <w:r>
              <w:rPr>
                <w:rFonts w:hint="eastAsia" w:ascii="宋体" w:hAnsi="宋体"/>
                <w:color w:val="000000"/>
                <w:sz w:val="20"/>
                <w:szCs w:val="20"/>
              </w:rPr>
              <w:t>（不同渠道和方式公开相同信息计1条）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val="en-US"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b/>
                <w:color w:val="000000"/>
                <w:sz w:val="24"/>
              </w:rPr>
            </w:pPr>
            <w:r>
              <w:rPr>
                <w:rFonts w:hint="eastAsia" w:ascii="黑体" w:hAnsi="宋体" w:eastAsia="黑体"/>
                <w:color w:val="000000"/>
                <w:sz w:val="20"/>
                <w:szCs w:val="20"/>
              </w:rPr>
              <w:t>二、回应解读情况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8"/>
              <w:spacing w:before="0" w:beforeAutospacing="0" w:after="0" w:afterAutospacing="0" w:line="420" w:lineRule="atLeast"/>
              <w:ind w:firstLine="685"/>
              <w:jc w:val="center"/>
              <w:rPr>
                <w:rFonts w:hint="eastAsia"/>
                <w:color w:val="000000"/>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8"/>
              <w:spacing w:before="0" w:beforeAutospacing="0" w:after="0" w:afterAutospacing="0" w:line="420" w:lineRule="atLeast"/>
              <w:ind w:firstLine="400" w:firstLineChars="200"/>
              <w:rPr>
                <w:color w:val="000000"/>
                <w:highlight w:val="yellow"/>
              </w:rPr>
            </w:pPr>
            <w:r>
              <w:rPr>
                <w:rFonts w:cs="Times New Roman"/>
                <w:color w:val="000000"/>
                <w:kern w:val="2"/>
                <w:sz w:val="20"/>
                <w:szCs w:val="20"/>
              </w:rPr>
              <w:t>（一）回应公众关注热点或重大舆情数</w:t>
            </w:r>
            <w:r>
              <w:rPr>
                <w:rFonts w:hint="eastAsia" w:cs="Times New Roman"/>
                <w:color w:val="000000"/>
                <w:kern w:val="2"/>
                <w:sz w:val="20"/>
                <w:szCs w:val="20"/>
              </w:rPr>
              <w:t>（不同方式回应同一热点或舆情计1次）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84"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篇</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97"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84"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8"/>
              <w:spacing w:before="0" w:beforeAutospacing="0" w:after="0" w:afterAutospacing="0" w:line="420" w:lineRule="atLeast"/>
              <w:ind w:firstLine="685"/>
              <w:jc w:val="center"/>
              <w:rPr>
                <w:rFonts w:hint="eastAsia"/>
                <w:color w:val="000000"/>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hint="eastAsia" w:ascii="宋体" w:hAnsi="宋体"/>
                <w:color w:val="000000"/>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11"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hint="eastAsia" w:ascii="黑体" w:hAnsi="宋体" w:eastAsia="黑体"/>
                <w:color w:val="000000"/>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黑体" w:hAnsi="宋体" w:eastAsia="黑体"/>
                <w:color w:val="000000"/>
                <w:sz w:val="20"/>
                <w:szCs w:val="20"/>
              </w:rPr>
            </w:pPr>
            <w:r>
              <w:rPr>
                <w:rFonts w:hint="eastAsia" w:ascii="黑体" w:hAnsi="宋体" w:eastAsia="黑体"/>
                <w:color w:val="000000"/>
                <w:sz w:val="20"/>
                <w:szCs w:val="20"/>
              </w:rPr>
              <w:t>七、向图书馆、档案馆等查阅场所报送信息数</w:t>
            </w:r>
          </w:p>
          <w:p>
            <w:pPr>
              <w:spacing w:line="420" w:lineRule="atLeast"/>
              <w:rPr>
                <w:rFonts w:hint="eastAsia" w:ascii="宋体" w:hAnsi="宋体"/>
                <w:color w:val="000000"/>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ascii="宋体" w:hAnsi="宋体"/>
                <w:color w:val="000000"/>
                <w:sz w:val="20"/>
                <w:szCs w:val="20"/>
              </w:rPr>
              <w:t>　　（一）</w:t>
            </w:r>
            <w:r>
              <w:rPr>
                <w:rFonts w:hint="eastAsia" w:ascii="宋体" w:hAnsi="宋体"/>
                <w:color w:val="000000"/>
                <w:sz w:val="20"/>
                <w:szCs w:val="20"/>
              </w:rPr>
              <w:t>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ascii="宋体" w:hAnsi="宋体"/>
                <w:color w:val="000000"/>
                <w:sz w:val="20"/>
                <w:szCs w:val="20"/>
              </w:rPr>
              <w:t>　　（二）</w:t>
            </w:r>
            <w:r>
              <w:rPr>
                <w:rFonts w:hint="eastAsia" w:ascii="宋体" w:hAnsi="宋体"/>
                <w:color w:val="000000"/>
                <w:sz w:val="20"/>
                <w:szCs w:val="20"/>
              </w:rPr>
              <w:t>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（一）</w:t>
            </w:r>
            <w:r>
              <w:rPr>
                <w:rFonts w:hint="eastAsia" w:ascii="宋体" w:hAnsi="宋体"/>
                <w:color w:val="000000"/>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二</w:t>
            </w:r>
            <w:r>
              <w:rPr>
                <w:rFonts w:ascii="宋体" w:hAnsi="宋体"/>
                <w:color w:val="000000"/>
                <w:sz w:val="20"/>
                <w:szCs w:val="20"/>
              </w:rPr>
              <w:t>）</w:t>
            </w:r>
            <w:r>
              <w:rPr>
                <w:rFonts w:hint="eastAsia" w:ascii="宋体" w:hAnsi="宋体"/>
                <w:color w:val="000000"/>
                <w:sz w:val="20"/>
                <w:szCs w:val="20"/>
              </w:rPr>
              <w:t>乡镇政府（街道办事处）门户网站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ascii="黑体" w:hAnsi="宋体" w:eastAsia="黑体"/>
                <w:color w:val="000000"/>
                <w:sz w:val="20"/>
                <w:szCs w:val="20"/>
              </w:rPr>
            </w:pPr>
          </w:p>
        </w:tc>
        <w:tc>
          <w:tcPr>
            <w:tcW w:w="1023"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ind w:firstLine="1000" w:firstLineChars="500"/>
              <w:rPr>
                <w:rFonts w:ascii="黑体" w:hAnsi="宋体" w:eastAsia="黑体"/>
                <w:color w:val="000000"/>
                <w:sz w:val="20"/>
                <w:szCs w:val="20"/>
              </w:rPr>
            </w:pPr>
            <w:r>
              <w:rPr>
                <w:rFonts w:ascii="黑体" w:hAnsi="宋体" w:eastAsia="黑体"/>
                <w:color w:val="000000"/>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宋体" w:hAnsi="宋体"/>
                <w:color w:val="000000"/>
                <w:sz w:val="20"/>
                <w:szCs w:val="20"/>
              </w:rPr>
            </w:pPr>
            <w:r>
              <w:rPr>
                <w:rFonts w:ascii="宋体" w:hAnsi="宋体"/>
                <w:color w:val="000000"/>
                <w:sz w:val="20"/>
                <w:szCs w:val="20"/>
              </w:rPr>
              <w:t>（一）</w:t>
            </w:r>
            <w:r>
              <w:rPr>
                <w:rFonts w:hint="eastAsia" w:ascii="宋体" w:hAnsi="宋体"/>
                <w:color w:val="000000"/>
                <w:sz w:val="20"/>
                <w:szCs w:val="20"/>
              </w:rPr>
              <w:t>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rPr>
            </w:pPr>
            <w:r>
              <w:rPr>
                <w:rFonts w:hint="eastAsia" w:ascii="黑体" w:hAnsi="宋体" w:eastAsia="黑体"/>
                <w:color w:val="000000"/>
                <w:sz w:val="20"/>
                <w:szCs w:val="20"/>
              </w:rPr>
              <w:t>期</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left"/>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宋体" w:hAnsi="宋体"/>
                <w:color w:val="000000"/>
                <w:sz w:val="20"/>
                <w:szCs w:val="20"/>
              </w:rPr>
            </w:pPr>
            <w:r>
              <w:rPr>
                <w:rFonts w:hint="eastAsia" w:ascii="宋体" w:hAnsi="宋体"/>
                <w:color w:val="000000"/>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rPr>
            </w:pPr>
            <w:r>
              <w:rPr>
                <w:rFonts w:hint="eastAsia" w:ascii="黑体" w:hAnsi="宋体" w:eastAsia="黑体"/>
                <w:color w:val="000000"/>
                <w:sz w:val="20"/>
                <w:szCs w:val="20"/>
              </w:rPr>
              <w:t>份</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left"/>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ascii="黑体" w:hAnsi="宋体" w:eastAsia="黑体"/>
                <w:color w:val="000000"/>
                <w:sz w:val="20"/>
                <w:szCs w:val="20"/>
              </w:rPr>
            </w:pPr>
            <w:r>
              <w:rPr>
                <w:rFonts w:hint="eastAsia" w:ascii="黑体" w:hAnsi="宋体" w:eastAsia="黑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（一）</w:t>
            </w:r>
            <w:r>
              <w:rPr>
                <w:rFonts w:hint="eastAsia" w:ascii="宋体" w:hAnsi="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二</w:t>
            </w:r>
            <w:r>
              <w:rPr>
                <w:rFonts w:ascii="宋体" w:hAnsi="宋体"/>
                <w:color w:val="000000"/>
                <w:sz w:val="20"/>
                <w:szCs w:val="20"/>
              </w:rPr>
              <w:t>）</w:t>
            </w:r>
            <w:r>
              <w:rPr>
                <w:rFonts w:hint="eastAsia" w:ascii="宋体" w:hAnsi="宋体"/>
                <w:color w:val="000000"/>
                <w:sz w:val="20"/>
                <w:szCs w:val="20"/>
              </w:rPr>
              <w:t>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（一）</w:t>
            </w:r>
            <w:r>
              <w:rPr>
                <w:rFonts w:hint="eastAsia" w:ascii="宋体" w:hAnsi="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二</w:t>
            </w:r>
            <w:r>
              <w:rPr>
                <w:rFonts w:ascii="宋体" w:hAnsi="宋体"/>
                <w:color w:val="000000"/>
                <w:sz w:val="20"/>
                <w:szCs w:val="20"/>
              </w:rPr>
              <w:t>）</w:t>
            </w:r>
            <w:r>
              <w:rPr>
                <w:rFonts w:hint="eastAsia" w:ascii="宋体" w:hAnsi="宋体"/>
                <w:color w:val="000000"/>
                <w:sz w:val="20"/>
                <w:szCs w:val="20"/>
              </w:rPr>
              <w:t>乡镇政府（街道办事处）</w:t>
            </w:r>
          </w:p>
        </w:tc>
        <w:tc>
          <w:tcPr>
            <w:tcW w:w="1002" w:type="dxa"/>
            <w:tcBorders>
              <w:top w:val="single" w:color="auto" w:sz="4" w:space="0"/>
              <w:left w:val="outset" w:color="000000" w:sz="6"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人次</w:t>
            </w:r>
          </w:p>
        </w:tc>
        <w:tc>
          <w:tcPr>
            <w:tcW w:w="1023" w:type="dxa"/>
            <w:tcBorders>
              <w:top w:val="single" w:color="auto" w:sz="4" w:space="0"/>
              <w:left w:val="outset" w:color="000000" w:sz="6" w:space="0"/>
              <w:right w:val="outset" w:color="000000" w:sz="6" w:space="0"/>
            </w:tcBorders>
            <w:shd w:val="clear" w:color="auto" w:fill="FFFFFF"/>
            <w:vAlign w:val="center"/>
          </w:tcPr>
          <w:p>
            <w:pPr>
              <w:widowControl/>
              <w:spacing w:line="420" w:lineRule="atLeast"/>
              <w:ind w:firstLine="400" w:firstLineChars="200"/>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olor w:val="000000"/>
                <w:sz w:val="20"/>
                <w:szCs w:val="20"/>
              </w:rPr>
            </w:pPr>
            <w:r>
              <w:rPr>
                <w:rFonts w:hint="eastAsia" w:ascii="黑体" w:hAnsi="宋体" w:eastAsia="黑体"/>
                <w:color w:val="000000"/>
                <w:sz w:val="20"/>
                <w:szCs w:val="20"/>
              </w:rPr>
              <w:t>十二、机构建设和保障经费情况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个</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二</w:t>
            </w:r>
            <w:r>
              <w:rPr>
                <w:rFonts w:ascii="宋体" w:hAnsi="宋体"/>
                <w:color w:val="000000"/>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三</w:t>
            </w:r>
            <w:r>
              <w:rPr>
                <w:rFonts w:ascii="宋体" w:hAnsi="宋体"/>
                <w:color w:val="000000"/>
                <w:sz w:val="20"/>
                <w:szCs w:val="20"/>
              </w:rPr>
              <w:t>）政府信息公开专项经费（不包括政府公报编辑管理及政府网站建设</w:t>
            </w:r>
            <w:r>
              <w:rPr>
                <w:rFonts w:hint="eastAsia" w:ascii="宋体" w:hAnsi="宋体"/>
                <w:color w:val="000000"/>
                <w:sz w:val="20"/>
                <w:szCs w:val="20"/>
              </w:rPr>
              <w:t>）</w:t>
            </w:r>
            <w:r>
              <w:rPr>
                <w:rFonts w:ascii="宋体" w:hAnsi="宋体"/>
                <w:color w:val="000000"/>
                <w:sz w:val="20"/>
                <w:szCs w:val="20"/>
              </w:rPr>
              <w:br w:type="textWrapping"/>
            </w:r>
            <w:r>
              <w:rPr>
                <w:rFonts w:ascii="宋体" w:hAnsi="宋体"/>
                <w:color w:val="000000"/>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万元</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十三、政府信息公开会议和培训情况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eastAsia="宋体" w:cs="宋体"/>
                <w:color w:val="000000"/>
                <w:sz w:val="24"/>
                <w:lang w:eastAsia="zh-CN"/>
              </w:rPr>
            </w:pPr>
            <w:r>
              <w:rPr>
                <w:rFonts w:ascii="宋体" w:hAnsi="宋体"/>
                <w:color w:val="000000"/>
                <w:sz w:val="20"/>
                <w:szCs w:val="20"/>
              </w:rPr>
              <w:t>　</w:t>
            </w: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left"/>
              <w:rPr>
                <w:rFonts w:hint="eastAsia" w:ascii="宋体" w:hAnsi="宋体" w:eastAsia="宋体" w:cs="宋体"/>
                <w:color w:val="000000"/>
                <w:sz w:val="24"/>
                <w:lang w:eastAsia="zh-CN"/>
              </w:rPr>
            </w:pPr>
            <w:r>
              <w:rPr>
                <w:rFonts w:ascii="宋体" w:hAnsi="宋体"/>
                <w:color w:val="000000"/>
              </w:rPr>
              <w:t>　</w:t>
            </w:r>
            <w:r>
              <w:rPr>
                <w:rFonts w:hint="eastAsia" w:ascii="宋体" w:hAnsi="宋体"/>
                <w:color w:val="000000"/>
                <w:sz w:val="20"/>
                <w:szCs w:val="20"/>
                <w:lang w:val="en-US" w:eastAsia="zh-CN"/>
              </w:rPr>
              <w:t>0</w:t>
            </w:r>
          </w:p>
        </w:tc>
      </w:tr>
    </w:tbl>
    <w:p>
      <w:pPr>
        <w:rPr>
          <w:rFonts w:ascii="黑体" w:hAnsi="宋体" w:eastAsia="黑体"/>
          <w:szCs w:val="32"/>
        </w:rPr>
      </w:pPr>
    </w:p>
    <w:p>
      <w:pPr>
        <w:widowControl/>
        <w:jc w:val="left"/>
        <w:rPr>
          <w:rFonts w:hint="eastAsia" w:ascii="黑体" w:hAnsi="宋体" w:eastAsia="黑体"/>
          <w:szCs w:val="32"/>
        </w:rPr>
      </w:pPr>
    </w:p>
    <w:p>
      <w:pPr>
        <w:widowControl/>
        <w:jc w:val="left"/>
      </w:pPr>
      <w:r>
        <w:t xml:space="preserve"> </w:t>
      </w:r>
    </w:p>
    <w:p>
      <w:pPr>
        <w:spacing w:line="540" w:lineRule="exact"/>
        <w:ind w:right="160" w:firstLine="640" w:firstLineChars="200"/>
        <w:jc w:val="left"/>
        <w:rPr>
          <w:rFonts w:hint="eastAsia" w:ascii="仿宋_GB2312" w:hAnsi="Times New Roman" w:eastAsia="仿宋_GB2312"/>
          <w:kern w:val="0"/>
          <w:sz w:val="32"/>
          <w:szCs w:val="32"/>
        </w:rPr>
      </w:pPr>
    </w:p>
    <w:p>
      <w:pPr>
        <w:spacing w:line="540" w:lineRule="exact"/>
        <w:ind w:right="160" w:firstLine="640" w:firstLineChars="200"/>
        <w:jc w:val="left"/>
        <w:rPr>
          <w:rFonts w:hint="eastAsia" w:ascii="仿宋_GB2312" w:hAnsi="Times New Roman" w:eastAsia="仿宋_GB2312"/>
          <w:kern w:val="0"/>
          <w:sz w:val="32"/>
          <w:szCs w:val="32"/>
        </w:rPr>
      </w:pPr>
    </w:p>
    <w:p>
      <w:pPr>
        <w:spacing w:line="540" w:lineRule="exact"/>
        <w:ind w:right="160" w:firstLine="640" w:firstLineChars="200"/>
        <w:jc w:val="left"/>
        <w:rPr>
          <w:rFonts w:ascii="仿宋_GB2312" w:hAnsi="Times New Roman" w:eastAsia="仿宋_GB2312"/>
          <w:kern w:val="0"/>
          <w:sz w:val="32"/>
          <w:szCs w:val="32"/>
        </w:rPr>
      </w:pPr>
    </w:p>
    <w:sectPr>
      <w:footerReference r:id="rId3" w:type="default"/>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411E34"/>
    <w:rsid w:val="000000EA"/>
    <w:rsid w:val="00002DCF"/>
    <w:rsid w:val="0001761C"/>
    <w:rsid w:val="00030987"/>
    <w:rsid w:val="00034201"/>
    <w:rsid w:val="000364D1"/>
    <w:rsid w:val="000378C6"/>
    <w:rsid w:val="00041EE7"/>
    <w:rsid w:val="00045B3C"/>
    <w:rsid w:val="000511D6"/>
    <w:rsid w:val="000537BF"/>
    <w:rsid w:val="00057599"/>
    <w:rsid w:val="00060DC3"/>
    <w:rsid w:val="00066860"/>
    <w:rsid w:val="00085C19"/>
    <w:rsid w:val="00086543"/>
    <w:rsid w:val="00092D07"/>
    <w:rsid w:val="0009560C"/>
    <w:rsid w:val="000B692D"/>
    <w:rsid w:val="000C1080"/>
    <w:rsid w:val="000C74F7"/>
    <w:rsid w:val="000E594E"/>
    <w:rsid w:val="000E6E84"/>
    <w:rsid w:val="00116297"/>
    <w:rsid w:val="00116A31"/>
    <w:rsid w:val="00123040"/>
    <w:rsid w:val="001244DA"/>
    <w:rsid w:val="00132600"/>
    <w:rsid w:val="00143BBA"/>
    <w:rsid w:val="00145D4A"/>
    <w:rsid w:val="00152C78"/>
    <w:rsid w:val="00170F9D"/>
    <w:rsid w:val="001752E7"/>
    <w:rsid w:val="001761FC"/>
    <w:rsid w:val="0019453E"/>
    <w:rsid w:val="00194854"/>
    <w:rsid w:val="001953C6"/>
    <w:rsid w:val="001B0104"/>
    <w:rsid w:val="001C2E5E"/>
    <w:rsid w:val="001C381E"/>
    <w:rsid w:val="001C57C2"/>
    <w:rsid w:val="001D133A"/>
    <w:rsid w:val="001D5CB7"/>
    <w:rsid w:val="001E70CB"/>
    <w:rsid w:val="001E76B5"/>
    <w:rsid w:val="001F0E29"/>
    <w:rsid w:val="0020710E"/>
    <w:rsid w:val="00246AC2"/>
    <w:rsid w:val="00261196"/>
    <w:rsid w:val="00277BF4"/>
    <w:rsid w:val="00285C01"/>
    <w:rsid w:val="00285F45"/>
    <w:rsid w:val="002A3348"/>
    <w:rsid w:val="002A5410"/>
    <w:rsid w:val="002A684D"/>
    <w:rsid w:val="002B47A6"/>
    <w:rsid w:val="002C396D"/>
    <w:rsid w:val="002E66D3"/>
    <w:rsid w:val="002F6167"/>
    <w:rsid w:val="00310D8C"/>
    <w:rsid w:val="00320B3A"/>
    <w:rsid w:val="00326C73"/>
    <w:rsid w:val="003300CC"/>
    <w:rsid w:val="00340EAB"/>
    <w:rsid w:val="00345FC5"/>
    <w:rsid w:val="00351598"/>
    <w:rsid w:val="003920FB"/>
    <w:rsid w:val="003A2AFB"/>
    <w:rsid w:val="003A5889"/>
    <w:rsid w:val="003A7F4A"/>
    <w:rsid w:val="003B758A"/>
    <w:rsid w:val="003C0711"/>
    <w:rsid w:val="003C64BC"/>
    <w:rsid w:val="003E006D"/>
    <w:rsid w:val="003E0193"/>
    <w:rsid w:val="003E5326"/>
    <w:rsid w:val="003F0C17"/>
    <w:rsid w:val="003F125C"/>
    <w:rsid w:val="003F2F4C"/>
    <w:rsid w:val="003F4540"/>
    <w:rsid w:val="003F733F"/>
    <w:rsid w:val="0040462C"/>
    <w:rsid w:val="00411E34"/>
    <w:rsid w:val="00451CA4"/>
    <w:rsid w:val="00464031"/>
    <w:rsid w:val="00467873"/>
    <w:rsid w:val="00484FDB"/>
    <w:rsid w:val="004861D4"/>
    <w:rsid w:val="004877A1"/>
    <w:rsid w:val="00491265"/>
    <w:rsid w:val="00497273"/>
    <w:rsid w:val="004A05B0"/>
    <w:rsid w:val="004A1A7E"/>
    <w:rsid w:val="004A36B9"/>
    <w:rsid w:val="004B180B"/>
    <w:rsid w:val="004B5804"/>
    <w:rsid w:val="004C4687"/>
    <w:rsid w:val="004D0758"/>
    <w:rsid w:val="004D0DF7"/>
    <w:rsid w:val="004D2803"/>
    <w:rsid w:val="004D62ED"/>
    <w:rsid w:val="004F435C"/>
    <w:rsid w:val="004F6D08"/>
    <w:rsid w:val="005053AD"/>
    <w:rsid w:val="0051385C"/>
    <w:rsid w:val="00523E65"/>
    <w:rsid w:val="00525398"/>
    <w:rsid w:val="00527D55"/>
    <w:rsid w:val="0053263F"/>
    <w:rsid w:val="0054196B"/>
    <w:rsid w:val="00545BA3"/>
    <w:rsid w:val="005A2E0C"/>
    <w:rsid w:val="005C0C10"/>
    <w:rsid w:val="005D2406"/>
    <w:rsid w:val="005F1DAF"/>
    <w:rsid w:val="00617C00"/>
    <w:rsid w:val="006219ED"/>
    <w:rsid w:val="006261E6"/>
    <w:rsid w:val="00633CB2"/>
    <w:rsid w:val="00644565"/>
    <w:rsid w:val="00654E06"/>
    <w:rsid w:val="00666572"/>
    <w:rsid w:val="00671E48"/>
    <w:rsid w:val="006902D9"/>
    <w:rsid w:val="00694918"/>
    <w:rsid w:val="006B13D9"/>
    <w:rsid w:val="006C7D31"/>
    <w:rsid w:val="006D095C"/>
    <w:rsid w:val="006D667E"/>
    <w:rsid w:val="00706493"/>
    <w:rsid w:val="00716325"/>
    <w:rsid w:val="0074216E"/>
    <w:rsid w:val="007421A6"/>
    <w:rsid w:val="007504FC"/>
    <w:rsid w:val="00763A91"/>
    <w:rsid w:val="00764FD6"/>
    <w:rsid w:val="007654AB"/>
    <w:rsid w:val="00775FB9"/>
    <w:rsid w:val="00777DB1"/>
    <w:rsid w:val="00797218"/>
    <w:rsid w:val="007A3D0F"/>
    <w:rsid w:val="007A420A"/>
    <w:rsid w:val="007B49E4"/>
    <w:rsid w:val="007C670E"/>
    <w:rsid w:val="007D54D1"/>
    <w:rsid w:val="007D6345"/>
    <w:rsid w:val="007E188B"/>
    <w:rsid w:val="007F1012"/>
    <w:rsid w:val="007F4226"/>
    <w:rsid w:val="007F58B5"/>
    <w:rsid w:val="007F7F19"/>
    <w:rsid w:val="00804D1F"/>
    <w:rsid w:val="008213BF"/>
    <w:rsid w:val="00821EBB"/>
    <w:rsid w:val="00827FFA"/>
    <w:rsid w:val="0083361D"/>
    <w:rsid w:val="0084294E"/>
    <w:rsid w:val="00845967"/>
    <w:rsid w:val="0085079E"/>
    <w:rsid w:val="00863627"/>
    <w:rsid w:val="0088460D"/>
    <w:rsid w:val="008908A8"/>
    <w:rsid w:val="008934F6"/>
    <w:rsid w:val="008A1523"/>
    <w:rsid w:val="008A1FF2"/>
    <w:rsid w:val="008C2DB1"/>
    <w:rsid w:val="008C4A06"/>
    <w:rsid w:val="008E5726"/>
    <w:rsid w:val="008E78DC"/>
    <w:rsid w:val="008F2FBD"/>
    <w:rsid w:val="008F7395"/>
    <w:rsid w:val="00906475"/>
    <w:rsid w:val="009120BF"/>
    <w:rsid w:val="0092232A"/>
    <w:rsid w:val="00937B03"/>
    <w:rsid w:val="009532C4"/>
    <w:rsid w:val="00956891"/>
    <w:rsid w:val="009831D3"/>
    <w:rsid w:val="009840BD"/>
    <w:rsid w:val="0099567F"/>
    <w:rsid w:val="009A35C3"/>
    <w:rsid w:val="009A5EBA"/>
    <w:rsid w:val="009B5062"/>
    <w:rsid w:val="009C0440"/>
    <w:rsid w:val="009E4AB6"/>
    <w:rsid w:val="009F2682"/>
    <w:rsid w:val="009F2E90"/>
    <w:rsid w:val="00A01FE2"/>
    <w:rsid w:val="00A17AAE"/>
    <w:rsid w:val="00A42055"/>
    <w:rsid w:val="00A4303E"/>
    <w:rsid w:val="00A635B9"/>
    <w:rsid w:val="00A65AE4"/>
    <w:rsid w:val="00A67831"/>
    <w:rsid w:val="00A853F1"/>
    <w:rsid w:val="00A85A88"/>
    <w:rsid w:val="00A91AF8"/>
    <w:rsid w:val="00A91D59"/>
    <w:rsid w:val="00A921E0"/>
    <w:rsid w:val="00A93522"/>
    <w:rsid w:val="00A96714"/>
    <w:rsid w:val="00AA19B2"/>
    <w:rsid w:val="00AA68D1"/>
    <w:rsid w:val="00AC783F"/>
    <w:rsid w:val="00AD182F"/>
    <w:rsid w:val="00AD379A"/>
    <w:rsid w:val="00AD54A9"/>
    <w:rsid w:val="00AD6543"/>
    <w:rsid w:val="00AD6BCD"/>
    <w:rsid w:val="00AD76D8"/>
    <w:rsid w:val="00AE010F"/>
    <w:rsid w:val="00AE0545"/>
    <w:rsid w:val="00AF0FF1"/>
    <w:rsid w:val="00AF3A05"/>
    <w:rsid w:val="00B02501"/>
    <w:rsid w:val="00B025FB"/>
    <w:rsid w:val="00B0742B"/>
    <w:rsid w:val="00B34F9D"/>
    <w:rsid w:val="00B43042"/>
    <w:rsid w:val="00B46E2B"/>
    <w:rsid w:val="00B5405C"/>
    <w:rsid w:val="00B571E7"/>
    <w:rsid w:val="00B60A0C"/>
    <w:rsid w:val="00B6616E"/>
    <w:rsid w:val="00B86D0C"/>
    <w:rsid w:val="00B90FB0"/>
    <w:rsid w:val="00B911BF"/>
    <w:rsid w:val="00B92EE8"/>
    <w:rsid w:val="00B94CE1"/>
    <w:rsid w:val="00B95991"/>
    <w:rsid w:val="00B96DB8"/>
    <w:rsid w:val="00BA4E15"/>
    <w:rsid w:val="00BC5174"/>
    <w:rsid w:val="00BC57CB"/>
    <w:rsid w:val="00BE37C6"/>
    <w:rsid w:val="00BF48E2"/>
    <w:rsid w:val="00C10648"/>
    <w:rsid w:val="00C178DA"/>
    <w:rsid w:val="00C37EDA"/>
    <w:rsid w:val="00C53D16"/>
    <w:rsid w:val="00C75D0E"/>
    <w:rsid w:val="00CB311F"/>
    <w:rsid w:val="00CC0157"/>
    <w:rsid w:val="00CD77B9"/>
    <w:rsid w:val="00CF1312"/>
    <w:rsid w:val="00CF4319"/>
    <w:rsid w:val="00CF4B6A"/>
    <w:rsid w:val="00CF5FCF"/>
    <w:rsid w:val="00CF6FA1"/>
    <w:rsid w:val="00CF78F4"/>
    <w:rsid w:val="00CF7B25"/>
    <w:rsid w:val="00D05772"/>
    <w:rsid w:val="00D05B04"/>
    <w:rsid w:val="00D064C5"/>
    <w:rsid w:val="00D23EE1"/>
    <w:rsid w:val="00D24114"/>
    <w:rsid w:val="00D40B64"/>
    <w:rsid w:val="00D40F19"/>
    <w:rsid w:val="00D41385"/>
    <w:rsid w:val="00D43F24"/>
    <w:rsid w:val="00D52DF1"/>
    <w:rsid w:val="00D54303"/>
    <w:rsid w:val="00D64989"/>
    <w:rsid w:val="00D76BA6"/>
    <w:rsid w:val="00D81113"/>
    <w:rsid w:val="00D9678A"/>
    <w:rsid w:val="00DA1C80"/>
    <w:rsid w:val="00DA59CE"/>
    <w:rsid w:val="00DB03B2"/>
    <w:rsid w:val="00DB4B65"/>
    <w:rsid w:val="00DB5360"/>
    <w:rsid w:val="00DC0058"/>
    <w:rsid w:val="00DC0BC1"/>
    <w:rsid w:val="00DC453E"/>
    <w:rsid w:val="00DD0161"/>
    <w:rsid w:val="00DD663A"/>
    <w:rsid w:val="00DE2878"/>
    <w:rsid w:val="00DE7F0F"/>
    <w:rsid w:val="00DF156D"/>
    <w:rsid w:val="00DF6987"/>
    <w:rsid w:val="00E045B9"/>
    <w:rsid w:val="00E07267"/>
    <w:rsid w:val="00E10F65"/>
    <w:rsid w:val="00E114AF"/>
    <w:rsid w:val="00E17298"/>
    <w:rsid w:val="00E227B7"/>
    <w:rsid w:val="00E274F4"/>
    <w:rsid w:val="00E303B2"/>
    <w:rsid w:val="00E51514"/>
    <w:rsid w:val="00E57D4A"/>
    <w:rsid w:val="00E83C31"/>
    <w:rsid w:val="00EA1DF7"/>
    <w:rsid w:val="00ED294A"/>
    <w:rsid w:val="00ED5ED4"/>
    <w:rsid w:val="00EE7283"/>
    <w:rsid w:val="00F035B6"/>
    <w:rsid w:val="00F27F46"/>
    <w:rsid w:val="00F3037E"/>
    <w:rsid w:val="00F3146D"/>
    <w:rsid w:val="00F31908"/>
    <w:rsid w:val="00F42521"/>
    <w:rsid w:val="00F61DFB"/>
    <w:rsid w:val="00F63275"/>
    <w:rsid w:val="00F65CD9"/>
    <w:rsid w:val="00F65E3D"/>
    <w:rsid w:val="00F73683"/>
    <w:rsid w:val="00F73F65"/>
    <w:rsid w:val="00F811EC"/>
    <w:rsid w:val="00F90738"/>
    <w:rsid w:val="00F96A41"/>
    <w:rsid w:val="00FA2083"/>
    <w:rsid w:val="00FA45F6"/>
    <w:rsid w:val="00FB67B4"/>
    <w:rsid w:val="00FC4D87"/>
    <w:rsid w:val="00FC5817"/>
    <w:rsid w:val="00FC65B9"/>
    <w:rsid w:val="00FC748E"/>
    <w:rsid w:val="00FD4F5E"/>
    <w:rsid w:val="00FD6EC3"/>
    <w:rsid w:val="00FE0CA1"/>
    <w:rsid w:val="00FE2F7E"/>
    <w:rsid w:val="00FE5B87"/>
    <w:rsid w:val="00FE71EA"/>
    <w:rsid w:val="00FF3BAA"/>
    <w:rsid w:val="00FF5B66"/>
    <w:rsid w:val="021A4360"/>
    <w:rsid w:val="052A4AF4"/>
    <w:rsid w:val="079F5A2A"/>
    <w:rsid w:val="11492904"/>
    <w:rsid w:val="126472C2"/>
    <w:rsid w:val="14A9702B"/>
    <w:rsid w:val="14C46463"/>
    <w:rsid w:val="1BE353E0"/>
    <w:rsid w:val="20E31FBA"/>
    <w:rsid w:val="25862BC9"/>
    <w:rsid w:val="27854270"/>
    <w:rsid w:val="291036B9"/>
    <w:rsid w:val="2AF578BA"/>
    <w:rsid w:val="2B684F8D"/>
    <w:rsid w:val="2CDD6279"/>
    <w:rsid w:val="2E3F5AC2"/>
    <w:rsid w:val="33D003C8"/>
    <w:rsid w:val="38A3265C"/>
    <w:rsid w:val="39D31DED"/>
    <w:rsid w:val="3B424C63"/>
    <w:rsid w:val="3DE438BB"/>
    <w:rsid w:val="431779D8"/>
    <w:rsid w:val="49A53093"/>
    <w:rsid w:val="4C4B1C0B"/>
    <w:rsid w:val="4C9E1A5F"/>
    <w:rsid w:val="4FD60AC3"/>
    <w:rsid w:val="51A86568"/>
    <w:rsid w:val="537D5ADE"/>
    <w:rsid w:val="54351056"/>
    <w:rsid w:val="558B3765"/>
    <w:rsid w:val="621708FC"/>
    <w:rsid w:val="671F7B48"/>
    <w:rsid w:val="693B375F"/>
    <w:rsid w:val="694D5E18"/>
    <w:rsid w:val="6C50775F"/>
    <w:rsid w:val="6D031F2C"/>
    <w:rsid w:val="728F128B"/>
    <w:rsid w:val="76190485"/>
    <w:rsid w:val="789619D8"/>
    <w:rsid w:val="78E54E54"/>
    <w:rsid w:val="7C910A6E"/>
    <w:rsid w:val="7E5A1C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qFormat/>
    <w:uiPriority w:val="99"/>
    <w:rPr>
      <w:rFonts w:ascii="宋体" w:hAnsi="Courier New" w:cs="楷体_GB2312"/>
      <w:szCs w:val="21"/>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3"/>
    <w:semiHidden/>
    <w:qFormat/>
    <w:uiPriority w:val="99"/>
    <w:rPr>
      <w:kern w:val="0"/>
      <w:sz w:val="18"/>
      <w:szCs w:val="18"/>
    </w:rPr>
  </w:style>
  <w:style w:type="paragraph" w:styleId="5">
    <w:name w:val="footer"/>
    <w:basedOn w:val="1"/>
    <w:link w:val="12"/>
    <w:uiPriority w:val="99"/>
    <w:pPr>
      <w:tabs>
        <w:tab w:val="center" w:pos="4153"/>
        <w:tab w:val="right" w:pos="8306"/>
      </w:tabs>
      <w:snapToGrid w:val="0"/>
      <w:jc w:val="left"/>
    </w:pPr>
    <w:rPr>
      <w:kern w:val="0"/>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iPriority w:val="0"/>
    <w:pPr>
      <w:jc w:val="left"/>
    </w:pPr>
    <w:rPr>
      <w:kern w:val="0"/>
      <w:sz w:val="24"/>
    </w:rPr>
  </w:style>
  <w:style w:type="character" w:styleId="10">
    <w:name w:val="Strong"/>
    <w:qFormat/>
    <w:uiPriority w:val="0"/>
    <w:rPr>
      <w:rFonts w:cs="Times New Roman"/>
      <w:b/>
    </w:rPr>
  </w:style>
  <w:style w:type="character" w:customStyle="1" w:styleId="11">
    <w:name w:val="页眉 Char"/>
    <w:link w:val="6"/>
    <w:qFormat/>
    <w:locked/>
    <w:uiPriority w:val="99"/>
    <w:rPr>
      <w:sz w:val="18"/>
    </w:rPr>
  </w:style>
  <w:style w:type="character" w:customStyle="1" w:styleId="12">
    <w:name w:val="页脚 Char"/>
    <w:link w:val="5"/>
    <w:qFormat/>
    <w:locked/>
    <w:uiPriority w:val="99"/>
    <w:rPr>
      <w:sz w:val="18"/>
    </w:rPr>
  </w:style>
  <w:style w:type="character" w:customStyle="1" w:styleId="13">
    <w:name w:val="批注框文本 Char"/>
    <w:link w:val="4"/>
    <w:semiHidden/>
    <w:qFormat/>
    <w:locked/>
    <w:uiPriority w:val="99"/>
    <w:rPr>
      <w:sz w:val="18"/>
    </w:rPr>
  </w:style>
  <w:style w:type="character" w:customStyle="1" w:styleId="14">
    <w:name w:val="纯文本 Char"/>
    <w:link w:val="2"/>
    <w:locked/>
    <w:uiPriority w:val="99"/>
    <w:rPr>
      <w:rFonts w:ascii="宋体" w:hAnsi="Courier New" w:eastAsia="宋体"/>
      <w:kern w:val="2"/>
      <w:sz w:val="21"/>
      <w:lang w:val="en-US" w:eastAsia="zh-CN"/>
    </w:rPr>
  </w:style>
  <w:style w:type="paragraph" w:customStyle="1" w:styleId="15">
    <w:name w:val="List Paragraph1"/>
    <w:basedOn w:val="1"/>
    <w:qFormat/>
    <w:uiPriority w:val="99"/>
    <w:pPr>
      <w:ind w:firstLine="420" w:firstLineChars="200"/>
    </w:pPr>
    <w:rPr>
      <w:rFonts w:ascii="Times New Roman" w:hAnsi="Times New Roman"/>
      <w:szCs w:val="24"/>
    </w:rPr>
  </w:style>
  <w:style w:type="paragraph" w:customStyle="1" w:styleId="1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7">
    <w:name w:val="日期 Char"/>
    <w:link w:val="3"/>
    <w:semiHidden/>
    <w:qFormat/>
    <w:uiPriority w:val="99"/>
    <w:rPr>
      <w:kern w:val="2"/>
      <w:sz w:val="21"/>
      <w:szCs w:val="22"/>
    </w:rPr>
  </w:style>
  <w:style w:type="paragraph" w:customStyle="1"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7</Pages>
  <Words>3232</Words>
  <Characters>3353</Characters>
  <Lines>22</Lines>
  <Paragraphs>6</Paragraphs>
  <TotalTime>3</TotalTime>
  <ScaleCrop>false</ScaleCrop>
  <LinksUpToDate>false</LinksUpToDate>
  <CharactersWithSpaces>3712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Administrator</cp:lastModifiedBy>
  <cp:lastPrinted>2017-03-24T01:56:00Z</cp:lastPrinted>
  <dcterms:modified xsi:type="dcterms:W3CDTF">2023-03-21T06:36:31Z</dcterms:modified>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84174240F2E243B3870EA86CA7ADB90A</vt:lpwstr>
  </property>
</Properties>
</file>