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F7C3">
      <w:pPr>
        <w:snapToGrid w:val="0"/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关于明确《山东省定价目录》有关事项的通知（鲁价综发</w:t>
      </w:r>
      <w:r>
        <w:rPr>
          <w:rFonts w:ascii="方正小标宋简体" w:eastAsia="方正小标宋简体"/>
          <w:sz w:val="44"/>
          <w:szCs w:val="44"/>
        </w:rPr>
        <w:t>[2016]58号）</w:t>
      </w:r>
    </w:p>
    <w:p w14:paraId="237E7C23">
      <w:pPr>
        <w:snapToGrid w:val="0"/>
        <w:spacing w:line="590" w:lineRule="exact"/>
        <w:rPr>
          <w:rFonts w:ascii="仿宋_GB2312" w:eastAsia="仿宋_GB2312"/>
          <w:sz w:val="32"/>
          <w:szCs w:val="32"/>
        </w:rPr>
      </w:pPr>
    </w:p>
    <w:p w14:paraId="5338427C">
      <w:pPr>
        <w:pStyle w:val="2"/>
        <w:wordWrap w:val="0"/>
        <w:spacing w:before="0" w:beforeAutospacing="0" w:after="0" w:afterAutospacing="0" w:line="450" w:lineRule="atLeast"/>
        <w:jc w:val="both"/>
        <w:rPr>
          <w:rFonts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各市人民政府，各县(市、区)人民政府，各市物价局，各县(市、区)物价局，省直有关部门：</w:t>
      </w:r>
    </w:p>
    <w:p w14:paraId="0692247D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经省政府同意，我局印发《关于废止&lt;山东省服务价格管理目录&gt;的通知》（鲁价综发〔2016〕57号）。按照该文规定，现对《山东省定价目录》相关事项明确如下：</w:t>
      </w:r>
    </w:p>
    <w:p w14:paraId="514E6136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一、车辆救援服务费</w:t>
      </w:r>
    </w:p>
    <w:p w14:paraId="351E4430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普通道路车辆救援服务费（含行政事业性道路清障费）标准授权市人民政府制定。高速公路车辆救援服务费标准由省价格主管部门会同有关部门制定。</w:t>
      </w:r>
    </w:p>
    <w:p w14:paraId="38A3B56E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二、公共资源占用补偿、维护、损坏赔偿费</w:t>
      </w:r>
    </w:p>
    <w:p w14:paraId="0A1A34B3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户外广告资源有偿使用费、城市绿化补偿费、政府投资的体育文化设施收费标准授权市、县人民政府制定。经营性闸坝、闸桥维护费标准由省价格主管部门制定。</w:t>
      </w:r>
    </w:p>
    <w:p w14:paraId="6B0C7720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三、检验检测、鉴定、认证、安全评价、技术咨询、房地产测绘、交易市场交易服务费、驾驶员培训及其他具有垄断性质的重要服务收费</w:t>
      </w:r>
    </w:p>
    <w:p w14:paraId="336E77A0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生猪屠宰费、城建档案技术咨询服务费、超限运输车辆停车服务费、车载气瓶检验检测费，以及出租车安装的设施物品价格及挂靠、管理收费标准授权市人民政府制定。其中，对出租车安装的设施物品价格及挂靠、管理收费，各市可以根据市场状况实行市场调节价。农机驾驶员培训费、防雷减灾技术服务收费、建设工程交易服务费、房地产测绘费、房屋档案利用收费、产权交易服务收费、船舶交易服务费、国家机关信息公开检索复制邮寄费、病历资料复印服务收费标准由省价格主管部门制定。</w:t>
      </w:r>
    </w:p>
    <w:p w14:paraId="30B40392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四、殡葬服务收费</w:t>
      </w:r>
    </w:p>
    <w:p w14:paraId="31E1956F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《山东省定价目录》“殡葬服务”项目中“维护管理费”包括公益性公墓和经营性公墓的维护管理费。</w:t>
      </w:r>
    </w:p>
    <w:p w14:paraId="33CEA0BF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五、取消部分服务收费项目</w:t>
      </w:r>
    </w:p>
    <w:p w14:paraId="375905C3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取消建设工程施工图审查费，国土部门地籍档案资料信息咨询服务费，地震部门地震安全评价费，气象部门防雷设计图纸审核费、新建、改建、扩建建（构）筑物防雷装置检测费、雷电灾害风险评估费、防雷产品测试费、土壤电阻率测试费，中小学午休费，房屋档案查询证明费。</w:t>
      </w:r>
    </w:p>
    <w:p w14:paraId="6260525C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六、放开部分服务价格</w:t>
      </w:r>
    </w:p>
    <w:p w14:paraId="5C0B8BB6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放开机动车驾驶员培训费（不含农机）、船员培训费、自愿委托的产品质量检验收费、公路及其附属设施损坏赔偿费、集贸市场收费、建筑消防设施维修保养费、消防安全评价费、电气设施消防安全检测费、建筑自动消防系统检测服务费、卫生检测费、委托性卫生技术服务费（含委托性卫生防疫服务费）、建筑工程类检验检测服务费、规划技术服务费、工程造价咨询服务费、危险废弃物处置费（不含医疗废弃物、放射性废物）、气象预报服务费、气象情报服务费、气象资料服务费、大气环境评价费、保安服务收费、机动车安全技术检验服务费、机动车排气污染检验服务费、旧机动车交易服务收费、价格评估服务费、水文专业有偿服务费、艺术（业余）考级收费、水域滩涂使用权补偿费（含安置补助费、</w:t>
      </w:r>
      <w:r>
        <w:rPr>
          <w:rFonts w:hint="eastAsia" w:ascii="仿宋" w:hAnsi="仿宋" w:eastAsia="仿宋"/>
          <w:color w:val="333333"/>
          <w:sz w:val="32"/>
          <w:szCs w:val="32"/>
        </w:rPr>
        <w:t>浅海滩涂养殖区补偿费等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）、征地地上附着物和青苗补偿费、社会福利机构服务收费等服务价格。其中，补偿类价格要根据有关规定，以价格评估、平等协商等方式确定。</w:t>
      </w:r>
    </w:p>
    <w:p w14:paraId="5D2A51CB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七、相关要求</w:t>
      </w:r>
    </w:p>
    <w:p w14:paraId="15799E45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各地要做好下放定价项目的承接工作，尽快出台相关收费标准。相关服务收费项目取消后，有关单位不得另立名目继续收费。对放开的服务价格，各级各部门不得以任何理由限制服务、指定服务或者截留定价权。</w:t>
      </w:r>
    </w:p>
    <w:p w14:paraId="7F909AD0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本通知自2016年7月15日施行。与本通知不符的有关规定同时废止。</w:t>
      </w:r>
    </w:p>
    <w:p w14:paraId="313AB996">
      <w:pPr>
        <w:pStyle w:val="2"/>
        <w:wordWrap w:val="0"/>
        <w:spacing w:before="0" w:beforeAutospacing="0" w:after="0" w:afterAutospacing="0" w:line="450" w:lineRule="atLeast"/>
        <w:ind w:firstLine="640"/>
        <w:jc w:val="both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 w:ascii="微软雅黑" w:hAnsi="微软雅黑" w:eastAsia="微软雅黑"/>
          <w:color w:val="333333"/>
          <w:sz w:val="23"/>
          <w:szCs w:val="23"/>
        </w:rPr>
        <w:t>  </w:t>
      </w:r>
    </w:p>
    <w:p w14:paraId="00E6E75B">
      <w:pPr>
        <w:pStyle w:val="2"/>
        <w:wordWrap w:val="0"/>
        <w:spacing w:before="0" w:beforeAutospacing="0" w:after="0" w:afterAutospacing="0" w:line="450" w:lineRule="atLeast"/>
        <w:ind w:firstLine="640"/>
        <w:jc w:val="right"/>
        <w:rPr>
          <w:rFonts w:hint="eastAsia" w:ascii="微软雅黑" w:hAnsi="微软雅黑" w:eastAsia="微软雅黑"/>
          <w:color w:val="333333"/>
          <w:sz w:val="23"/>
          <w:szCs w:val="23"/>
        </w:rPr>
      </w:pPr>
      <w:r>
        <w:rPr>
          <w:rFonts w:hint="eastAsia"/>
          <w:color w:val="333333"/>
          <w:sz w:val="32"/>
          <w:szCs w:val="32"/>
        </w:rPr>
        <w:t xml:space="preserve">山东省物价局 </w:t>
      </w:r>
      <w:r>
        <w:rPr>
          <w:color w:val="333333"/>
          <w:sz w:val="32"/>
          <w:szCs w:val="32"/>
        </w:rPr>
        <w:t xml:space="preserve"> </w:t>
      </w:r>
    </w:p>
    <w:p w14:paraId="21CC3AB7">
      <w:pPr>
        <w:pStyle w:val="2"/>
        <w:wordWrap w:val="0"/>
        <w:spacing w:before="0" w:beforeAutospacing="0" w:after="0" w:afterAutospacing="0" w:line="450" w:lineRule="atLeast"/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2016年6月22日</w:t>
      </w:r>
    </w:p>
    <w:sectPr>
      <w:pgSz w:w="11906" w:h="16838"/>
      <w:pgMar w:top="187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F7"/>
    <w:rsid w:val="00150AF7"/>
    <w:rsid w:val="00230E94"/>
    <w:rsid w:val="002A037B"/>
    <w:rsid w:val="006A07ED"/>
    <w:rsid w:val="00753896"/>
    <w:rsid w:val="00765364"/>
    <w:rsid w:val="00EF2286"/>
    <w:rsid w:val="1C9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Pages>3</Pages>
  <Words>1313</Words>
  <Characters>1332</Characters>
  <Lines>9</Lines>
  <Paragraphs>2</Paragraphs>
  <TotalTime>1</TotalTime>
  <ScaleCrop>false</ScaleCrop>
  <LinksUpToDate>false</LinksUpToDate>
  <CharactersWithSpaces>1336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2022-11-10T06:31:00Z</dcterms:created>
  <dc:creator>Administrator</dc:creator>
  <cp:lastModifiedBy>哎呀1412249228</cp:lastModifiedBy>
  <dcterms:modified xsi:type="dcterms:W3CDTF">2025-10-28T07:22:47Z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FADBDB8621D04ADBA7FB56261049F03F_13</vt:lpwstr>
  </property>
</Properties>
</file>