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7C530">
      <w:pPr>
        <w:spacing w:line="560" w:lineRule="exact"/>
        <w:ind w:firstLine="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高青县</w:t>
      </w:r>
      <w:r>
        <w:rPr>
          <w:rFonts w:hint="eastAsia" w:ascii="Times New Roman" w:hAnsi="Times New Roman" w:eastAsia="方正小标宋简体" w:cs="Times New Roman"/>
          <w:sz w:val="44"/>
          <w:szCs w:val="44"/>
          <w:lang w:val="en-US" w:eastAsia="zh-CN"/>
        </w:rPr>
        <w:t>科学技术</w:t>
      </w:r>
      <w:r>
        <w:rPr>
          <w:rFonts w:hint="eastAsia" w:ascii="Times New Roman" w:hAnsi="Times New Roman" w:eastAsia="方正小标宋简体" w:cs="Times New Roman"/>
          <w:sz w:val="44"/>
          <w:szCs w:val="44"/>
        </w:rPr>
        <w:t>局</w:t>
      </w:r>
    </w:p>
    <w:p w14:paraId="50E13B5E">
      <w:pPr>
        <w:spacing w:line="560" w:lineRule="exact"/>
        <w:ind w:firstLine="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eastAsia" w:ascii="Times New Roman" w:hAnsi="Times New Roman" w:eastAsia="方正小标宋简体" w:cs="Times New Roman"/>
          <w:sz w:val="44"/>
          <w:szCs w:val="44"/>
        </w:rPr>
        <w:t>年政府信息公开工作年度报告</w:t>
      </w:r>
    </w:p>
    <w:p w14:paraId="1D51A535">
      <w:pPr>
        <w:spacing w:line="560" w:lineRule="exact"/>
        <w:ind w:firstLine="0"/>
        <w:jc w:val="center"/>
        <w:rPr>
          <w:rFonts w:hint="eastAsia" w:ascii="Times New Roman" w:hAnsi="Times New Roman" w:eastAsia="方正小标宋简体" w:cs="Times New Roman"/>
          <w:sz w:val="44"/>
          <w:szCs w:val="44"/>
        </w:rPr>
      </w:pPr>
    </w:p>
    <w:p w14:paraId="5AC17CB3">
      <w:pPr>
        <w:spacing w:line="56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rPr>
        <w:t>本报告根据《中华人民共和国政府信息公开条例》（国务院令第711号，以下简称《条例》）和《国务院办公厅政府信息与政务公开办公室关于印发&lt;中华人民共和国政府信息公开工作年度报告格式&gt;的通知》（国办公开办函〔</w:t>
      </w:r>
      <w:r>
        <w:rPr>
          <w:rFonts w:ascii="Times New Roman" w:hAnsi="Times New Roman" w:eastAsia="仿宋_GB2312" w:cs="Times New Roman"/>
        </w:rPr>
        <w:t>2021〕30号</w:t>
      </w:r>
      <w:r>
        <w:rPr>
          <w:rFonts w:hint="eastAsia" w:ascii="Times New Roman" w:hAnsi="Times New Roman" w:eastAsia="仿宋_GB2312" w:cs="Times New Roman"/>
        </w:rPr>
        <w:t>）相关要求编制。报告全文分总体情况、主动公开政府信息情况、收到和处理政府信息公开申请情况、政府信息公开行政复议和行政诉讼情况、存在的主要问题及改进情况、其他需要报告的事项六个部分。</w:t>
      </w:r>
    </w:p>
    <w:p w14:paraId="4837D4A0">
      <w:pPr>
        <w:spacing w:line="56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rPr>
        <w:t>报告中所列数据统计期限自202</w:t>
      </w:r>
      <w:r>
        <w:rPr>
          <w:rFonts w:hint="eastAsia" w:ascii="Times New Roman" w:hAnsi="Times New Roman" w:eastAsia="仿宋_GB2312" w:cs="Times New Roman"/>
          <w:lang w:val="en-US" w:eastAsia="zh-CN"/>
        </w:rPr>
        <w:t>5</w:t>
      </w:r>
      <w:r>
        <w:rPr>
          <w:rFonts w:hint="eastAsia" w:ascii="Times New Roman" w:hAnsi="Times New Roman" w:eastAsia="仿宋_GB2312" w:cs="Times New Roman"/>
        </w:rPr>
        <w:t>年1月1日始，至202</w:t>
      </w:r>
      <w:r>
        <w:rPr>
          <w:rFonts w:hint="eastAsia" w:ascii="Times New Roman" w:hAnsi="Times New Roman" w:eastAsia="仿宋_GB2312" w:cs="Times New Roman"/>
          <w:lang w:val="en-US" w:eastAsia="zh-CN"/>
        </w:rPr>
        <w:t>5</w:t>
      </w:r>
      <w:r>
        <w:rPr>
          <w:rFonts w:hint="eastAsia" w:ascii="Times New Roman" w:hAnsi="Times New Roman" w:eastAsia="仿宋_GB2312" w:cs="Times New Roman"/>
        </w:rPr>
        <w:t>年12月31日止。报告电子版可在高青县人民政府门户网站（www.gaoqing.gov.cn）查阅和下载。如对报告内容有疑问，请与高青县</w:t>
      </w:r>
      <w:r>
        <w:rPr>
          <w:rFonts w:hint="eastAsia" w:ascii="Times New Roman" w:hAnsi="Times New Roman" w:eastAsia="仿宋_GB2312" w:cs="Times New Roman"/>
          <w:lang w:val="en-US" w:eastAsia="zh-CN"/>
        </w:rPr>
        <w:t>科学技术</w:t>
      </w:r>
      <w:r>
        <w:rPr>
          <w:rFonts w:hint="eastAsia" w:ascii="Times New Roman" w:hAnsi="Times New Roman" w:eastAsia="仿宋_GB2312" w:cs="Times New Roman"/>
        </w:rPr>
        <w:t>局办公室联系（地址：山东省淄博市高青县清河路9号；邮编：256300；电话：0533-6961249；传真：0533-6961249；邮箱：gqxkjj1@zb.shandong.cn）。</w:t>
      </w:r>
    </w:p>
    <w:p w14:paraId="30DDC51D">
      <w:pPr>
        <w:spacing w:line="560" w:lineRule="exact"/>
        <w:ind w:firstLine="640" w:firstLineChars="200"/>
        <w:rPr>
          <w:rFonts w:ascii="Times New Roman" w:hAnsi="Times New Roman" w:eastAsia="黑体" w:cs="Times New Roman"/>
          <w:szCs w:val="32"/>
        </w:rPr>
      </w:pPr>
      <w:r>
        <w:rPr>
          <w:rFonts w:hint="eastAsia" w:ascii="Times New Roman" w:hAnsi="Times New Roman" w:eastAsia="黑体" w:cs="Times New Roman"/>
          <w:szCs w:val="32"/>
        </w:rPr>
        <w:t>一、总体情况</w:t>
      </w:r>
    </w:p>
    <w:p w14:paraId="12CCACA9">
      <w:pPr>
        <w:spacing w:line="560" w:lineRule="exact"/>
        <w:ind w:firstLine="640" w:firstLineChars="200"/>
        <w:rPr>
          <w:rFonts w:hint="eastAsia" w:ascii="Times New Roman" w:hAnsi="Times New Roman" w:eastAsia="仿宋_GB2312" w:cs="Times New Roman"/>
        </w:rPr>
      </w:pPr>
      <w:r>
        <w:rPr>
          <w:rFonts w:ascii="Times New Roman" w:hAnsi="Times New Roman" w:eastAsia="仿宋_GB2312" w:cs="Times New Roman"/>
        </w:rPr>
        <w:t>202</w:t>
      </w:r>
      <w:r>
        <w:rPr>
          <w:rFonts w:hint="eastAsia" w:ascii="Times New Roman" w:hAnsi="Times New Roman" w:eastAsia="仿宋_GB2312" w:cs="Times New Roman"/>
          <w:lang w:val="en-US" w:eastAsia="zh-CN"/>
        </w:rPr>
        <w:t>5</w:t>
      </w:r>
      <w:r>
        <w:rPr>
          <w:rFonts w:hint="eastAsia" w:ascii="Times New Roman" w:hAnsi="Times New Roman" w:eastAsia="仿宋_GB2312" w:cs="Times New Roman"/>
        </w:rPr>
        <w:t>年，高青县科学技术局坚持以习近平新时代中国特色社会主义思想为指导，深入贯彻落实国家和省市县政务公开工作部署，围绕科技创新中心工作和群众关切，强化制度建设、拓展公开渠道、提升服务效能，政务公开工作取得显著成效。</w:t>
      </w:r>
    </w:p>
    <w:p w14:paraId="2D78CED7">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（一）主动公开</w:t>
      </w:r>
    </w:p>
    <w:p w14:paraId="7667F14D">
      <w:pPr>
        <w:spacing w:line="560" w:lineRule="exact"/>
        <w:ind w:firstLine="640" w:firstLineChars="200"/>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制定</w:t>
      </w:r>
      <w:r>
        <w:rPr>
          <w:rFonts w:hint="eastAsia" w:ascii="Times New Roman" w:hAnsi="Times New Roman" w:eastAsia="仿宋_GB2312" w:cs="Times New Roman"/>
        </w:rPr>
        <w:t>《高青县科学技术局</w:t>
      </w:r>
      <w:r>
        <w:rPr>
          <w:rFonts w:hint="eastAsia" w:ascii="Times New Roman" w:hAnsi="Times New Roman" w:eastAsia="仿宋_GB2312" w:cs="Times New Roman"/>
          <w:lang w:val="en-US" w:eastAsia="zh-CN"/>
        </w:rPr>
        <w:t>2025年政务公开工作方案</w:t>
      </w:r>
      <w:r>
        <w:rPr>
          <w:rFonts w:hint="eastAsia" w:ascii="Times New Roman" w:hAnsi="Times New Roman" w:eastAsia="仿宋_GB2312" w:cs="Times New Roman"/>
        </w:rPr>
        <w:t>》，建立“办公室牵头、各</w:t>
      </w:r>
      <w:r>
        <w:rPr>
          <w:rFonts w:hint="eastAsia" w:ascii="Times New Roman" w:hAnsi="Times New Roman" w:eastAsia="仿宋_GB2312" w:cs="Times New Roman"/>
          <w:lang w:val="en-US" w:eastAsia="zh-CN"/>
        </w:rPr>
        <w:t>科室</w:t>
      </w:r>
      <w:r>
        <w:rPr>
          <w:rFonts w:hint="eastAsia" w:ascii="Times New Roman" w:hAnsi="Times New Roman" w:eastAsia="仿宋_GB2312" w:cs="Times New Roman"/>
        </w:rPr>
        <w:t>协同”的工作机制</w:t>
      </w:r>
      <w:r>
        <w:rPr>
          <w:rFonts w:hint="eastAsia" w:ascii="Times New Roman" w:hAnsi="Times New Roman" w:eastAsia="仿宋_GB2312" w:cs="Times New Roman"/>
          <w:lang w:eastAsia="zh-CN"/>
        </w:rPr>
        <w:t>。</w:t>
      </w:r>
      <w:r>
        <w:rPr>
          <w:rFonts w:hint="eastAsia" w:ascii="Times New Roman" w:hAnsi="Times New Roman" w:eastAsia="仿宋_GB2312" w:cs="Times New Roman"/>
        </w:rPr>
        <w:t>202</w:t>
      </w:r>
      <w:r>
        <w:rPr>
          <w:rFonts w:hint="eastAsia" w:ascii="Times New Roman" w:hAnsi="Times New Roman" w:eastAsia="仿宋_GB2312" w:cs="Times New Roman"/>
          <w:lang w:val="en-US" w:eastAsia="zh-CN"/>
        </w:rPr>
        <w:t>5</w:t>
      </w:r>
      <w:r>
        <w:rPr>
          <w:rFonts w:hint="eastAsia" w:ascii="Times New Roman" w:hAnsi="Times New Roman" w:eastAsia="仿宋_GB2312" w:cs="Times New Roman"/>
        </w:rPr>
        <w:t>年通过政府网站主动公开信息</w:t>
      </w:r>
      <w:r>
        <w:rPr>
          <w:rFonts w:hint="eastAsia" w:ascii="Times New Roman" w:hAnsi="Times New Roman" w:eastAsia="仿宋_GB2312" w:cs="Times New Roman"/>
          <w:lang w:val="en-US" w:eastAsia="zh-CN"/>
        </w:rPr>
        <w:t>44</w:t>
      </w:r>
      <w:r>
        <w:rPr>
          <w:rFonts w:hint="eastAsia" w:ascii="Times New Roman" w:hAnsi="Times New Roman" w:eastAsia="仿宋_GB2312" w:cs="Times New Roman"/>
        </w:rPr>
        <w:t>条，通过</w:t>
      </w:r>
      <w:r>
        <w:rPr>
          <w:rFonts w:hint="eastAsia" w:ascii="Times New Roman" w:hAnsi="Times New Roman" w:eastAsia="仿宋_GB2312" w:cs="Times New Roman"/>
          <w:lang w:val="en-US" w:eastAsia="zh-CN"/>
        </w:rPr>
        <w:t>新媒体等</w:t>
      </w:r>
      <w:r>
        <w:rPr>
          <w:rFonts w:hint="eastAsia" w:ascii="Times New Roman" w:hAnsi="Times New Roman" w:eastAsia="仿宋_GB2312" w:cs="Times New Roman"/>
        </w:rPr>
        <w:t>其他渠道公开信息</w:t>
      </w:r>
      <w:r>
        <w:rPr>
          <w:rFonts w:hint="eastAsia" w:ascii="Times New Roman" w:hAnsi="Times New Roman" w:eastAsia="仿宋_GB2312" w:cs="Times New Roman"/>
          <w:lang w:val="en-US" w:eastAsia="zh-CN"/>
        </w:rPr>
        <w:t>261</w:t>
      </w:r>
      <w:r>
        <w:rPr>
          <w:rFonts w:hint="eastAsia" w:ascii="Times New Roman" w:hAnsi="Times New Roman" w:eastAsia="仿宋_GB2312" w:cs="Times New Roman"/>
        </w:rPr>
        <w:t>条，比上年度增长</w:t>
      </w:r>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eastAsia="zh-CN"/>
        </w:rPr>
        <w:t>，</w:t>
      </w:r>
      <w:r>
        <w:rPr>
          <w:rFonts w:hint="eastAsia" w:ascii="Times New Roman" w:hAnsi="Times New Roman" w:eastAsia="仿宋_GB2312" w:cs="Times New Roman"/>
        </w:rPr>
        <w:t>涵盖机构职能、政策文件、重点工作进展等核心内容。</w:t>
      </w:r>
      <w:r>
        <w:rPr>
          <w:rFonts w:hint="eastAsia" w:ascii="Times New Roman" w:hAnsi="Times New Roman" w:eastAsia="仿宋_GB2312" w:cs="Times New Roman"/>
          <w:lang w:val="en-US" w:eastAsia="zh-CN"/>
        </w:rPr>
        <w:t>积极</w:t>
      </w:r>
      <w:r>
        <w:rPr>
          <w:rFonts w:hint="eastAsia" w:ascii="Times New Roman" w:hAnsi="Times New Roman" w:eastAsia="仿宋_GB2312" w:cs="Times New Roman"/>
        </w:rPr>
        <w:t>创新政策解读形式，</w:t>
      </w:r>
      <w:r>
        <w:rPr>
          <w:rFonts w:hint="eastAsia" w:ascii="Times New Roman" w:hAnsi="Times New Roman" w:eastAsia="仿宋_GB2312" w:cs="Times New Roman"/>
          <w:lang w:val="en-US" w:eastAsia="zh-CN"/>
        </w:rPr>
        <w:t>发布图文解读材料1篇</w:t>
      </w:r>
      <w:r>
        <w:rPr>
          <w:rFonts w:hint="eastAsia" w:ascii="Times New Roman" w:hAnsi="Times New Roman" w:eastAsia="仿宋_GB2312" w:cs="Times New Roman"/>
          <w:lang w:eastAsia="zh-CN"/>
        </w:rPr>
        <w:t>，</w:t>
      </w:r>
      <w:r>
        <w:rPr>
          <w:rFonts w:hint="eastAsia" w:ascii="Times New Roman" w:hAnsi="Times New Roman" w:eastAsia="仿宋_GB2312" w:cs="Times New Roman"/>
        </w:rPr>
        <w:t>开</w:t>
      </w:r>
      <w:r>
        <w:rPr>
          <w:rFonts w:hint="eastAsia" w:ascii="Times New Roman" w:hAnsi="Times New Roman" w:eastAsia="仿宋_GB2312" w:cs="Times New Roman"/>
          <w:lang w:val="en-US" w:eastAsia="zh-CN"/>
        </w:rPr>
        <w:t>展政府开放日活动1次，</w:t>
      </w:r>
      <w:r>
        <w:rPr>
          <w:rFonts w:hint="eastAsia" w:ascii="Times New Roman" w:hAnsi="Times New Roman" w:eastAsia="仿宋_GB2312" w:cs="Times New Roman"/>
        </w:rPr>
        <w:t>单位负责人带头开展科技惠企政策解读</w:t>
      </w:r>
      <w:r>
        <w:rPr>
          <w:rFonts w:hint="eastAsia" w:ascii="Times New Roman" w:hAnsi="Times New Roman" w:eastAsia="仿宋_GB2312" w:cs="Times New Roman"/>
          <w:lang w:eastAsia="zh-CN"/>
        </w:rPr>
        <w:t>，通过简明问答、案例分析等方式，重点解读研发费用加计扣除、科技金融等企业关注的政策。</w:t>
      </w:r>
      <w:r>
        <w:rPr>
          <w:rFonts w:hint="eastAsia" w:ascii="Times New Roman" w:hAnsi="Times New Roman" w:eastAsia="仿宋_GB2312" w:cs="Times New Roman"/>
          <w:lang w:val="en-US" w:eastAsia="zh-CN"/>
        </w:rPr>
        <w:t>同时</w:t>
      </w:r>
      <w:r>
        <w:rPr>
          <w:rFonts w:hint="eastAsia" w:ascii="Times New Roman" w:hAnsi="Times New Roman" w:eastAsia="仿宋_GB2312" w:cs="Times New Roman"/>
          <w:lang w:eastAsia="zh-CN"/>
        </w:rPr>
        <w:t>结合“科技大讲堂”“</w:t>
      </w:r>
      <w:r>
        <w:rPr>
          <w:rFonts w:hint="eastAsia" w:ascii="Times New Roman" w:hAnsi="Times New Roman" w:eastAsia="仿宋_GB2312" w:cs="Times New Roman"/>
          <w:lang w:val="en-US" w:eastAsia="zh-CN"/>
        </w:rPr>
        <w:t>政策宣讲会</w:t>
      </w:r>
      <w:r>
        <w:rPr>
          <w:rFonts w:hint="eastAsia" w:ascii="Times New Roman" w:hAnsi="Times New Roman" w:eastAsia="仿宋_GB2312" w:cs="Times New Roman"/>
          <w:lang w:eastAsia="zh-CN"/>
        </w:rPr>
        <w:t>”等线下活动，回应群众关切。</w:t>
      </w:r>
      <w:r>
        <w:rPr>
          <w:rFonts w:hint="eastAsia" w:ascii="Times New Roman" w:hAnsi="Times New Roman" w:eastAsia="仿宋_GB2312" w:cs="Times New Roman"/>
          <w:lang w:val="en-US" w:eastAsia="zh-CN"/>
        </w:rPr>
        <w:t>持续</w:t>
      </w:r>
      <w:r>
        <w:rPr>
          <w:rFonts w:hint="eastAsia" w:ascii="Times New Roman" w:hAnsi="Times New Roman" w:eastAsia="仿宋_GB2312" w:cs="Times New Roman"/>
          <w:lang w:eastAsia="zh-CN"/>
        </w:rPr>
        <w:t>深化重点领域公开，</w:t>
      </w:r>
      <w:r>
        <w:rPr>
          <w:rFonts w:hint="eastAsia" w:ascii="Times New Roman" w:hAnsi="Times New Roman" w:eastAsia="仿宋_GB2312" w:cs="Times New Roman"/>
        </w:rPr>
        <w:t>聚焦科技惠企政策、项目申报、财政预决算等重点领域</w:t>
      </w:r>
      <w:r>
        <w:rPr>
          <w:rFonts w:hint="eastAsia" w:ascii="Times New Roman" w:hAnsi="Times New Roman" w:eastAsia="仿宋_GB2312" w:cs="Times New Roman"/>
          <w:lang w:eastAsia="zh-CN"/>
        </w:rPr>
        <w:t>，全面保障群众与企业“应知尽知、应享尽享”。</w:t>
      </w:r>
    </w:p>
    <w:p w14:paraId="50DA4EEA">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drawing>
          <wp:anchor distT="0" distB="0" distL="114300" distR="114300" simplePos="0" relativeHeight="251659264" behindDoc="0" locked="0" layoutInCell="1" allowOverlap="1">
            <wp:simplePos x="0" y="0"/>
            <wp:positionH relativeFrom="column">
              <wp:posOffset>86360</wp:posOffset>
            </wp:positionH>
            <wp:positionV relativeFrom="paragraph">
              <wp:posOffset>136525</wp:posOffset>
            </wp:positionV>
            <wp:extent cx="5610860" cy="2225040"/>
            <wp:effectExtent l="0" t="0" r="8890" b="381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610860" cy="2225040"/>
                    </a:xfrm>
                    <a:prstGeom prst="rect">
                      <a:avLst/>
                    </a:prstGeom>
                    <a:noFill/>
                    <a:ln>
                      <a:noFill/>
                    </a:ln>
                  </pic:spPr>
                </pic:pic>
              </a:graphicData>
            </a:graphic>
          </wp:anchor>
        </w:drawing>
      </w:r>
      <w:r>
        <w:rPr>
          <w:rFonts w:hint="eastAsia" w:ascii="楷体_GB2312" w:hAnsi="Times New Roman" w:eastAsia="楷体_GB2312" w:cs="Times New Roman"/>
          <w:szCs w:val="32"/>
        </w:rPr>
        <w:t>（二）依申请公开</w:t>
      </w:r>
    </w:p>
    <w:p w14:paraId="07A1D05F">
      <w:pPr>
        <w:spacing w:line="560" w:lineRule="exact"/>
        <w:ind w:firstLine="640" w:firstLineChars="200"/>
        <w:rPr>
          <w:rFonts w:hint="eastAsia" w:ascii="Times New Roman" w:hAnsi="Times New Roman" w:eastAsia="仿宋_GB2312" w:cs="Times New Roman"/>
        </w:rPr>
      </w:pPr>
      <w:r>
        <w:rPr>
          <w:rFonts w:hint="eastAsia" w:ascii="Times New Roman" w:hAnsi="Times New Roman" w:eastAsia="仿宋_GB2312" w:cs="Times New Roman"/>
        </w:rPr>
        <w:t>2025年，通过精简内部流转环节、统一答复标准，依法依规提升答复质效。202</w:t>
      </w:r>
      <w:r>
        <w:rPr>
          <w:rFonts w:hint="eastAsia" w:ascii="Times New Roman" w:hAnsi="Times New Roman" w:eastAsia="仿宋_GB2312" w:cs="Times New Roman"/>
          <w:lang w:val="en-US" w:eastAsia="zh-CN"/>
        </w:rPr>
        <w:t>5</w:t>
      </w:r>
      <w:r>
        <w:rPr>
          <w:rFonts w:hint="eastAsia" w:ascii="Times New Roman" w:hAnsi="Times New Roman" w:eastAsia="仿宋_GB2312" w:cs="Times New Roman"/>
        </w:rPr>
        <w:t>年未收到政府信息公开申请，上年度结转0件。依申请公开政府信息未收取任何费用。未因政府信息公开被申请行政复议、提起行政诉讼。</w:t>
      </w:r>
    </w:p>
    <w:p w14:paraId="00A74844">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（三）政府信息管理</w:t>
      </w:r>
    </w:p>
    <w:p w14:paraId="13D69311">
      <w:pPr>
        <w:spacing w:line="560" w:lineRule="exact"/>
        <w:ind w:firstLine="640" w:firstLineChars="200"/>
        <w:rPr>
          <w:rFonts w:hint="eastAsia" w:ascii="Times New Roman" w:hAnsi="Times New Roman" w:eastAsia="仿宋_GB2312" w:cs="Times New Roman"/>
        </w:rPr>
      </w:pPr>
      <w:r>
        <w:rPr>
          <w:rFonts w:hint="eastAsia" w:ascii="Times New Roman" w:hAnsi="Times New Roman" w:eastAsia="仿宋_GB2312" w:cs="Times New Roman"/>
        </w:rPr>
        <w:t>根据政务公开工作重点，梳理法律法规关于主动公开政府的信息的规定，以</w:t>
      </w:r>
      <w:r>
        <w:rPr>
          <w:rFonts w:hint="eastAsia" w:ascii="Times New Roman" w:hAnsi="Times New Roman" w:eastAsia="仿宋_GB2312" w:cs="Times New Roman"/>
          <w:lang w:val="en-US" w:eastAsia="zh-CN"/>
        </w:rPr>
        <w:t>11</w:t>
      </w:r>
      <w:r>
        <w:rPr>
          <w:rFonts w:hint="eastAsia" w:ascii="Times New Roman" w:hAnsi="Times New Roman" w:eastAsia="仿宋_GB2312" w:cs="Times New Roman"/>
        </w:rPr>
        <w:t>项一级事项、</w:t>
      </w:r>
      <w:r>
        <w:rPr>
          <w:rFonts w:hint="eastAsia" w:ascii="Times New Roman" w:hAnsi="Times New Roman" w:eastAsia="仿宋_GB2312" w:cs="Times New Roman"/>
          <w:lang w:val="en-US" w:eastAsia="zh-CN"/>
        </w:rPr>
        <w:t>12</w:t>
      </w:r>
      <w:r>
        <w:rPr>
          <w:rFonts w:hint="eastAsia" w:ascii="Times New Roman" w:hAnsi="Times New Roman" w:eastAsia="仿宋_GB2312" w:cs="Times New Roman"/>
        </w:rPr>
        <w:t>项二级事项为主体结构</w:t>
      </w:r>
      <w:r>
        <w:rPr>
          <w:rFonts w:hint="eastAsia" w:ascii="Times New Roman" w:hAnsi="Times New Roman" w:eastAsia="仿宋_GB2312" w:cs="Times New Roman"/>
          <w:lang w:eastAsia="zh-CN"/>
        </w:rPr>
        <w:t>，涵盖机关简介、财政信息、规划计划等核心领域，</w:t>
      </w:r>
      <w:r>
        <w:rPr>
          <w:rFonts w:hint="eastAsia" w:ascii="Times New Roman" w:hAnsi="Times New Roman" w:eastAsia="仿宋_GB2312" w:cs="Times New Roman"/>
        </w:rPr>
        <w:t>进行公开信息</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公开前实行“科室初审、办公室复审、分管领导终审、保密专员复核”四级审核，</w:t>
      </w:r>
      <w:r>
        <w:rPr>
          <w:rFonts w:hint="eastAsia" w:ascii="Times New Roman" w:hAnsi="Times New Roman" w:eastAsia="仿宋_GB2312" w:cs="Times New Roman"/>
          <w:lang w:eastAsia="zh-CN"/>
        </w:rPr>
        <w:t>严格落实公开属性源头认定制度</w:t>
      </w:r>
      <w:r>
        <w:rPr>
          <w:rFonts w:hint="eastAsia" w:ascii="Times New Roman" w:hAnsi="Times New Roman" w:eastAsia="仿宋_GB2312" w:cs="Times New Roman"/>
        </w:rPr>
        <w:t>。严格落实保密审查机制，组织全体人员学习《保密法》及信息公开相关法规，确保公开信息不涉密、不违规。</w:t>
      </w:r>
    </w:p>
    <w:p w14:paraId="253857C1">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（四）政府信息公开平台建设</w:t>
      </w:r>
    </w:p>
    <w:p w14:paraId="60D93892">
      <w:pPr>
        <w:spacing w:line="560" w:lineRule="exact"/>
        <w:ind w:firstLine="640" w:firstLineChars="200"/>
        <w:rPr>
          <w:rFonts w:hint="eastAsia" w:ascii="Times New Roman" w:hAnsi="Times New Roman" w:eastAsia="仿宋_GB2312" w:cs="Times New Roman"/>
        </w:rPr>
      </w:pPr>
      <w:r>
        <w:rPr>
          <w:rFonts w:hint="eastAsia" w:ascii="Times New Roman" w:hAnsi="Times New Roman" w:eastAsia="仿宋_GB2312" w:cs="Times New Roman"/>
          <w:lang w:eastAsia="zh-CN"/>
        </w:rPr>
        <w:t>及时梳理政府网站政务公开栏目，建立</w:t>
      </w:r>
      <w:r>
        <w:rPr>
          <w:rFonts w:hint="eastAsia" w:ascii="Times New Roman" w:hAnsi="Times New Roman" w:eastAsia="仿宋_GB2312" w:cs="Times New Roman"/>
          <w:lang w:val="en-US" w:eastAsia="zh-CN"/>
        </w:rPr>
        <w:t>线上线下</w:t>
      </w:r>
      <w:r>
        <w:rPr>
          <w:rFonts w:hint="eastAsia" w:ascii="Times New Roman" w:hAnsi="Times New Roman" w:eastAsia="仿宋_GB2312" w:cs="Times New Roman"/>
          <w:lang w:eastAsia="zh-CN"/>
        </w:rPr>
        <w:t>科技政策“双轮驱动”传播模式，</w:t>
      </w:r>
      <w:r>
        <w:rPr>
          <w:rFonts w:hint="eastAsia" w:ascii="Times New Roman" w:hAnsi="Times New Roman" w:eastAsia="仿宋_GB2312" w:cs="Times New Roman"/>
          <w:lang w:val="en-US" w:eastAsia="zh-CN"/>
        </w:rPr>
        <w:t>2025年在政府网站新开设栏目1个</w:t>
      </w:r>
      <w:r>
        <w:rPr>
          <w:rFonts w:hint="eastAsia" w:ascii="Times New Roman" w:hAnsi="Times New Roman" w:eastAsia="仿宋_GB2312" w:cs="Times New Roman"/>
          <w:lang w:eastAsia="zh-CN"/>
        </w:rPr>
        <w:t>。积极运用新媒体</w:t>
      </w:r>
      <w:r>
        <w:rPr>
          <w:rFonts w:hint="eastAsia" w:ascii="Times New Roman" w:hAnsi="Times New Roman" w:eastAsia="仿宋_GB2312" w:cs="Times New Roman"/>
        </w:rPr>
        <w:t>、报纸等媒介主动公开科技领域政府信息，</w:t>
      </w:r>
      <w:r>
        <w:rPr>
          <w:rFonts w:hint="eastAsia" w:ascii="Times New Roman" w:hAnsi="Times New Roman" w:eastAsia="仿宋_GB2312" w:cs="Times New Roman"/>
          <w:lang w:eastAsia="zh-CN"/>
        </w:rPr>
        <w:t>满足企业、群众差异化信息获取需求，提升政策知晓率。线下定期</w:t>
      </w:r>
      <w:r>
        <w:rPr>
          <w:rFonts w:hint="eastAsia" w:ascii="Times New Roman" w:hAnsi="Times New Roman" w:eastAsia="仿宋_GB2312" w:cs="Times New Roman"/>
          <w:lang w:val="en-US" w:eastAsia="zh-CN"/>
        </w:rPr>
        <w:t>举办</w:t>
      </w:r>
      <w:r>
        <w:rPr>
          <w:rFonts w:hint="eastAsia" w:ascii="Times New Roman" w:hAnsi="Times New Roman" w:eastAsia="仿宋_GB2312" w:cs="Times New Roman"/>
          <w:lang w:eastAsia="zh-CN"/>
        </w:rPr>
        <w:t>科技惠企政策解读活动 ，组织业务骨干深入产业园区、企业集群开展面对面政策宣讲，针对高新技术企业认定、科技项目申报等高频需求进行案例式教学，向公众普及科技惠民举措</w:t>
      </w:r>
      <w:r>
        <w:rPr>
          <w:rFonts w:hint="eastAsia" w:ascii="Times New Roman" w:hAnsi="Times New Roman" w:eastAsia="仿宋_GB2312" w:cs="Times New Roman"/>
        </w:rPr>
        <w:t>。</w:t>
      </w:r>
    </w:p>
    <w:p w14:paraId="1573F8DD">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（五）监督保障</w:t>
      </w:r>
    </w:p>
    <w:p w14:paraId="477F4A71">
      <w:pPr>
        <w:spacing w:line="600" w:lineRule="exact"/>
        <w:jc w:val="left"/>
        <w:rPr>
          <w:rFonts w:ascii="黑体" w:hAnsi="黑体" w:eastAsia="黑体"/>
          <w:sz w:val="30"/>
          <w:szCs w:val="30"/>
        </w:rPr>
      </w:pPr>
      <w:r>
        <w:rPr>
          <w:rFonts w:hint="eastAsia" w:ascii="Times New Roman" w:hAnsi="Times New Roman" w:eastAsia="仿宋_GB2312" w:cs="Times New Roman"/>
        </w:rPr>
        <w:t>定期召开专题会议研究部署工作，形成“主要领导亲自抓、分管领导具体抓、责任科室抓落实”的工作格局</w:t>
      </w:r>
      <w:r>
        <w:rPr>
          <w:rFonts w:hint="eastAsia" w:ascii="Times New Roman" w:hAnsi="Times New Roman" w:eastAsia="仿宋_GB2312" w:cs="Times New Roman"/>
          <w:lang w:eastAsia="zh-CN"/>
        </w:rPr>
        <w:t>，</w:t>
      </w:r>
      <w:r>
        <w:rPr>
          <w:rFonts w:hint="eastAsia" w:ascii="Times New Roman" w:hAnsi="Times New Roman" w:eastAsia="仿宋_GB2312" w:cs="Times New Roman"/>
        </w:rPr>
        <w:t>将政务公开纳入科室年度绩效考核，制定量化考核指标，与业务工作同部署、同推进、同考核。明确办公室作为政务公开统筹部门，配备1名专职工作人员承担信息发布、平台运维等全链条工作。制定202</w:t>
      </w:r>
      <w:r>
        <w:rPr>
          <w:rFonts w:hint="eastAsia" w:ascii="Times New Roman" w:hAnsi="Times New Roman" w:eastAsia="仿宋_GB2312" w:cs="Times New Roman"/>
          <w:lang w:val="en-US" w:eastAsia="zh-CN"/>
        </w:rPr>
        <w:t>5</w:t>
      </w:r>
      <w:r>
        <w:rPr>
          <w:rFonts w:hint="eastAsia" w:ascii="Times New Roman" w:hAnsi="Times New Roman" w:eastAsia="仿宋_GB2312" w:cs="Times New Roman"/>
        </w:rPr>
        <w:t>年度政务公开</w:t>
      </w:r>
      <w:r>
        <w:rPr>
          <w:rFonts w:hint="eastAsia" w:ascii="Times New Roman" w:hAnsi="Times New Roman" w:eastAsia="仿宋_GB2312" w:cs="Times New Roman"/>
          <w:lang w:val="en-US" w:eastAsia="zh-CN"/>
        </w:rPr>
        <w:t>培训方案</w:t>
      </w:r>
      <w:r>
        <w:rPr>
          <w:rFonts w:hint="eastAsia" w:ascii="Times New Roman" w:hAnsi="Times New Roman" w:eastAsia="仿宋_GB2312" w:cs="Times New Roman"/>
        </w:rPr>
        <w:t>，采用</w:t>
      </w:r>
      <w:r>
        <w:rPr>
          <w:rFonts w:hint="eastAsia" w:ascii="Times New Roman" w:hAnsi="Times New Roman" w:eastAsia="仿宋_GB2312" w:cs="Times New Roman"/>
          <w:lang w:eastAsia="zh-CN"/>
        </w:rPr>
        <w:t>“</w:t>
      </w:r>
      <w:r>
        <w:rPr>
          <w:rFonts w:hint="eastAsia" w:ascii="Times New Roman" w:hAnsi="Times New Roman" w:eastAsia="仿宋_GB2312" w:cs="Times New Roman"/>
        </w:rPr>
        <w:t>案例剖析+实务操作</w:t>
      </w:r>
      <w:r>
        <w:rPr>
          <w:rFonts w:hint="eastAsia" w:ascii="Times New Roman" w:hAnsi="Times New Roman" w:eastAsia="仿宋_GB2312" w:cs="Times New Roman"/>
          <w:lang w:eastAsia="zh-CN"/>
        </w:rPr>
        <w:t>”</w:t>
      </w:r>
      <w:r>
        <w:rPr>
          <w:rFonts w:hint="eastAsia" w:ascii="Times New Roman" w:hAnsi="Times New Roman" w:eastAsia="仿宋_GB2312" w:cs="Times New Roman"/>
        </w:rPr>
        <w:t>双轨培训模式</w:t>
      </w:r>
      <w:r>
        <w:rPr>
          <w:rFonts w:hint="eastAsia" w:ascii="Times New Roman" w:hAnsi="Times New Roman" w:eastAsia="仿宋_GB2312" w:cs="Times New Roman"/>
          <w:lang w:eastAsia="zh-CN"/>
        </w:rPr>
        <w:t>，</w:t>
      </w:r>
      <w:r>
        <w:rPr>
          <w:rFonts w:hint="eastAsia" w:ascii="Times New Roman" w:hAnsi="Times New Roman" w:eastAsia="仿宋_GB2312" w:cs="Times New Roman"/>
        </w:rPr>
        <w:t>开展政务公开培训</w:t>
      </w:r>
      <w:r>
        <w:rPr>
          <w:rFonts w:hint="eastAsia" w:ascii="Times New Roman" w:hAnsi="Times New Roman" w:eastAsia="仿宋_GB2312" w:cs="Times New Roman"/>
          <w:lang w:val="en-US" w:eastAsia="zh-CN"/>
        </w:rPr>
        <w:t>3</w:t>
      </w:r>
      <w:r>
        <w:rPr>
          <w:rFonts w:hint="eastAsia" w:ascii="Times New Roman" w:hAnsi="Times New Roman" w:eastAsia="仿宋_GB2312" w:cs="Times New Roman"/>
        </w:rPr>
        <w:t>次</w:t>
      </w:r>
      <w:r>
        <w:rPr>
          <w:rFonts w:hint="eastAsia" w:ascii="Times New Roman" w:hAnsi="Times New Roman" w:eastAsia="仿宋_GB2312" w:cs="Times New Roman"/>
          <w:lang w:eastAsia="zh-CN"/>
        </w:rPr>
        <w:t>，</w:t>
      </w:r>
      <w:r>
        <w:rPr>
          <w:rFonts w:hint="eastAsia" w:ascii="Times New Roman" w:hAnsi="Times New Roman" w:eastAsia="仿宋_GB2312" w:cs="Times New Roman"/>
        </w:rPr>
        <w:t>持续强化政务公开工作质效。</w:t>
      </w:r>
    </w:p>
    <w:p w14:paraId="00E78E19">
      <w:pPr>
        <w:spacing w:line="560" w:lineRule="exact"/>
        <w:ind w:firstLine="640" w:firstLineChars="200"/>
        <w:rPr>
          <w:rFonts w:hint="eastAsia" w:ascii="Times New Roman" w:hAnsi="Times New Roman" w:eastAsia="黑体" w:cs="Times New Roman"/>
          <w:szCs w:val="32"/>
        </w:rPr>
      </w:pPr>
    </w:p>
    <w:p w14:paraId="1F690199">
      <w:pPr>
        <w:spacing w:line="560" w:lineRule="exact"/>
        <w:ind w:firstLine="640" w:firstLineChars="200"/>
        <w:rPr>
          <w:rFonts w:hint="eastAsia" w:ascii="Times New Roman" w:hAnsi="Times New Roman" w:eastAsia="黑体" w:cs="Times New Roman"/>
          <w:szCs w:val="32"/>
        </w:rPr>
      </w:pPr>
    </w:p>
    <w:p w14:paraId="40E8A462">
      <w:pPr>
        <w:spacing w:line="560" w:lineRule="exact"/>
        <w:ind w:firstLine="640" w:firstLineChars="200"/>
        <w:rPr>
          <w:rFonts w:hint="eastAsia" w:ascii="Times New Roman" w:hAnsi="Times New Roman" w:eastAsia="黑体" w:cs="Times New Roman"/>
          <w:szCs w:val="32"/>
        </w:rPr>
      </w:pPr>
    </w:p>
    <w:p w14:paraId="72CEBB80">
      <w:pPr>
        <w:spacing w:line="560" w:lineRule="exact"/>
        <w:ind w:firstLine="640" w:firstLineChars="200"/>
        <w:rPr>
          <w:rFonts w:hint="eastAsia" w:ascii="Times New Roman" w:hAnsi="Times New Roman" w:eastAsia="黑体" w:cs="Times New Roman"/>
          <w:szCs w:val="32"/>
        </w:rPr>
      </w:pPr>
    </w:p>
    <w:p w14:paraId="1CA9ADA9">
      <w:pPr>
        <w:spacing w:line="560" w:lineRule="exact"/>
        <w:ind w:firstLine="640" w:firstLineChars="200"/>
        <w:rPr>
          <w:rFonts w:hint="eastAsia" w:ascii="Times New Roman" w:hAnsi="Times New Roman" w:eastAsia="黑体" w:cs="Times New Roman"/>
          <w:szCs w:val="32"/>
        </w:rPr>
      </w:pPr>
    </w:p>
    <w:p w14:paraId="490A7B68">
      <w:pPr>
        <w:spacing w:line="560" w:lineRule="exact"/>
        <w:ind w:firstLine="640" w:firstLineChars="200"/>
        <w:rPr>
          <w:rFonts w:hint="eastAsia" w:ascii="Times New Roman" w:hAnsi="Times New Roman" w:eastAsia="黑体" w:cs="Times New Roman"/>
          <w:szCs w:val="32"/>
        </w:rPr>
      </w:pPr>
    </w:p>
    <w:p w14:paraId="42E3C049">
      <w:pPr>
        <w:spacing w:line="560" w:lineRule="exact"/>
        <w:ind w:firstLine="640" w:firstLineChars="200"/>
        <w:rPr>
          <w:rFonts w:hint="eastAsia" w:ascii="Times New Roman" w:hAnsi="Times New Roman" w:eastAsia="黑体" w:cs="Times New Roman"/>
          <w:szCs w:val="32"/>
        </w:rPr>
      </w:pPr>
    </w:p>
    <w:p w14:paraId="134D44E3">
      <w:pPr>
        <w:spacing w:line="560" w:lineRule="exact"/>
        <w:ind w:firstLine="640" w:firstLineChars="200"/>
        <w:rPr>
          <w:rFonts w:hint="eastAsia" w:ascii="Times New Roman" w:hAnsi="Times New Roman" w:eastAsia="黑体" w:cs="Times New Roman"/>
          <w:szCs w:val="32"/>
        </w:rPr>
      </w:pPr>
    </w:p>
    <w:p w14:paraId="30FBD54E">
      <w:pPr>
        <w:spacing w:line="560" w:lineRule="exact"/>
        <w:ind w:firstLine="640" w:firstLineChars="200"/>
        <w:rPr>
          <w:rFonts w:hint="eastAsia" w:ascii="Times New Roman" w:hAnsi="Times New Roman" w:eastAsia="黑体" w:cs="Times New Roman"/>
          <w:szCs w:val="32"/>
        </w:rPr>
      </w:pPr>
    </w:p>
    <w:p w14:paraId="6203A1D8">
      <w:pPr>
        <w:spacing w:line="560" w:lineRule="exact"/>
        <w:ind w:firstLine="640" w:firstLineChars="200"/>
        <w:rPr>
          <w:rFonts w:hint="eastAsia" w:ascii="Times New Roman" w:hAnsi="Times New Roman" w:eastAsia="黑体" w:cs="Times New Roman"/>
          <w:szCs w:val="32"/>
        </w:rPr>
      </w:pPr>
    </w:p>
    <w:p w14:paraId="4BE75F38">
      <w:pPr>
        <w:spacing w:line="560" w:lineRule="exact"/>
        <w:ind w:firstLine="640" w:firstLineChars="200"/>
        <w:rPr>
          <w:rFonts w:hint="eastAsia" w:ascii="Times New Roman" w:hAnsi="Times New Roman" w:eastAsia="黑体" w:cs="Times New Roman"/>
          <w:szCs w:val="32"/>
        </w:rPr>
      </w:pPr>
    </w:p>
    <w:p w14:paraId="7D733D92">
      <w:pPr>
        <w:spacing w:line="560" w:lineRule="exact"/>
        <w:ind w:firstLine="640" w:firstLineChars="200"/>
        <w:rPr>
          <w:rFonts w:hint="eastAsia" w:ascii="Times New Roman" w:hAnsi="Times New Roman" w:eastAsia="黑体" w:cs="Times New Roman"/>
          <w:szCs w:val="32"/>
        </w:rPr>
      </w:pPr>
    </w:p>
    <w:p w14:paraId="57528B27">
      <w:pPr>
        <w:spacing w:line="560" w:lineRule="exact"/>
        <w:ind w:firstLine="640" w:firstLineChars="200"/>
        <w:rPr>
          <w:rFonts w:hint="eastAsia" w:ascii="Times New Roman" w:hAnsi="Times New Roman" w:eastAsia="黑体" w:cs="Times New Roman"/>
          <w:szCs w:val="32"/>
        </w:rPr>
      </w:pPr>
    </w:p>
    <w:p w14:paraId="0D680D48">
      <w:pPr>
        <w:spacing w:line="560" w:lineRule="exact"/>
        <w:ind w:firstLine="640" w:firstLineChars="200"/>
        <w:rPr>
          <w:rFonts w:hint="eastAsia" w:ascii="Times New Roman" w:hAnsi="Times New Roman" w:eastAsia="黑体" w:cs="Times New Roman"/>
          <w:szCs w:val="32"/>
        </w:rPr>
      </w:pPr>
    </w:p>
    <w:p w14:paraId="17273943">
      <w:pPr>
        <w:spacing w:line="560" w:lineRule="exact"/>
        <w:ind w:firstLine="640" w:firstLineChars="200"/>
        <w:rPr>
          <w:rFonts w:hint="eastAsia" w:ascii="Times New Roman" w:hAnsi="Times New Roman" w:eastAsia="黑体" w:cs="Times New Roman"/>
          <w:szCs w:val="32"/>
        </w:rPr>
      </w:pPr>
    </w:p>
    <w:p w14:paraId="78C01F48">
      <w:pPr>
        <w:spacing w:line="560" w:lineRule="exact"/>
        <w:ind w:firstLine="640" w:firstLineChars="200"/>
        <w:rPr>
          <w:rFonts w:hint="eastAsia" w:ascii="Times New Roman" w:hAnsi="Times New Roman" w:eastAsia="黑体" w:cs="Times New Roman"/>
          <w:szCs w:val="32"/>
        </w:rPr>
      </w:pPr>
    </w:p>
    <w:p w14:paraId="3E8AC032">
      <w:pPr>
        <w:spacing w:line="560" w:lineRule="exact"/>
        <w:ind w:firstLine="640" w:firstLineChars="200"/>
        <w:rPr>
          <w:rFonts w:hint="eastAsia" w:ascii="Times New Roman" w:hAnsi="Times New Roman" w:eastAsia="黑体" w:cs="Times New Roman"/>
          <w:szCs w:val="32"/>
        </w:rPr>
      </w:pPr>
    </w:p>
    <w:p w14:paraId="0072B69A">
      <w:pPr>
        <w:spacing w:line="560" w:lineRule="exact"/>
        <w:ind w:firstLine="640" w:firstLineChars="200"/>
        <w:rPr>
          <w:rFonts w:hint="eastAsia" w:ascii="Times New Roman" w:hAnsi="Times New Roman" w:eastAsia="黑体" w:cs="Times New Roman"/>
          <w:szCs w:val="32"/>
        </w:rPr>
      </w:pPr>
    </w:p>
    <w:p w14:paraId="2024D399">
      <w:pPr>
        <w:spacing w:line="560" w:lineRule="exact"/>
        <w:ind w:firstLine="640" w:firstLineChars="200"/>
        <w:rPr>
          <w:rFonts w:hint="eastAsia" w:ascii="Times New Roman" w:hAnsi="Times New Roman" w:eastAsia="黑体" w:cs="Times New Roman"/>
          <w:szCs w:val="32"/>
        </w:rPr>
      </w:pPr>
    </w:p>
    <w:p w14:paraId="0ED6CFF7">
      <w:pPr>
        <w:spacing w:line="560" w:lineRule="exact"/>
        <w:ind w:firstLine="640" w:firstLineChars="200"/>
        <w:rPr>
          <w:rFonts w:hint="eastAsia" w:ascii="Times New Roman" w:hAnsi="Times New Roman" w:eastAsia="黑体" w:cs="Times New Roman"/>
          <w:szCs w:val="32"/>
        </w:rPr>
      </w:pPr>
    </w:p>
    <w:p w14:paraId="7D9E3B38">
      <w:pPr>
        <w:spacing w:line="560" w:lineRule="exact"/>
        <w:ind w:firstLine="640" w:firstLineChars="200"/>
        <w:rPr>
          <w:rFonts w:ascii="Times New Roman" w:hAnsi="Times New Roman" w:eastAsia="黑体" w:cs="Times New Roman"/>
          <w:szCs w:val="32"/>
        </w:rPr>
      </w:pPr>
      <w:r>
        <w:rPr>
          <w:rFonts w:hint="eastAsia" w:ascii="Times New Roman" w:hAnsi="Times New Roman" w:eastAsia="黑体" w:cs="Times New Roman"/>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4893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D180B6F">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14:paraId="5212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21ACA86">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1801F225">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07D0C8DB">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4A98E9E8">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0538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EB3C7EE">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3130EE8C">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182B570D">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315A19AE">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r w14:paraId="6D4E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F0DEBFE">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7E11EB7C">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2AC1E11F">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2DA7E10A">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r w14:paraId="0619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59E70BC">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510C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B1E4BE9">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203E6065">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1098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7A074EE">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1AEB68FD">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05EC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A17C1C8">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693B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8BB1216">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016A656D">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785C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422D47F">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3F956C27">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7CD9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651F0EB">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174FEBB8">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1E81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3F43AF00">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7E15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6FA3BC2">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742CECE7">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14:paraId="0815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74BC876">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522173BA">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bl>
    <w:p w14:paraId="336339FF">
      <w:pPr>
        <w:spacing w:line="240" w:lineRule="auto"/>
        <w:ind w:firstLine="0"/>
        <w:rPr>
          <w:rFonts w:ascii="黑体" w:hAnsi="黑体" w:eastAsia="黑体"/>
          <w:sz w:val="30"/>
          <w:szCs w:val="30"/>
        </w:rPr>
      </w:pPr>
    </w:p>
    <w:p w14:paraId="1900DC52">
      <w:pPr>
        <w:spacing w:line="240" w:lineRule="auto"/>
        <w:ind w:firstLine="0"/>
        <w:rPr>
          <w:rFonts w:ascii="黑体" w:hAnsi="黑体" w:eastAsia="黑体"/>
          <w:sz w:val="30"/>
          <w:szCs w:val="30"/>
        </w:rPr>
      </w:pPr>
    </w:p>
    <w:p w14:paraId="36173385">
      <w:pPr>
        <w:spacing w:line="240" w:lineRule="auto"/>
        <w:ind w:firstLine="0"/>
        <w:rPr>
          <w:rFonts w:ascii="黑体" w:hAnsi="黑体" w:eastAsia="黑体"/>
          <w:sz w:val="30"/>
          <w:szCs w:val="30"/>
        </w:rPr>
      </w:pPr>
    </w:p>
    <w:p w14:paraId="5714D26D">
      <w:pPr>
        <w:spacing w:line="240" w:lineRule="auto"/>
        <w:ind w:firstLine="0"/>
        <w:rPr>
          <w:rFonts w:ascii="黑体" w:hAnsi="黑体" w:eastAsia="黑体"/>
          <w:sz w:val="30"/>
          <w:szCs w:val="30"/>
        </w:rPr>
      </w:pPr>
    </w:p>
    <w:p w14:paraId="5E19E69E">
      <w:pPr>
        <w:spacing w:line="240" w:lineRule="auto"/>
        <w:ind w:firstLine="0"/>
        <w:rPr>
          <w:rFonts w:ascii="黑体" w:hAnsi="黑体" w:eastAsia="黑体"/>
          <w:sz w:val="30"/>
          <w:szCs w:val="30"/>
        </w:rPr>
      </w:pPr>
    </w:p>
    <w:p w14:paraId="7D13F2B1">
      <w:pPr>
        <w:spacing w:line="240" w:lineRule="auto"/>
        <w:ind w:firstLine="0"/>
        <w:rPr>
          <w:rFonts w:ascii="黑体" w:hAnsi="黑体" w:eastAsia="黑体"/>
          <w:sz w:val="30"/>
          <w:szCs w:val="30"/>
        </w:rPr>
      </w:pPr>
    </w:p>
    <w:p w14:paraId="0EFC5FF5">
      <w:pPr>
        <w:spacing w:line="240" w:lineRule="auto"/>
        <w:ind w:firstLine="0"/>
        <w:rPr>
          <w:rFonts w:ascii="黑体" w:hAnsi="黑体" w:eastAsia="黑体"/>
          <w:sz w:val="30"/>
          <w:szCs w:val="30"/>
        </w:rPr>
      </w:pPr>
    </w:p>
    <w:p w14:paraId="3E16D8CB">
      <w:pPr>
        <w:spacing w:line="240" w:lineRule="auto"/>
        <w:ind w:firstLine="0"/>
        <w:rPr>
          <w:rFonts w:ascii="黑体" w:hAnsi="黑体" w:eastAsia="黑体"/>
          <w:sz w:val="30"/>
          <w:szCs w:val="30"/>
        </w:rPr>
      </w:pPr>
    </w:p>
    <w:p w14:paraId="240F0683">
      <w:pPr>
        <w:spacing w:line="240" w:lineRule="auto"/>
        <w:ind w:firstLine="0"/>
        <w:rPr>
          <w:rFonts w:ascii="黑体" w:hAnsi="黑体" w:eastAsia="黑体"/>
          <w:sz w:val="30"/>
          <w:szCs w:val="30"/>
        </w:rPr>
      </w:pPr>
    </w:p>
    <w:p w14:paraId="22EC1D7B">
      <w:pPr>
        <w:spacing w:line="240" w:lineRule="auto"/>
        <w:ind w:firstLine="0"/>
        <w:rPr>
          <w:rFonts w:ascii="黑体" w:hAnsi="黑体" w:eastAsia="黑体"/>
          <w:sz w:val="30"/>
          <w:szCs w:val="30"/>
        </w:rPr>
      </w:pPr>
      <w:bookmarkStart w:id="0" w:name="_GoBack"/>
      <w:bookmarkEnd w:id="0"/>
    </w:p>
    <w:p w14:paraId="1FAC9A65">
      <w:pPr>
        <w:spacing w:line="560" w:lineRule="exact"/>
        <w:ind w:firstLine="640" w:firstLineChars="200"/>
        <w:rPr>
          <w:rFonts w:ascii="黑体" w:hAnsi="黑体" w:eastAsia="黑体"/>
          <w:szCs w:val="32"/>
        </w:rPr>
      </w:pPr>
      <w:r>
        <w:rPr>
          <w:rFonts w:hint="eastAsia" w:ascii="Times New Roman" w:hAnsi="Times New Roman" w:eastAsia="黑体" w:cs="Times New Roman"/>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598BEAD7">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4ACCB343">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FE3D88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0ADD3F2F">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5E13376">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2F02D74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8FA5F6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417A9ED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3DDDB273">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0B2E441">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36B94814">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8A0CF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506ECBE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FB4B7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379AE52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DA6E13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07C049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4D12AA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4A8FE556">
            <w:pPr>
              <w:widowControl/>
              <w:autoSpaceDE/>
              <w:autoSpaceDN/>
              <w:snapToGrid/>
              <w:spacing w:line="240" w:lineRule="auto"/>
              <w:ind w:firstLine="0"/>
              <w:jc w:val="left"/>
              <w:rPr>
                <w:rFonts w:ascii="宋体" w:hAnsi="宋体" w:eastAsia="宋体" w:cs="宋体"/>
                <w:snapToGrid/>
                <w:sz w:val="24"/>
                <w:szCs w:val="24"/>
              </w:rPr>
            </w:pPr>
          </w:p>
        </w:tc>
      </w:tr>
      <w:tr w14:paraId="5EAAC801">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05596B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1A0894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FAE31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020F2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C420C4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BFBFCF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51D8D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F628F2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5855DFA3">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E03805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E8D3E">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545F85">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A6693F">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B76DC1">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1343A">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E7F219">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5BD597">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46234384">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52F4B55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22498D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BA3936">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BD60FF">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4665AA">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AAA14E">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ACF838">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59FDFB">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F682C5">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029298B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E03FD0C">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616A51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9C40FC">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330EEE">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89A0B9">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445548">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F2580B">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B03372">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52596A">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63E975B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72A322">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4CC68C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627B34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7A12A5">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13570D">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330630">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509BDC">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F44DAF">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2A811">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4EA543">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5BB4829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0B2F7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581153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B59563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C912E9">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C12B87">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6DFCAC">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5FF2D6">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A951FD">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BAE13F">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881E40">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4A68539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4764DB">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3B1354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4E32F2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6161A6">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039BAE">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457222">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0027A3">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EDA305">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23E0D3">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540698">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56DFEAD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7A9ED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58E53D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85FA93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00A8F5">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4E2932">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63BA6A">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B17CC6">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24FD2D">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E5D0F2">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ADA35D">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0F24E54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63F5D5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9C52E21">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3D1A46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EBDFA7">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3CE0C6">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7B7026">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5B568B">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B09F50">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6BCF1C">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3E54A7">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193DF85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C510E3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4DCF9DE">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59B830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7CFF97">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93F563">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5C69DB">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41AC0C">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AE7E20">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7AAF12">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E940A1">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552B1C4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5E65E3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F5F98D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628408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13DC81">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0B5F6">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E0FC3A">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589177">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CD1BB">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9AD190">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14ECF2">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52AE333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6E985C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5129688">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37F9FE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65F966">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7BB966">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A2C97C">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0C8AC6">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356DAA">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C7252D">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387367">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3F8A45F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2F0ABCD">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931865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19DB39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E7B754">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EF46B3">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6A6B4D">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BB5171">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B84655">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474F57">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E8F1DF">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4552B13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A4E9C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A124D2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39997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E42C81">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3BA7DE">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65F758">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B3EA08">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F4A44F">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AA7FE1">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BD962F">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7DEDD67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6780726">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CD548CA">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89C432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F7A3C8">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689D3A">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B93A0A">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209381">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21297B">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153D7">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060B32">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648FDCB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A7A24E4">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AEA26F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1A0888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FFAAC0">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3B04E3">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0B8AEA">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ACD24C">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951B02">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59218A">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BF22B">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1A4669F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0A9F25B">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8B3EE7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111617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5DB07A">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2E762E">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A45F09">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5D7C0A">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26F1D5">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F929F8">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C3B30F">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588C41C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E804A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48096B3">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9FF53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52DE75">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4B5AE3">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919CF8">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3EB1CC">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738907">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F2E257">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FE87C6">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00489EC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C2F83E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D7B8E6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4D7E10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95BE7A">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3A5C7A">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51B475">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CD4567">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C2ED4A">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81ACD2">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6E6BED">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4EA08AC2">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0C8F098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43D618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19F10097">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1431A695">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097A9E89">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3F673F0F">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7A5E284B">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25370BC4">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3291B5AE">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3731A24D">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7F46F40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35B24B1">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7363DCD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949DA96">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9C8B9D">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C7FC4C">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12D695">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F31B7C">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9F0358">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A301AE">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424E4F">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2F6DBB7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7F9549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3A4094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30022F3">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92384">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E75FF1">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ADB731">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0B3A0B">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EAB40">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CF3F26">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00FB76">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15EE250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87879D7">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18E1FE14">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72D7F1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1C9FF4">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CE29A0">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254904">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A1A13F">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40F66D">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94A4AA">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25C0D6">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76E930F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12C8367">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864711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1B7802">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0EA98E">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1B0D22">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B9263B">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E59483">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D4EAA4">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034F5D">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r w14:paraId="7C3B26AB">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D16596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8BC557">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DB7D15">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1AF360">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08437D">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464CD5">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5EBCE4">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86E445">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r>
    </w:tbl>
    <w:p w14:paraId="3EAD45D9">
      <w:pPr>
        <w:spacing w:line="240" w:lineRule="auto"/>
        <w:ind w:firstLine="600" w:firstLineChars="200"/>
        <w:rPr>
          <w:rFonts w:ascii="黑体" w:hAnsi="黑体" w:eastAsia="黑体"/>
          <w:sz w:val="30"/>
          <w:szCs w:val="30"/>
        </w:rPr>
      </w:pPr>
    </w:p>
    <w:p w14:paraId="5CBEC10C">
      <w:pPr>
        <w:spacing w:line="560" w:lineRule="exact"/>
        <w:ind w:firstLine="640" w:firstLineChars="200"/>
        <w:rPr>
          <w:rFonts w:ascii="Times New Roman" w:hAnsi="Times New Roman" w:eastAsia="黑体" w:cs="Times New Roman"/>
          <w:szCs w:val="32"/>
        </w:rPr>
      </w:pPr>
      <w:r>
        <w:rPr>
          <w:rFonts w:hint="eastAsia" w:ascii="Times New Roman" w:hAnsi="Times New Roman" w:eastAsia="黑体" w:cs="Times New Roman"/>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358DF3D">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39E34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30639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0CA0232F">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AD531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A2E00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48A59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B91B2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892CF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64166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90B47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042B2DF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F1A381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17C1B83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0CED13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125241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3E28852F">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618AB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73344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11EE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9E1CA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1D3DB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9C245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49A07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BE68F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89D45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16098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3D2AF32A">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66694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10F4D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2D6A2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32E82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5A84D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A2EB9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08452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DBFC7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33D9E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DA416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77E1A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C4F8A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04F48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92D11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7F4CA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r>
    </w:tbl>
    <w:p w14:paraId="6A724074">
      <w:pPr>
        <w:spacing w:line="240" w:lineRule="auto"/>
        <w:ind w:firstLine="640" w:firstLineChars="200"/>
        <w:rPr>
          <w:rFonts w:ascii="黑体" w:hAnsi="黑体" w:eastAsia="黑体"/>
          <w:szCs w:val="32"/>
        </w:rPr>
      </w:pPr>
    </w:p>
    <w:p w14:paraId="3C86A5A1">
      <w:pPr>
        <w:spacing w:line="560" w:lineRule="exact"/>
        <w:ind w:firstLine="640" w:firstLineChars="200"/>
        <w:rPr>
          <w:rFonts w:ascii="Times New Roman" w:hAnsi="Times New Roman" w:eastAsia="黑体" w:cs="Times New Roman"/>
          <w:szCs w:val="32"/>
        </w:rPr>
      </w:pPr>
      <w:r>
        <w:rPr>
          <w:rFonts w:hint="eastAsia" w:ascii="Times New Roman" w:hAnsi="Times New Roman" w:eastAsia="黑体" w:cs="Times New Roman"/>
          <w:szCs w:val="32"/>
        </w:rPr>
        <w:t>五、存在的主要问题及改进情况</w:t>
      </w:r>
    </w:p>
    <w:p w14:paraId="3CBE84D6">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（一）存在问题</w:t>
      </w:r>
    </w:p>
    <w:p w14:paraId="3BC4E20A">
      <w:pPr>
        <w:spacing w:line="560" w:lineRule="exact"/>
        <w:ind w:firstLine="640" w:firstLineChars="200"/>
        <w:rPr>
          <w:rFonts w:hint="eastAsia" w:ascii="Times New Roman" w:hAnsi="Times New Roman" w:eastAsia="仿宋_GB2312" w:cs="Times New Roman"/>
        </w:rPr>
      </w:pPr>
      <w:r>
        <w:rPr>
          <w:rFonts w:hint="eastAsia" w:ascii="Times New Roman" w:hAnsi="Times New Roman" w:eastAsia="仿宋_GB2312" w:cs="Times New Roman"/>
        </w:rPr>
        <w:t>一是</w:t>
      </w:r>
      <w:r>
        <w:rPr>
          <w:rFonts w:hint="eastAsia" w:ascii="Times New Roman" w:hAnsi="Times New Roman" w:eastAsia="仿宋_GB2312" w:cs="Times New Roman"/>
          <w:lang w:val="en-US" w:eastAsia="zh-CN"/>
        </w:rPr>
        <w:t>监督机制不健全。科室对政务公开工作重视不足，信息报送质量参差不齐，部分科室存在“应公开未公开”的拖延现象。</w:t>
      </w:r>
    </w:p>
    <w:p w14:paraId="758970C6">
      <w:pPr>
        <w:spacing w:line="56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lang w:eastAsia="zh-CN"/>
        </w:rPr>
        <w:t>二是专业力量配置薄弱。政务公开专职人员存在身兼多岗情况，业务精力投入分散，对政策解读、依申请答复等专业领域的研究深度不足。</w:t>
      </w:r>
    </w:p>
    <w:p w14:paraId="5F7101AE">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（二）改进情况</w:t>
      </w:r>
    </w:p>
    <w:p w14:paraId="3E5D0726">
      <w:pPr>
        <w:spacing w:line="560" w:lineRule="exact"/>
        <w:ind w:firstLine="640" w:firstLineChars="200"/>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一是建立动态督办机制。</w:t>
      </w:r>
      <w:r>
        <w:rPr>
          <w:rFonts w:hint="eastAsia" w:ascii="Times New Roman" w:hAnsi="Times New Roman" w:eastAsia="仿宋_GB2312" w:cs="Times New Roman"/>
          <w:lang w:val="en-US" w:eastAsia="zh-CN"/>
        </w:rPr>
        <w:t>建立</w:t>
      </w:r>
      <w:r>
        <w:rPr>
          <w:rFonts w:hint="eastAsia" w:ascii="Times New Roman" w:hAnsi="Times New Roman" w:eastAsia="仿宋_GB2312" w:cs="Times New Roman"/>
          <w:lang w:eastAsia="zh-CN"/>
        </w:rPr>
        <w:t>“政务公开督办台账”，对信息报送超时、应公开未公开等情况</w:t>
      </w:r>
      <w:r>
        <w:rPr>
          <w:rFonts w:hint="eastAsia" w:ascii="Times New Roman" w:hAnsi="Times New Roman" w:eastAsia="仿宋_GB2312" w:cs="Times New Roman"/>
          <w:lang w:val="en-US" w:eastAsia="zh-CN"/>
        </w:rPr>
        <w:t>进行重点</w:t>
      </w:r>
      <w:r>
        <w:rPr>
          <w:rFonts w:hint="eastAsia" w:ascii="Times New Roman" w:hAnsi="Times New Roman" w:eastAsia="仿宋_GB2312" w:cs="Times New Roman"/>
          <w:lang w:eastAsia="zh-CN"/>
        </w:rPr>
        <w:t>标记</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lang w:eastAsia="zh-CN"/>
        </w:rPr>
        <w:t>每季度由办公室牵头开展考核评分</w:t>
      </w:r>
      <w:r>
        <w:rPr>
          <w:rFonts w:hint="eastAsia" w:ascii="Times New Roman" w:hAnsi="Times New Roman" w:eastAsia="仿宋_GB2312" w:cs="Times New Roman"/>
          <w:lang w:val="en-US" w:eastAsia="zh-CN"/>
        </w:rPr>
        <w:t>。</w:t>
      </w:r>
    </w:p>
    <w:p w14:paraId="540B7E45">
      <w:pPr>
        <w:spacing w:line="56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lang w:eastAsia="zh-CN"/>
        </w:rPr>
        <w:t>二是强化专职队伍建设。实施“1+N”制度，各科室指定1名业务骨干协助信息维护，每季度开展依申请答复模拟演练与政策解读能力考核。</w:t>
      </w:r>
    </w:p>
    <w:p w14:paraId="1F0E6F99">
      <w:pPr>
        <w:spacing w:line="560" w:lineRule="exact"/>
        <w:ind w:firstLine="640" w:firstLineChars="200"/>
        <w:rPr>
          <w:rFonts w:ascii="Times New Roman" w:hAnsi="Times New Roman" w:eastAsia="黑体" w:cs="Times New Roman"/>
          <w:szCs w:val="32"/>
        </w:rPr>
      </w:pPr>
      <w:r>
        <w:rPr>
          <w:rFonts w:hint="eastAsia" w:ascii="Times New Roman" w:hAnsi="Times New Roman" w:eastAsia="黑体" w:cs="Times New Roman"/>
          <w:szCs w:val="32"/>
        </w:rPr>
        <w:t>六、其他需要报告的事项</w:t>
      </w:r>
    </w:p>
    <w:p w14:paraId="1FFD8BEC">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（一）政府信息公开信息处理费收取情况</w:t>
      </w:r>
    </w:p>
    <w:p w14:paraId="32873F73">
      <w:pPr>
        <w:spacing w:line="56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hint="eastAsia" w:ascii="Times New Roman" w:hAnsi="Times New Roman" w:eastAsia="仿宋_GB2312" w:cs="Times New Roman"/>
          <w:lang w:val="en-US" w:eastAsia="zh-CN"/>
        </w:rPr>
        <w:t>5</w:t>
      </w:r>
      <w:r>
        <w:rPr>
          <w:rFonts w:hint="eastAsia" w:ascii="Times New Roman" w:hAnsi="Times New Roman" w:eastAsia="仿宋_GB2312" w:cs="Times New Roman"/>
        </w:rPr>
        <w:t>年本机关依申请公开政府信息未收取任何费用。</w:t>
      </w:r>
    </w:p>
    <w:p w14:paraId="45179C8A">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（二）落实上级年度政务公开工作要点情况</w:t>
      </w:r>
    </w:p>
    <w:p w14:paraId="4CB91875">
      <w:pPr>
        <w:spacing w:line="56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rPr>
        <w:t>严格落实国家和省市县政务公开工作要点，并根据《高青县人民政府办公室关于印发202</w:t>
      </w:r>
      <w:r>
        <w:rPr>
          <w:rFonts w:hint="eastAsia" w:ascii="Times New Roman" w:hAnsi="Times New Roman" w:eastAsia="仿宋_GB2312" w:cs="Times New Roman"/>
          <w:lang w:val="en-US" w:eastAsia="zh-CN"/>
        </w:rPr>
        <w:t>5</w:t>
      </w:r>
      <w:r>
        <w:rPr>
          <w:rFonts w:hint="eastAsia" w:ascii="Times New Roman" w:hAnsi="Times New Roman" w:eastAsia="仿宋_GB2312" w:cs="Times New Roman"/>
        </w:rPr>
        <w:t>年高青县政务公开工作方案的通知》要求，制定了《高青县</w:t>
      </w:r>
      <w:r>
        <w:rPr>
          <w:rFonts w:hint="eastAsia" w:ascii="Times New Roman" w:hAnsi="Times New Roman" w:eastAsia="仿宋_GB2312" w:cs="Times New Roman"/>
          <w:lang w:val="en-US" w:eastAsia="zh-CN"/>
        </w:rPr>
        <w:t>科学技术</w:t>
      </w:r>
      <w:r>
        <w:rPr>
          <w:rFonts w:hint="eastAsia" w:ascii="Times New Roman" w:hAnsi="Times New Roman" w:eastAsia="仿宋_GB2312" w:cs="Times New Roman"/>
        </w:rPr>
        <w:t>局政务公开工作方案》，明确了重点任务、工作标准和完成时限。</w:t>
      </w:r>
      <w:r>
        <w:rPr>
          <w:rFonts w:hint="eastAsia" w:ascii="Times New Roman" w:hAnsi="Times New Roman" w:eastAsia="仿宋_GB2312" w:cs="Times New Roman"/>
          <w:lang w:eastAsia="zh-CN"/>
        </w:rPr>
        <w:t>一是以理念革新引领科技惠企政策公开。立足科技创新服务</w:t>
      </w:r>
      <w:r>
        <w:rPr>
          <w:rFonts w:hint="eastAsia" w:ascii="Times New Roman" w:hAnsi="Times New Roman" w:eastAsia="仿宋_GB2312" w:cs="Times New Roman"/>
          <w:lang w:val="en-US" w:eastAsia="zh-CN"/>
        </w:rPr>
        <w:t>县域</w:t>
      </w:r>
      <w:r>
        <w:rPr>
          <w:rFonts w:hint="eastAsia" w:ascii="Times New Roman" w:hAnsi="Times New Roman" w:eastAsia="仿宋_GB2312" w:cs="Times New Roman"/>
          <w:lang w:eastAsia="zh-CN"/>
        </w:rPr>
        <w:t>经济核心导向，将公开理念深度融入惠企政策全生命周期，聚焦政策制定、解读、兑现等关键环节，优化公开逻辑与呈现形式，推动政策信息从“单向发布”向“双向互动”转变，坚持以企业需求为导向，系统整合各级政策资源，构建标准化、可视化的政策公开框架，通过多元传播矩阵打通政策落地堵点，以公开促进政策知晓率与兑现率双提升，让科技红利更高效赋能市场主体创新发展。二是推动科技项目公开规范化。将政务公开嵌入科技项目管理全流程，秉持“阳光审批、规范监管”理念，建立健全项目申报、评审、实施、验收等各环节公开机制，明确公开范围与标准，确保项目管理各节点信息可查可溯，营造公平公正的创新环境。三</w:t>
      </w:r>
      <w:r>
        <w:rPr>
          <w:rFonts w:hint="eastAsia" w:ascii="Times New Roman" w:hAnsi="Times New Roman" w:eastAsia="仿宋_GB2312" w:cs="Times New Roman"/>
        </w:rPr>
        <w:t>是深化</w:t>
      </w:r>
      <w:r>
        <w:rPr>
          <w:rFonts w:hint="eastAsia" w:ascii="Times New Roman" w:hAnsi="Times New Roman" w:eastAsia="仿宋_GB2312" w:cs="Times New Roman"/>
          <w:lang w:val="en-US" w:eastAsia="zh-CN"/>
        </w:rPr>
        <w:t>科技创新信息</w:t>
      </w:r>
      <w:r>
        <w:rPr>
          <w:rFonts w:hint="eastAsia" w:ascii="Times New Roman" w:hAnsi="Times New Roman" w:eastAsia="仿宋_GB2312" w:cs="Times New Roman"/>
        </w:rPr>
        <w:t>公开。秉持“普惠共享、全民参与”理念，鼓励企业、科研人员、群众建言献策，推动</w:t>
      </w:r>
      <w:r>
        <w:rPr>
          <w:rFonts w:hint="eastAsia" w:ascii="Times New Roman" w:hAnsi="Times New Roman" w:eastAsia="仿宋_GB2312" w:cs="Times New Roman"/>
          <w:lang w:val="en-US" w:eastAsia="zh-CN"/>
        </w:rPr>
        <w:t>科技创新</w:t>
      </w:r>
      <w:r>
        <w:rPr>
          <w:rFonts w:hint="eastAsia" w:ascii="Times New Roman" w:hAnsi="Times New Roman" w:eastAsia="仿宋_GB2312" w:cs="Times New Roman"/>
        </w:rPr>
        <w:t>服务从“单点供给”向“系统服务”转变</w:t>
      </w:r>
      <w:r>
        <w:rPr>
          <w:rFonts w:hint="eastAsia" w:ascii="Times New Roman" w:hAnsi="Times New Roman" w:eastAsia="仿宋_GB2312" w:cs="Times New Roman"/>
          <w:lang w:eastAsia="zh-CN"/>
        </w:rPr>
        <w:t>，</w:t>
      </w:r>
      <w:r>
        <w:rPr>
          <w:rFonts w:hint="eastAsia" w:ascii="Times New Roman" w:hAnsi="Times New Roman" w:eastAsia="仿宋_GB2312" w:cs="Times New Roman"/>
        </w:rPr>
        <w:t>为县域科技创新发展厚植社会基础。</w:t>
      </w:r>
      <w:r>
        <w:rPr>
          <w:rFonts w:hint="eastAsia" w:ascii="Times New Roman" w:hAnsi="Times New Roman" w:eastAsia="仿宋_GB2312" w:cs="Times New Roman"/>
          <w:lang w:eastAsia="zh-CN"/>
        </w:rPr>
        <w:t>四是创新政策宣讲场景。</w:t>
      </w:r>
      <w:r>
        <w:rPr>
          <w:rFonts w:hint="eastAsia" w:ascii="Times New Roman" w:hAnsi="Times New Roman" w:eastAsia="仿宋_GB2312" w:cs="Times New Roman"/>
          <w:lang w:val="en-US" w:eastAsia="zh-CN"/>
        </w:rPr>
        <w:t>构建“政策宣贯—需求匹配—跟踪问效”全流程服务体系，全力推动惠企政策直达快享，围绕科技型企业梯次培育、研发费用归集、校企合作创新、科技成果转化等内容，为企业提供立体化精准滴灌服务，推动政务公开服务向基层延伸。</w:t>
      </w:r>
    </w:p>
    <w:p w14:paraId="258A9A46">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（三）人大代表建议和政协委员提案办理结果公开情况</w:t>
      </w:r>
    </w:p>
    <w:p w14:paraId="7F4F31F4">
      <w:pPr>
        <w:spacing w:line="560" w:lineRule="exact"/>
        <w:ind w:firstLine="640" w:firstLineChars="200"/>
        <w:rPr>
          <w:rFonts w:hint="eastAsia" w:ascii="Times New Roman" w:hAnsi="Times New Roman" w:eastAsia="仿宋_GB2312" w:cs="Times New Roman"/>
        </w:rPr>
      </w:pPr>
      <w:r>
        <w:rPr>
          <w:rFonts w:hint="eastAsia" w:ascii="Times New Roman" w:hAnsi="Times New Roman" w:eastAsia="仿宋_GB2312" w:cs="Times New Roman"/>
        </w:rPr>
        <w:t>202</w:t>
      </w:r>
      <w:r>
        <w:rPr>
          <w:rFonts w:hint="eastAsia" w:ascii="Times New Roman" w:hAnsi="Times New Roman" w:eastAsia="仿宋_GB2312" w:cs="Times New Roman"/>
          <w:lang w:val="en-US" w:eastAsia="zh-CN"/>
        </w:rPr>
        <w:t>5</w:t>
      </w:r>
      <w:r>
        <w:rPr>
          <w:rFonts w:hint="eastAsia" w:ascii="Times New Roman" w:hAnsi="Times New Roman" w:eastAsia="仿宋_GB2312" w:cs="Times New Roman"/>
        </w:rPr>
        <w:t>年共承办县政协十五届</w:t>
      </w:r>
      <w:r>
        <w:rPr>
          <w:rFonts w:hint="eastAsia" w:ascii="Times New Roman" w:hAnsi="Times New Roman" w:eastAsia="仿宋_GB2312" w:cs="Times New Roman"/>
          <w:lang w:val="en-US" w:eastAsia="zh-CN"/>
        </w:rPr>
        <w:t>四</w:t>
      </w:r>
      <w:r>
        <w:rPr>
          <w:rFonts w:hint="eastAsia" w:ascii="Times New Roman" w:hAnsi="Times New Roman" w:eastAsia="仿宋_GB2312" w:cs="Times New Roman"/>
        </w:rPr>
        <w:t>次会议提案</w:t>
      </w:r>
      <w:r>
        <w:rPr>
          <w:rFonts w:hint="eastAsia" w:ascii="Times New Roman" w:hAnsi="Times New Roman" w:eastAsia="仿宋_GB2312" w:cs="Times New Roman"/>
          <w:lang w:val="en-US" w:eastAsia="zh-CN"/>
        </w:rPr>
        <w:t>5</w:t>
      </w:r>
      <w:r>
        <w:rPr>
          <w:rFonts w:hint="eastAsia" w:ascii="Times New Roman" w:hAnsi="Times New Roman" w:eastAsia="仿宋_GB2312" w:cs="Times New Roman"/>
        </w:rPr>
        <w:t>件，办复率均为100%。除涉及国家秘密、工作秘密的，所有建议提案办理复文或摘要以及办理总体情况均在县政府门户网站建议提案办理专题中予以公开。</w:t>
      </w:r>
    </w:p>
    <w:p w14:paraId="1D57FFC9">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（四）政务公开工作创新情况</w:t>
      </w:r>
    </w:p>
    <w:p w14:paraId="0AD045F7">
      <w:pPr>
        <w:spacing w:line="560" w:lineRule="exact"/>
        <w:ind w:firstLine="640" w:firstLineChars="200"/>
        <w:rPr>
          <w:rFonts w:hint="eastAsia" w:ascii="Times New Roman" w:hAnsi="Times New Roman" w:eastAsia="仿宋_GB2312" w:cs="Times New Roman"/>
        </w:rPr>
      </w:pPr>
      <w:r>
        <w:rPr>
          <w:rFonts w:hint="eastAsia" w:ascii="Times New Roman" w:hAnsi="Times New Roman" w:eastAsia="仿宋_GB2312" w:cs="Times New Roman"/>
          <w:lang w:val="en-US" w:eastAsia="zh-CN"/>
        </w:rPr>
        <w:t>一是创新主动公开“精准推送”模式。依托企业需求，按产业类型、发展阶段分类归集科技惠企政策，通过政务新媒体、企业服务群定向推送至企业，实现政策找企。二是建立系统化培训机制。以政务公开专业化、规范化建设为核心，定期开展政策解读方法、新媒体传播技巧等专题工作培训，构建覆盖全员的能力提升矩阵。三是探索“多元参与+场景融合”公开路径。创新“政务公开+社会监督”模式，将政策解读融入科技政策宣讲等线下活动，通过互动问答等形式，提升公众参与感，推动公开从“单向发布”向“双向互动”转型。</w:t>
      </w:r>
    </w:p>
    <w:p w14:paraId="67F810C2">
      <w:pPr>
        <w:spacing w:line="560" w:lineRule="exact"/>
        <w:ind w:firstLine="640" w:firstLineChars="200"/>
        <w:rPr>
          <w:rFonts w:hint="eastAsia" w:ascii="楷体_GB2312" w:hAnsi="Times New Roman" w:eastAsia="楷体_GB2312" w:cs="Times New Roman"/>
          <w:szCs w:val="32"/>
        </w:rPr>
      </w:pPr>
      <w:r>
        <w:rPr>
          <w:rFonts w:hint="eastAsia" w:ascii="楷体_GB2312" w:hAnsi="Times New Roman" w:eastAsia="楷体_GB2312" w:cs="Times New Roman"/>
          <w:szCs w:val="32"/>
        </w:rPr>
        <w:t>（五）有关数据统计说明</w:t>
      </w:r>
    </w:p>
    <w:p w14:paraId="4E64E529">
      <w:pPr>
        <w:spacing w:line="56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rPr>
        <w:t>1.报告中所列数据可能因四舍五入原因与数据直接相加之和存在尾数差异。</w:t>
      </w:r>
    </w:p>
    <w:p w14:paraId="284BC96A">
      <w:pPr>
        <w:spacing w:line="56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rPr>
        <w:t>2.行政许可数量、行政处罚和行政强制数量，包括已公开和依法未公开的全部处理决定。</w:t>
      </w:r>
    </w:p>
    <w:p w14:paraId="16CE074A">
      <w:pPr>
        <w:spacing w:line="56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rPr>
        <w:t>3.行政复议机关作为共同被告的行政诉讼案件，只计算原行为主体的案件数量，不计算行政复议机关的案件数量。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16" w:usb3="00000000" w:csb0="00040003"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961F2"/>
    <w:rsid w:val="002E3543"/>
    <w:rsid w:val="003B5255"/>
    <w:rsid w:val="003D6FCB"/>
    <w:rsid w:val="003E75A6"/>
    <w:rsid w:val="00415AB1"/>
    <w:rsid w:val="004622F8"/>
    <w:rsid w:val="0046794E"/>
    <w:rsid w:val="004C1750"/>
    <w:rsid w:val="004D241E"/>
    <w:rsid w:val="00515DB1"/>
    <w:rsid w:val="00523855"/>
    <w:rsid w:val="005422B3"/>
    <w:rsid w:val="005626E3"/>
    <w:rsid w:val="00591E5D"/>
    <w:rsid w:val="005C0F41"/>
    <w:rsid w:val="0065765D"/>
    <w:rsid w:val="00673AC7"/>
    <w:rsid w:val="006947A5"/>
    <w:rsid w:val="00704FCD"/>
    <w:rsid w:val="008C4ED2"/>
    <w:rsid w:val="00915D0B"/>
    <w:rsid w:val="009B028C"/>
    <w:rsid w:val="00C542CC"/>
    <w:rsid w:val="00C67940"/>
    <w:rsid w:val="00C73BD0"/>
    <w:rsid w:val="00CC2BE7"/>
    <w:rsid w:val="00CC521B"/>
    <w:rsid w:val="00CD1D00"/>
    <w:rsid w:val="00E60B5D"/>
    <w:rsid w:val="00EA0721"/>
    <w:rsid w:val="00EF5607"/>
    <w:rsid w:val="00FA216A"/>
    <w:rsid w:val="00FD5381"/>
    <w:rsid w:val="02535CBD"/>
    <w:rsid w:val="02B51B1E"/>
    <w:rsid w:val="06A42F8B"/>
    <w:rsid w:val="0A0C3321"/>
    <w:rsid w:val="0CA912FB"/>
    <w:rsid w:val="0F09748A"/>
    <w:rsid w:val="0FE160F2"/>
    <w:rsid w:val="0FEE5277"/>
    <w:rsid w:val="11C269BB"/>
    <w:rsid w:val="13427DB4"/>
    <w:rsid w:val="1439434A"/>
    <w:rsid w:val="14C667C2"/>
    <w:rsid w:val="1AB570BD"/>
    <w:rsid w:val="1CE0094F"/>
    <w:rsid w:val="1DC37D43"/>
    <w:rsid w:val="1E1B36DB"/>
    <w:rsid w:val="1E8F15FB"/>
    <w:rsid w:val="1EDA3596"/>
    <w:rsid w:val="206F7D0E"/>
    <w:rsid w:val="229903FF"/>
    <w:rsid w:val="271B474C"/>
    <w:rsid w:val="2D1A7254"/>
    <w:rsid w:val="2D7E5A35"/>
    <w:rsid w:val="2E0629C2"/>
    <w:rsid w:val="2E5A0250"/>
    <w:rsid w:val="2F386B53"/>
    <w:rsid w:val="2F4862FA"/>
    <w:rsid w:val="2F6824F8"/>
    <w:rsid w:val="310D15A9"/>
    <w:rsid w:val="35DF31E6"/>
    <w:rsid w:val="371C0798"/>
    <w:rsid w:val="39D2513E"/>
    <w:rsid w:val="3AAF60C6"/>
    <w:rsid w:val="3AF41C83"/>
    <w:rsid w:val="3B950B19"/>
    <w:rsid w:val="3E8B7FB1"/>
    <w:rsid w:val="40880C4C"/>
    <w:rsid w:val="40F76323"/>
    <w:rsid w:val="421F113C"/>
    <w:rsid w:val="42246753"/>
    <w:rsid w:val="43EF0FE2"/>
    <w:rsid w:val="44933FCC"/>
    <w:rsid w:val="45356EC9"/>
    <w:rsid w:val="45796DB6"/>
    <w:rsid w:val="470B7EE1"/>
    <w:rsid w:val="488937B4"/>
    <w:rsid w:val="4BC30D8B"/>
    <w:rsid w:val="4F2E6E63"/>
    <w:rsid w:val="50095949"/>
    <w:rsid w:val="516A3A56"/>
    <w:rsid w:val="534C78B7"/>
    <w:rsid w:val="54815C87"/>
    <w:rsid w:val="55214D74"/>
    <w:rsid w:val="56836083"/>
    <w:rsid w:val="56F02C50"/>
    <w:rsid w:val="5E4F2952"/>
    <w:rsid w:val="5FAC5F7E"/>
    <w:rsid w:val="60F009E5"/>
    <w:rsid w:val="61474CB9"/>
    <w:rsid w:val="61C251E9"/>
    <w:rsid w:val="643248A8"/>
    <w:rsid w:val="664E34EF"/>
    <w:rsid w:val="679A4C3E"/>
    <w:rsid w:val="68120FE3"/>
    <w:rsid w:val="6A902328"/>
    <w:rsid w:val="6BDF02B0"/>
    <w:rsid w:val="6C292A34"/>
    <w:rsid w:val="6DE45608"/>
    <w:rsid w:val="6E7C73C6"/>
    <w:rsid w:val="71153587"/>
    <w:rsid w:val="72037883"/>
    <w:rsid w:val="76276E68"/>
    <w:rsid w:val="78C80EDF"/>
    <w:rsid w:val="795D1063"/>
    <w:rsid w:val="79AB2CDA"/>
    <w:rsid w:val="79B53B59"/>
    <w:rsid w:val="79CD42B6"/>
    <w:rsid w:val="7A396538"/>
    <w:rsid w:val="7A3E58FC"/>
    <w:rsid w:val="7AA37E55"/>
    <w:rsid w:val="7D8A2C07"/>
    <w:rsid w:val="7F4B6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方正仿宋_GBK" w:cs="Times New Roman"/>
      <w:snapToGrid w:val="0"/>
      <w:kern w:val="0"/>
      <w:sz w:val="18"/>
      <w:szCs w:val="18"/>
    </w:rPr>
  </w:style>
  <w:style w:type="character" w:customStyle="1" w:styleId="10">
    <w:name w:val="页脚 Char"/>
    <w:basedOn w:val="8"/>
    <w:link w:val="4"/>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10</Pages>
  <Words>1479</Words>
  <Characters>1588</Characters>
  <Lines>15</Lines>
  <Paragraphs>4</Paragraphs>
  <TotalTime>8</TotalTime>
  <ScaleCrop>false</ScaleCrop>
  <LinksUpToDate>false</LinksUpToDate>
  <CharactersWithSpaces>1589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cp:lastModifiedBy>
  <dcterms:modified xsi:type="dcterms:W3CDTF">2026-01-27T03:04:36Z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eyJoZGlkIjoiNDA0NDljNmFiMzFkY2ZjZmQ4N2MzMDQyM2Q3NzlkMzMiLCJ1c2VySWQiOiI1MjQ4Mzc4MjkifQ==</vt:lpwstr>
  </property>
  <property fmtid="{D5CDD505-2E9C-101B-9397-08002B2CF9AE}" pid="3" name="KSOProductBuildVer">
    <vt:lpwstr>2052-12.1.0.24657</vt:lpwstr>
  </property>
  <property fmtid="{D5CDD505-2E9C-101B-9397-08002B2CF9AE}" pid="4" name="ICV">
    <vt:lpwstr>B1FDB714B3A74D5DB947A7A33CC354CB_12</vt:lpwstr>
  </property>
</Properties>
</file>