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harts/chart1.xml" ContentType="application/vnd.openxmlformats-officedocument.drawingml.chart+xml"/>
  <Override PartName="/word/charts/colors1.xml" ContentType="application/vnd.ms-office.chartcolorstyle+xml"/>
  <Override PartName="/word/charts/style1.xml" ContentType="application/vnd.ms-office.chartstyle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高青县2016年政府信息公开工作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年度报告</w:t>
      </w:r>
    </w:p>
    <w:p>
      <w:pPr>
        <w:spacing w:line="56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本报告由高青县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芦湖街道</w:t>
      </w:r>
      <w:r>
        <w:rPr>
          <w:rFonts w:hint="eastAsia" w:ascii="仿宋_GB2312" w:eastAsia="仿宋_GB2312"/>
          <w:sz w:val="32"/>
          <w:szCs w:val="32"/>
        </w:rPr>
        <w:t>办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事处党政办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</w:rPr>
        <w:t>按照《中华人民共和国政府信息公开条例》（以下简称《条例》）和《山东省政府信息公开办法》要求编制，报告中所列数据的统计期限是2016年1月1日至12月31日，报告电子版可在高青县人民政府门户网站（www.gaoqing.gov.cn）查阅和下载。如对报告内容有疑问，请与高青县政府信息中心联系（地址：高青县城黄河路81号；邮编：256300；电话：0533-6967090；传真：0533-6967065）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一、概述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楷体_GB2312" w:hAnsi="Times New Roman" w:eastAsia="楷体_GB2312"/>
          <w:sz w:val="32"/>
          <w:szCs w:val="32"/>
        </w:rPr>
        <w:t>（一）加强组织领导，优化队伍建设。</w:t>
      </w:r>
      <w:r>
        <w:rPr>
          <w:rFonts w:hint="eastAsia" w:ascii="仿宋_GB2312" w:eastAsia="仿宋_GB2312"/>
          <w:sz w:val="32"/>
          <w:szCs w:val="32"/>
        </w:rPr>
        <w:t>政府信息公开工作列入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芦湖</w:t>
      </w:r>
      <w:r>
        <w:rPr>
          <w:rFonts w:hint="eastAsia" w:ascii="仿宋_GB2312" w:eastAsia="仿宋_GB2312"/>
          <w:sz w:val="32"/>
          <w:szCs w:val="32"/>
        </w:rPr>
        <w:t>街道领导分工，并向社会公布，明确了政府信息公开专门工作机构和专职工作人员，切实做到机构到位、责任到位、人员到位、经费到位，政府信息公开工作队伍建设进一步加强。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二）完善制度机制，强力部署推进。2016年，芦湖街道办事处认真贯彻落实党的十八大及十八届三中、四中、五中、六中全会和习近平总书记系列重要讲话精神，按照《条例》、《关于全面推进政务公开工作的意见》（中办发〔2016〕8号）、《关于印发2016年山东省政务公开工作要点的通知》（鲁政办发〔2016〕23号）、《关于印发2016年淄博市政务公开工作要点的通知》（淄政办字〔2016〕85号）和县政府办公室关于政府信息公开的一系列要求，围绕中心、服务大局、突出重点，扎实做好政府信息公开日常工作，在服务街道经济社会发展，保障公民知情权、参与权、监督权和促进依法行政紧密结合等方面发挥了积极作用。进一步明确重点领域、公开事项、公开方式、责任单位等具体要求，就做好201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z w:val="32"/>
          <w:szCs w:val="32"/>
        </w:rPr>
        <w:t>年政务公开作出部署，切实抓好各项任务落实。加强公文公开属性管理，文件拟稿纸设有公开属性栏目，文件起草审核过程中同步确定其公开属性，规范发布程序和渠道。</w:t>
      </w:r>
    </w:p>
    <w:p>
      <w:pPr>
        <w:spacing w:line="58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（三）加强平台建设，拓展公开渠道。充分发挥政府网站作为政务公开第一平台作用，按时维护更新政府信息公开目录、政府信息依申请公开、政府信息公开监督信箱等栏目。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二、主动公开政府信息情况</w:t>
      </w:r>
    </w:p>
    <w:p>
      <w:pPr>
        <w:spacing w:line="540" w:lineRule="exact"/>
        <w:ind w:firstLine="648"/>
        <w:rPr>
          <w:rFonts w:hint="eastAsia" w:ascii="仿宋_GB2312" w:hAnsi="Times New Roman" w:eastAsia="仿宋_GB2312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sz w:val="32"/>
          <w:szCs w:val="32"/>
        </w:rPr>
        <w:t>年，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芦湖街道</w:t>
      </w:r>
      <w:r>
        <w:rPr>
          <w:rFonts w:hint="eastAsia" w:ascii="仿宋_GB2312" w:hAnsi="Times New Roman" w:eastAsia="仿宋_GB2312"/>
          <w:sz w:val="32"/>
          <w:szCs w:val="32"/>
        </w:rPr>
        <w:t>共主动公开政府信息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83</w:t>
      </w:r>
      <w:r>
        <w:rPr>
          <w:rFonts w:hint="eastAsia" w:ascii="仿宋_GB2312" w:hAnsi="Times New Roman" w:eastAsia="仿宋_GB2312"/>
          <w:sz w:val="32"/>
          <w:szCs w:val="32"/>
        </w:rPr>
        <w:t>条</w:t>
      </w:r>
    </w:p>
    <w:p>
      <w:pPr>
        <w:spacing w:line="56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主动公开的政府信息中：</w:t>
      </w:r>
    </w:p>
    <w:p>
      <w:pPr>
        <w:spacing w:line="560" w:lineRule="exact"/>
        <w:ind w:firstLine="640" w:firstLineChars="200"/>
        <w:rPr>
          <w:rFonts w:hint="eastAsia" w:ascii="楷体_GB2312" w:eastAsia="楷体_GB2312"/>
          <w:b w:val="0"/>
          <w:bCs/>
          <w:sz w:val="32"/>
          <w:szCs w:val="32"/>
        </w:rPr>
      </w:pPr>
      <w:r>
        <w:rPr>
          <w:rFonts w:hint="eastAsia" w:ascii="楷体_GB2312" w:eastAsia="楷体_GB2312"/>
          <w:b w:val="0"/>
          <w:bCs/>
          <w:sz w:val="32"/>
          <w:szCs w:val="32"/>
        </w:rPr>
        <w:t>政府网站公开信息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24</w:t>
      </w:r>
      <w:r>
        <w:rPr>
          <w:rFonts w:hint="eastAsia" w:ascii="楷体_GB2312" w:eastAsia="楷体_GB2312"/>
          <w:b w:val="0"/>
          <w:bCs/>
          <w:sz w:val="32"/>
          <w:szCs w:val="32"/>
        </w:rPr>
        <w:t>条，占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28.9</w:t>
      </w:r>
      <w:r>
        <w:rPr>
          <w:rFonts w:hint="eastAsia" w:ascii="楷体_GB2312" w:eastAsia="楷体_GB2312"/>
          <w:b w:val="0"/>
          <w:bCs/>
          <w:sz w:val="32"/>
          <w:szCs w:val="32"/>
        </w:rPr>
        <w:t>%；</w:t>
      </w:r>
    </w:p>
    <w:p>
      <w:pPr>
        <w:spacing w:line="580" w:lineRule="exact"/>
        <w:ind w:firstLine="640" w:firstLineChars="200"/>
        <w:rPr>
          <w:rFonts w:hint="eastAsia" w:ascii="楷体_GB2312" w:eastAsia="楷体_GB2312"/>
          <w:b w:val="0"/>
          <w:bCs/>
          <w:sz w:val="32"/>
          <w:szCs w:val="32"/>
        </w:rPr>
      </w:pPr>
      <w:r>
        <w:rPr>
          <w:rFonts w:hint="eastAsia" w:ascii="楷体_GB2312" w:eastAsia="楷体_GB2312"/>
          <w:b w:val="0"/>
          <w:bCs/>
          <w:sz w:val="32"/>
          <w:szCs w:val="32"/>
        </w:rPr>
        <w:t>政务微信公开信息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59</w:t>
      </w:r>
      <w:r>
        <w:rPr>
          <w:rFonts w:hint="eastAsia" w:ascii="楷体_GB2312" w:eastAsia="楷体_GB2312"/>
          <w:b w:val="0"/>
          <w:bCs/>
          <w:sz w:val="32"/>
          <w:szCs w:val="32"/>
        </w:rPr>
        <w:t>条，占</w:t>
      </w:r>
      <w:r>
        <w:rPr>
          <w:rFonts w:hint="eastAsia" w:ascii="楷体_GB2312" w:eastAsia="楷体_GB2312"/>
          <w:b w:val="0"/>
          <w:bCs/>
          <w:sz w:val="32"/>
          <w:szCs w:val="32"/>
          <w:lang w:val="en-US" w:eastAsia="zh-CN"/>
        </w:rPr>
        <w:t>71.1</w:t>
      </w:r>
      <w:r>
        <w:rPr>
          <w:rFonts w:hint="eastAsia" w:ascii="楷体_GB2312" w:eastAsia="楷体_GB2312"/>
          <w:b w:val="0"/>
          <w:bCs/>
          <w:sz w:val="32"/>
          <w:szCs w:val="32"/>
        </w:rPr>
        <w:t>%；</w:t>
      </w:r>
    </w:p>
    <w:p>
      <w:pPr>
        <w:spacing w:line="240" w:lineRule="auto"/>
        <w:ind w:firstLine="0" w:firstLineChars="0"/>
        <w:rPr>
          <w:rFonts w:hint="eastAsia" w:ascii="楷体_GB2312" w:eastAsia="楷体_GB2312"/>
          <w:b w:val="0"/>
          <w:bCs/>
          <w:sz w:val="32"/>
          <w:szCs w:val="32"/>
        </w:rPr>
      </w:pPr>
      <w:r>
        <w:drawing>
          <wp:inline distT="0" distB="0" distL="114300" distR="114300">
            <wp:extent cx="4591050" cy="3076575"/>
            <wp:effectExtent l="5080" t="4445" r="13970" b="5080"/>
            <wp:docPr id="5" name="图表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>
      <w:pPr>
        <w:spacing w:line="580" w:lineRule="exact"/>
        <w:ind w:firstLine="640" w:firstLineChars="200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一是多种方式主动公开。办事处组织总工会、民政、社会保障、农业综合服务等委办站所每月两次利用赵店、寨子等大集时机，开展“民生政策赶大集”活动，宣传各项惠民政策。同时，街道充分利用三个便民服务大厅，设立办事指南等方式，积极向群众公开民政、社会保障等办事程序，方便群众一次性办结各项事务。</w:t>
      </w:r>
    </w:p>
    <w:p>
      <w:pPr>
        <w:spacing w:line="580" w:lineRule="exact"/>
        <w:ind w:firstLine="640" w:firstLineChars="200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二是构建多种政府信息公开平台。充分利用县政府门户网站芦湖街道专栏，2016年累计公开各类政府信息</w:t>
      </w:r>
      <w:r>
        <w:rPr>
          <w:rFonts w:hint="eastAsia" w:ascii="楷体_GB2312" w:hAnsi="黑体" w:eastAsia="楷体_GB2312"/>
          <w:color w:val="auto"/>
          <w:sz w:val="32"/>
          <w:szCs w:val="32"/>
          <w:lang w:val="en-US" w:eastAsia="zh-CN"/>
        </w:rPr>
        <w:t>83</w:t>
      </w:r>
      <w:r>
        <w:rPr>
          <w:rFonts w:hint="eastAsia" w:ascii="楷体_GB2312" w:hAnsi="黑体" w:eastAsia="楷体_GB2312"/>
          <w:color w:val="auto"/>
          <w:sz w:val="32"/>
          <w:szCs w:val="32"/>
        </w:rPr>
        <w:t>余条次，阅读量超过1万人次，信息发布数量和实效性大幅提升。开通芦湖街道办事处公众号，充分利用高青电视台及电台、《高青工作》、电子信息屏、信息告知栏等平台，及时公开需要社会公众广泛知晓的政府信息，拓宽了社会公众获悉政府信息的渠道。</w:t>
      </w:r>
    </w:p>
    <w:p>
      <w:pPr>
        <w:spacing w:line="580" w:lineRule="exact"/>
        <w:ind w:firstLine="640" w:firstLineChars="200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三是积极办理群众各类咨询事宜。2016年度，街道办事处共收到群众电话、来信、来人等各种方式咨询街道政府信息事宜1000余人次，依法按时办结，告知其通过应有途径办理。</w:t>
      </w:r>
    </w:p>
    <w:p>
      <w:pPr>
        <w:spacing w:line="580" w:lineRule="exact"/>
        <w:ind w:firstLine="640" w:firstLineChars="200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四是用政府信息公开促进服务水平提升。街道各单位认真贯彻《条例》，严格按照“谁公开谁审查、谁审查谁负责”“先审查后公开”的信息公开原则，规范保密审查程序，进一步健全工作机制，完善工作流程，明确责任人员，及时主动公开涉及公民、法人或者其他社会组织生产、生活以及促进经济社会发展的信息，及时回应舆情和热点问题，增强了办事透明度，提升了服务效能，提高了服务质量。此外，在日常工作中，通过网络、投诉电话、信箱等方式，广泛听取社会各界的意见和要求，充分发挥社会监督的作用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三、依申请公开政府信息情况</w:t>
      </w:r>
    </w:p>
    <w:p>
      <w:pPr>
        <w:spacing w:line="580" w:lineRule="exact"/>
        <w:ind w:firstLine="640" w:firstLineChars="200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（一）依申请公开情况</w:t>
      </w:r>
    </w:p>
    <w:p>
      <w:pPr>
        <w:spacing w:line="540" w:lineRule="exact"/>
        <w:ind w:firstLine="648"/>
        <w:rPr>
          <w:rFonts w:hint="eastAsia" w:ascii="楷体_GB2312" w:hAnsi="黑体" w:eastAsia="楷体_GB2312"/>
          <w:color w:val="auto"/>
          <w:sz w:val="32"/>
          <w:szCs w:val="32"/>
        </w:rPr>
      </w:pPr>
      <w:r>
        <w:rPr>
          <w:rFonts w:hint="eastAsia" w:ascii="仿宋_GB2312" w:hAnsi="Times New Roman" w:eastAsia="仿宋_GB2312"/>
          <w:sz w:val="32"/>
          <w:szCs w:val="32"/>
        </w:rPr>
        <w:t>201</w:t>
      </w:r>
      <w:r>
        <w:rPr>
          <w:rFonts w:hint="eastAsia" w:ascii="仿宋_GB2312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sz w:val="32"/>
          <w:szCs w:val="32"/>
        </w:rPr>
        <w:t>年,我单位未有公民、法人或其他组织提出政府信息公开申请。</w:t>
      </w:r>
    </w:p>
    <w:p>
      <w:pPr>
        <w:spacing w:line="580" w:lineRule="exact"/>
        <w:ind w:firstLine="640" w:firstLineChars="200"/>
        <w:rPr>
          <w:rFonts w:ascii="楷体_GB2312" w:hAnsi="黑体" w:eastAsia="楷体_GB2312"/>
          <w:color w:val="FF0000"/>
          <w:sz w:val="32"/>
          <w:szCs w:val="32"/>
        </w:rPr>
      </w:pPr>
      <w:r>
        <w:rPr>
          <w:rFonts w:hint="eastAsia" w:ascii="楷体_GB2312" w:hAnsi="黑体" w:eastAsia="楷体_GB2312"/>
          <w:color w:val="auto"/>
          <w:sz w:val="32"/>
          <w:szCs w:val="32"/>
        </w:rPr>
        <w:t>（二）收费及减免情况</w:t>
      </w:r>
    </w:p>
    <w:p>
      <w:pPr>
        <w:spacing w:line="540" w:lineRule="exact"/>
        <w:ind w:firstLine="640" w:firstLineChars="200"/>
        <w:rPr>
          <w:rFonts w:ascii="仿宋_GB2312" w:hAnsi="Times New Roman" w:eastAsia="仿宋_GB2312"/>
          <w:color w:val="FF0000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本年度，</w:t>
      </w: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en-US" w:eastAsia="zh-CN"/>
        </w:rPr>
        <w:t>本单位</w:t>
      </w: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在政府信息公开申请办理过程中，未收取任何费用。</w:t>
      </w:r>
    </w:p>
    <w:p>
      <w:pPr>
        <w:spacing w:line="580" w:lineRule="exact"/>
        <w:ind w:firstLine="640" w:firstLineChars="200"/>
        <w:rPr>
          <w:rFonts w:ascii="黑体" w:hAnsi="黑体" w:eastAsia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四、政府信息公开的复议诉讼和举报情况</w:t>
      </w:r>
    </w:p>
    <w:p>
      <w:pPr>
        <w:spacing w:line="580" w:lineRule="exact"/>
        <w:ind w:firstLine="640" w:firstLineChars="200"/>
        <w:rPr>
          <w:rFonts w:ascii="黑体" w:hAnsi="黑体" w:eastAsia="黑体" w:cs="宋体"/>
          <w:kern w:val="0"/>
          <w:sz w:val="32"/>
          <w:szCs w:val="32"/>
          <w:lang w:val="zh-CN"/>
        </w:rPr>
      </w:pP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201</w:t>
      </w: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Times New Roman" w:eastAsia="仿宋_GB2312"/>
          <w:color w:val="auto"/>
          <w:kern w:val="0"/>
          <w:sz w:val="32"/>
          <w:szCs w:val="32"/>
          <w:lang w:val="zh-CN"/>
        </w:rPr>
        <w:t>年,我单位未发生政府信息公开行政诉讼,未收到政府信息公开工作群众举报。</w:t>
      </w:r>
    </w:p>
    <w:p>
      <w:pPr>
        <w:spacing w:line="580" w:lineRule="exact"/>
        <w:ind w:firstLine="640" w:firstLineChars="200"/>
        <w:rPr>
          <w:rFonts w:ascii="黑体" w:hAnsi="黑体" w:eastAsia="黑体"/>
          <w:b/>
          <w:color w:val="FF0000"/>
          <w:sz w:val="32"/>
          <w:szCs w:val="32"/>
        </w:rPr>
      </w:pPr>
      <w:r>
        <w:rPr>
          <w:rFonts w:hint="eastAsia" w:ascii="黑体" w:hAnsi="黑体" w:eastAsia="黑体"/>
          <w:b w:val="0"/>
          <w:bCs/>
          <w:color w:val="auto"/>
          <w:sz w:val="32"/>
          <w:szCs w:val="32"/>
        </w:rPr>
        <w:t>五、存在的不足及改进措施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2016年，街道政府信息公开工作虽然取得了一定的成效，但离县政府的要求还有一定的差距和不足，与社会公众的需求相比仍有很大距离，比如信息公开有的不够及时，公开方式仍有待更加便捷高效，与工作结合不够等等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2017年，芦湖街道将做好以下工作：一是进一步健全完善政府信息公开相关制度建设。二是认真做好政府信息依申请公开工作。规范依申请公开办理工作流程，改进申请办理方式，对涉及多个单位或部门的申请事项，加强会商协调，依法依规妥善办理。三是进一步加强政策解读力度，加大重大行政决策信息、社会关注热点信息的公开力度，积极回应社会关切。</w:t>
      </w: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eastAsia="仿宋_GB2312"/>
          <w:sz w:val="32"/>
          <w:szCs w:val="32"/>
        </w:rPr>
      </w:pPr>
    </w:p>
    <w:p>
      <w:pPr>
        <w:spacing w:line="580" w:lineRule="exact"/>
        <w:ind w:left="1278" w:leftChars="304" w:hanging="640" w:hangingChars="2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附：2016年度高青县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芦湖街道</w:t>
      </w:r>
      <w:r>
        <w:rPr>
          <w:rFonts w:hint="eastAsia" w:ascii="仿宋_GB2312" w:eastAsia="仿宋_GB2312"/>
          <w:sz w:val="32"/>
          <w:szCs w:val="32"/>
        </w:rPr>
        <w:t>政府信息公开工作情况统计表</w:t>
      </w: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80" w:lineRule="exact"/>
        <w:ind w:firstLine="640" w:firstLineChars="200"/>
        <w:jc w:val="right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高青县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芦湖街道办事处</w:t>
      </w:r>
    </w:p>
    <w:p>
      <w:pPr>
        <w:spacing w:line="580" w:lineRule="exact"/>
        <w:ind w:firstLine="640" w:firstLineChars="200"/>
        <w:jc w:val="right"/>
        <w:rPr>
          <w:rFonts w:ascii="仿宋_GB2312" w:hAnsi="仿宋_GB2312" w:eastAsia="仿宋_GB2312" w:cs="仿宋_GB2312"/>
          <w:kern w:val="0"/>
          <w:sz w:val="32"/>
          <w:szCs w:val="32"/>
        </w:rPr>
      </w:pPr>
      <w:r>
        <w:rPr>
          <w:rFonts w:ascii="仿宋_GB2312" w:hAnsi="仿宋_GB2312" w:eastAsia="仿宋_GB2312" w:cs="仿宋_GB2312"/>
          <w:kern w:val="0"/>
          <w:sz w:val="32"/>
          <w:szCs w:val="32"/>
        </w:rPr>
        <w:t>2017年3月24日</w:t>
      </w: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</w:p>
    <w:p>
      <w:pPr>
        <w:jc w:val="center"/>
        <w:rPr>
          <w:rFonts w:ascii="宋体" w:hAnsi="宋体" w:eastAsia="宋体"/>
          <w:b/>
        </w:rPr>
      </w:pPr>
      <w:r>
        <w:rPr>
          <w:rFonts w:hint="eastAsia" w:ascii="宋体" w:hAnsi="宋体" w:eastAsia="宋体"/>
          <w:b/>
          <w:sz w:val="36"/>
          <w:szCs w:val="36"/>
        </w:rPr>
        <w:t>2016年度高青县</w:t>
      </w:r>
      <w:r>
        <w:rPr>
          <w:rFonts w:hint="eastAsia" w:ascii="宋体" w:hAnsi="宋体" w:eastAsia="宋体"/>
          <w:b/>
          <w:sz w:val="36"/>
          <w:szCs w:val="36"/>
          <w:lang w:val="en-US" w:eastAsia="zh-CN"/>
        </w:rPr>
        <w:t>芦湖街道</w:t>
      </w:r>
      <w:r>
        <w:rPr>
          <w:rFonts w:hint="eastAsia" w:ascii="宋体" w:hAnsi="宋体" w:eastAsia="宋体"/>
          <w:b/>
          <w:sz w:val="36"/>
          <w:szCs w:val="36"/>
        </w:rPr>
        <w:t>政府信息公开工作情况统计表</w:t>
      </w:r>
    </w:p>
    <w:p>
      <w:pPr>
        <w:jc w:val="center"/>
        <w:rPr>
          <w:rFonts w:ascii="宋体" w:hAnsi="宋体" w:eastAsia="宋体"/>
          <w:b/>
          <w:sz w:val="28"/>
          <w:szCs w:val="28"/>
        </w:rPr>
      </w:pPr>
    </w:p>
    <w:tbl>
      <w:tblPr>
        <w:tblStyle w:val="6"/>
        <w:tblW w:w="9742" w:type="dxa"/>
        <w:jc w:val="center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33"/>
        <w:gridCol w:w="1002"/>
        <w:gridCol w:w="1307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  <w:r>
              <w:rPr>
                <w:rStyle w:val="8"/>
                <w:rFonts w:hint="eastAsia"/>
                <w:color w:val="000000"/>
                <w:sz w:val="20"/>
                <w:szCs w:val="20"/>
              </w:rPr>
              <w:t>统　计　指　标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单位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Style w:val="8"/>
                <w:rFonts w:hint="eastAsia" w:ascii="宋体" w:hAnsi="宋体" w:eastAsia="宋体"/>
                <w:color w:val="000000"/>
                <w:sz w:val="20"/>
                <w:szCs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一、主动公开情况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（一）主动公开政府信息数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（不同渠道和方式公开相同信息计1条）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（不同渠道和方式公开相同信息计1条）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83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其中：主动公开规范性文件数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制发规范性文件总数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（二）通过不同渠道和方式公开政府信息的情况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1.政府公报公开政府信息数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3.政务微博公开政府信息数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4.政务微信公开政府信息数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59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5.其他方式公开政府信息数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b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二、回应解读情况（不同方式回应同一热点或舆情计1次）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400" w:firstLineChars="200"/>
              <w:rPr>
                <w:color w:val="000000"/>
              </w:rPr>
            </w:pPr>
            <w:r>
              <w:rPr>
                <w:color w:val="000000"/>
                <w:kern w:val="2"/>
                <w:sz w:val="20"/>
                <w:szCs w:val="20"/>
              </w:rPr>
              <w:t>（一）回应公众关注热点或重大舆情数</w:t>
            </w:r>
            <w:r>
              <w:rPr>
                <w:color w:val="000000"/>
                <w:kern w:val="2"/>
                <w:sz w:val="20"/>
                <w:szCs w:val="20"/>
              </w:rPr>
              <w:br w:type="textWrapping"/>
            </w:r>
            <w:r>
              <w:rPr>
                <w:color w:val="000000"/>
                <w:kern w:val="2"/>
                <w:sz w:val="20"/>
                <w:szCs w:val="20"/>
              </w:rPr>
              <w:t>　　　　 （不同方式回应同一热点或舆情计1次）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（二）通过不同渠道和方式回应解读的情况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1.参加或举办新闻发布会总次数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其中：主要负责同志参加新闻发布会次数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 其中：主要负责同志参加政府网站在线访谈次数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3.政策解读稿件发布数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篇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4.微博微信回应事件数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5.其他方式回应事件数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三、依申请公开情况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pStyle w:val="5"/>
              <w:spacing w:line="420" w:lineRule="atLeast"/>
              <w:ind w:firstLine="685"/>
              <w:jc w:val="center"/>
              <w:rPr>
                <w:color w:val="000000"/>
              </w:rPr>
            </w:pPr>
          </w:p>
        </w:tc>
        <w:tc>
          <w:tcPr>
            <w:tcW w:w="130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（一）收到申请数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1.当面申请数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2.传真申请数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3.网络申请数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4.信函申请数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single" w:color="auto" w:sz="4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 xml:space="preserve">          5.其他形式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（二）申请办结数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1.按时办结数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2.延期办结数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（三）申请答复数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1.属于已主动公开范围数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3.同意部分公开答复数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4.不同意公开答复数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 　其中：涉及国家秘密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涉及商业秘密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涉及个人隐私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危及国家安全、公共安全、经济安全和社会稳定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不是《条例》所指政府信息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　　　　 法律法规规定的其他情形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5.不属于本行政机关公开数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6.申请信息不存在数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7.告知作出更改补充数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8.告知通过其他途径办理数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四、行政复议数量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五、行政诉讼数量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（一）维持具体行政行为或者驳回原告诉讼请求数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（二）被依法纠错数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六、被举报投诉数量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（一）维持具体行政行为数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（二）被纠错数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（三）其他情形数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件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七、向图书馆、档案馆等查阅场所报送信息数</w:t>
            </w:r>
          </w:p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纸质文件数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电子文件数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eastAsiaTheme="minorEastAsia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八、开通政府信息公开网站（或设立门户网站信息公开专栏）数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乡镇政府（街道办事处）门户网站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九、政府公报发行量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1000" w:firstLineChars="500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公报发行期数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期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（二）公报发行总份数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份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十、设置政府信息查阅点数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十一、查阅点接待人数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（一）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区县政府及其部门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ind w:firstLine="400" w:firstLineChars="200"/>
              <w:rPr>
                <w:rFonts w:ascii="宋体" w:hAnsi="宋体" w:eastAsia="宋体"/>
                <w:color w:val="000000"/>
                <w:sz w:val="20"/>
                <w:szCs w:val="20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乡镇政府（街道办事处）</w:t>
            </w:r>
          </w:p>
        </w:tc>
        <w:tc>
          <w:tcPr>
            <w:tcW w:w="1002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single" w:color="auto" w:sz="4" w:space="0"/>
              <w:left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420" w:lineRule="atLeast"/>
              <w:jc w:val="center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十二、依申请公开信息收取的费用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/>
                <w:color w:val="000000"/>
                <w:sz w:val="20"/>
                <w:szCs w:val="20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十三、机构建设和保障经费情况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（一）政府信息公开工作专门机构数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个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二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）从事政府信息公开工作人员数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default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4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1.专职人员数（不包括政府公报及政府网站工作人员数）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2.兼职人员数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）政府信息公开专项经费（不包括政府公报编辑管理及政府网站建设</w:t>
            </w: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）</w:t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br w:type="textWrapping"/>
            </w: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　　　护等方面的经费）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single" w:color="auto" w:sz="4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万元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黑体" w:hAnsi="宋体" w:eastAsia="黑体" w:cs="宋体"/>
                <w:color w:val="000000"/>
                <w:sz w:val="24"/>
              </w:rPr>
            </w:pPr>
            <w:r>
              <w:rPr>
                <w:rFonts w:hint="eastAsia" w:ascii="黑体" w:hAnsi="宋体" w:eastAsia="黑体"/>
                <w:color w:val="000000"/>
                <w:sz w:val="20"/>
                <w:szCs w:val="20"/>
              </w:rPr>
              <w:t>十四、政府信息公开会议和培训情况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  <w:tr2bl w:val="single" w:color="auto" w:sz="4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（一）召开政府信息公开工作会议或专题会议数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（二）举办各类培训班数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exact"/>
          <w:jc w:val="center"/>
        </w:trPr>
        <w:tc>
          <w:tcPr>
            <w:tcW w:w="7433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ascii="宋体" w:hAnsi="宋体" w:eastAsia="宋体"/>
                <w:color w:val="000000"/>
                <w:sz w:val="20"/>
                <w:szCs w:val="20"/>
              </w:rPr>
              <w:t>　　（三）接受培训人员数</w:t>
            </w:r>
          </w:p>
        </w:tc>
        <w:tc>
          <w:tcPr>
            <w:tcW w:w="100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/>
                <w:color w:val="000000"/>
                <w:sz w:val="20"/>
                <w:szCs w:val="20"/>
              </w:rPr>
              <w:t>人次</w:t>
            </w:r>
          </w:p>
        </w:tc>
        <w:tc>
          <w:tcPr>
            <w:tcW w:w="130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spacing w:line="420" w:lineRule="atLeast"/>
              <w:jc w:val="center"/>
              <w:rPr>
                <w:rFonts w:hint="eastAsia" w:ascii="宋体" w:hAnsi="宋体" w:cs="宋体" w:eastAsiaTheme="minorEastAsia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</w:t>
            </w:r>
          </w:p>
        </w:tc>
      </w:tr>
    </w:tbl>
    <w:p/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仿宋_GB2312" w:eastAsia="仿宋_GB2312" w:cs="仿宋_GB2312"/>
          <w:kern w:val="0"/>
          <w:sz w:val="32"/>
          <w:szCs w:val="32"/>
        </w:rPr>
      </w:pPr>
    </w:p>
    <w:sectPr>
      <w:footerReference r:id="rId3" w:type="default"/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05587352"/>
      <w:docPartObj>
        <w:docPartGallery w:val="AutoText"/>
      </w:docPartObj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E34"/>
    <w:rsid w:val="00002DCF"/>
    <w:rsid w:val="00030987"/>
    <w:rsid w:val="00034201"/>
    <w:rsid w:val="000364D1"/>
    <w:rsid w:val="00041EE7"/>
    <w:rsid w:val="000511D6"/>
    <w:rsid w:val="000537BF"/>
    <w:rsid w:val="00066860"/>
    <w:rsid w:val="00086543"/>
    <w:rsid w:val="000B692D"/>
    <w:rsid w:val="000C74F7"/>
    <w:rsid w:val="000E594E"/>
    <w:rsid w:val="00123040"/>
    <w:rsid w:val="00132600"/>
    <w:rsid w:val="00152C78"/>
    <w:rsid w:val="00170F9D"/>
    <w:rsid w:val="001752E7"/>
    <w:rsid w:val="001C2E5E"/>
    <w:rsid w:val="001C381E"/>
    <w:rsid w:val="001D133A"/>
    <w:rsid w:val="001D5CB7"/>
    <w:rsid w:val="001E70CB"/>
    <w:rsid w:val="001F0E29"/>
    <w:rsid w:val="00261196"/>
    <w:rsid w:val="002A684D"/>
    <w:rsid w:val="002B47A6"/>
    <w:rsid w:val="00310D8C"/>
    <w:rsid w:val="003300CC"/>
    <w:rsid w:val="00340EAB"/>
    <w:rsid w:val="00345FC5"/>
    <w:rsid w:val="00351598"/>
    <w:rsid w:val="003A2AFB"/>
    <w:rsid w:val="003A5889"/>
    <w:rsid w:val="003F4540"/>
    <w:rsid w:val="00411E34"/>
    <w:rsid w:val="00464031"/>
    <w:rsid w:val="00467873"/>
    <w:rsid w:val="00484FDB"/>
    <w:rsid w:val="004861D4"/>
    <w:rsid w:val="00491265"/>
    <w:rsid w:val="00497273"/>
    <w:rsid w:val="004A1A7E"/>
    <w:rsid w:val="004D62ED"/>
    <w:rsid w:val="004F6D08"/>
    <w:rsid w:val="005053AD"/>
    <w:rsid w:val="0051385C"/>
    <w:rsid w:val="00527D55"/>
    <w:rsid w:val="0053263F"/>
    <w:rsid w:val="00545BA3"/>
    <w:rsid w:val="005A2E0C"/>
    <w:rsid w:val="005C0C10"/>
    <w:rsid w:val="005F1DAF"/>
    <w:rsid w:val="00617C00"/>
    <w:rsid w:val="00633CB2"/>
    <w:rsid w:val="00644565"/>
    <w:rsid w:val="00654E06"/>
    <w:rsid w:val="00666572"/>
    <w:rsid w:val="00694918"/>
    <w:rsid w:val="006B13D9"/>
    <w:rsid w:val="006C7D31"/>
    <w:rsid w:val="006D095C"/>
    <w:rsid w:val="006D667E"/>
    <w:rsid w:val="00706493"/>
    <w:rsid w:val="00716325"/>
    <w:rsid w:val="0074216E"/>
    <w:rsid w:val="007504FC"/>
    <w:rsid w:val="00764FD6"/>
    <w:rsid w:val="007654AB"/>
    <w:rsid w:val="00775FB9"/>
    <w:rsid w:val="00797218"/>
    <w:rsid w:val="007B49E4"/>
    <w:rsid w:val="007C670E"/>
    <w:rsid w:val="007D54D1"/>
    <w:rsid w:val="007E188B"/>
    <w:rsid w:val="007F1012"/>
    <w:rsid w:val="007F58B5"/>
    <w:rsid w:val="008213BF"/>
    <w:rsid w:val="00821EBB"/>
    <w:rsid w:val="00827FFA"/>
    <w:rsid w:val="0083361D"/>
    <w:rsid w:val="0084294E"/>
    <w:rsid w:val="00845967"/>
    <w:rsid w:val="00863627"/>
    <w:rsid w:val="008934F6"/>
    <w:rsid w:val="008A1523"/>
    <w:rsid w:val="008A1FF2"/>
    <w:rsid w:val="008C2DB1"/>
    <w:rsid w:val="008F2FBD"/>
    <w:rsid w:val="00937B03"/>
    <w:rsid w:val="009532C4"/>
    <w:rsid w:val="00956891"/>
    <w:rsid w:val="00965458"/>
    <w:rsid w:val="0099567F"/>
    <w:rsid w:val="009A35C3"/>
    <w:rsid w:val="009B5062"/>
    <w:rsid w:val="009C0440"/>
    <w:rsid w:val="00A4303E"/>
    <w:rsid w:val="00A635B9"/>
    <w:rsid w:val="00A65AE4"/>
    <w:rsid w:val="00A91D59"/>
    <w:rsid w:val="00A96714"/>
    <w:rsid w:val="00AA68D1"/>
    <w:rsid w:val="00AC783F"/>
    <w:rsid w:val="00B02501"/>
    <w:rsid w:val="00B025FB"/>
    <w:rsid w:val="00B1334F"/>
    <w:rsid w:val="00B46E2B"/>
    <w:rsid w:val="00B571E7"/>
    <w:rsid w:val="00B60A0C"/>
    <w:rsid w:val="00B96DB8"/>
    <w:rsid w:val="00BC5174"/>
    <w:rsid w:val="00BE37C6"/>
    <w:rsid w:val="00C178DA"/>
    <w:rsid w:val="00CB1217"/>
    <w:rsid w:val="00CB311F"/>
    <w:rsid w:val="00CF4B6A"/>
    <w:rsid w:val="00CF78F4"/>
    <w:rsid w:val="00CF7B25"/>
    <w:rsid w:val="00D05B04"/>
    <w:rsid w:val="00D23EE1"/>
    <w:rsid w:val="00D40B64"/>
    <w:rsid w:val="00D41385"/>
    <w:rsid w:val="00D43F24"/>
    <w:rsid w:val="00D6099E"/>
    <w:rsid w:val="00D64989"/>
    <w:rsid w:val="00D76BA6"/>
    <w:rsid w:val="00D9678A"/>
    <w:rsid w:val="00DA1C80"/>
    <w:rsid w:val="00DA59CE"/>
    <w:rsid w:val="00DB7B4F"/>
    <w:rsid w:val="00DD0161"/>
    <w:rsid w:val="00DE2878"/>
    <w:rsid w:val="00DF6987"/>
    <w:rsid w:val="00E07267"/>
    <w:rsid w:val="00E17298"/>
    <w:rsid w:val="00E227B7"/>
    <w:rsid w:val="00E303B2"/>
    <w:rsid w:val="00E83C31"/>
    <w:rsid w:val="00F035B6"/>
    <w:rsid w:val="00F27F46"/>
    <w:rsid w:val="00F3037E"/>
    <w:rsid w:val="00F3146D"/>
    <w:rsid w:val="00F42521"/>
    <w:rsid w:val="00F65CD9"/>
    <w:rsid w:val="00F90738"/>
    <w:rsid w:val="00FA45F6"/>
    <w:rsid w:val="00FB60AA"/>
    <w:rsid w:val="00FC5817"/>
    <w:rsid w:val="00FC748E"/>
    <w:rsid w:val="00FF3BAA"/>
    <w:rsid w:val="55857210"/>
    <w:rsid w:val="56771C7C"/>
    <w:rsid w:val="66583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0"/>
    <w:pPr>
      <w:jc w:val="left"/>
    </w:pPr>
    <w:rPr>
      <w:rFonts w:ascii="Calibri" w:hAnsi="Calibri" w:eastAsia="宋体" w:cs="Times New Roman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customStyle="1" w:styleId="9">
    <w:name w:val="页眉 Char"/>
    <w:basedOn w:val="7"/>
    <w:link w:val="4"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chart" Target="charts/chart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microsoft.com/office/2011/relationships/chartColorStyle" Target="colors1.xml"/><Relationship Id="rId2" Type="http://schemas.microsoft.com/office/2011/relationships/chartStyle" Target="style1.xml"/><Relationship Id="rId1" Type="http://schemas.openxmlformats.org/officeDocument/2006/relationships/oleObject" Target="&#24037;&#20316;&#31807;1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  <c:spPr>
        <a:noFill/>
        <a:ln>
          <a:noFill/>
        </a:ln>
        <a:effectLst/>
      </c:spPr>
      <c:tx>
        <c:rich>
          <a:bodyPr/>
          <a:lstStyle/>
          <a:p>
            <a:pPr>
              <a:defRPr/>
            </a:pPr>
          </a:p>
        </c:rich>
      </c:tx>
    </c:title>
    <c:autoTitleDeleted val="0"/>
    <c:plotArea>
      <c:layout/>
      <c:pieChart>
        <c:varyColors val="1"/>
        <c:ser>
          <c:idx val="0"/>
          <c:order val="0"/>
          <c:spPr/>
          <c:explosion val="0"/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[工作簿1]Sheet1!$A$2:$B$2</c:f>
              <c:strCache>
                <c:ptCount val="2"/>
                <c:pt idx="0">
                  <c:v>政府网站公开信息</c:v>
                </c:pt>
                <c:pt idx="1">
                  <c:v>政务微信公开信息</c:v>
                </c:pt>
              </c:strCache>
            </c:strRef>
          </c:cat>
          <c:val>
            <c:numRef>
              <c:f>[工作簿1]Sheet1!$A$3:$B$3</c:f>
              <c:numCache>
                <c:formatCode>General</c:formatCode>
                <c:ptCount val="2"/>
                <c:pt idx="0">
                  <c:v>24</c:v>
                </c:pt>
                <c:pt idx="1">
                  <c:v>59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</a:p>
  </c:tx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gq</Company>
  <Pages>8</Pages>
  <Words>3132</Words>
  <Characters>3284</Characters>
  <Lines>17</Lines>
  <Paragraphs>4</Paragraphs>
  <TotalTime>8</TotalTime>
  <ScaleCrop>false</ScaleCrop>
  <LinksUpToDate>false</LinksUpToDate>
  <CharactersWithSpaces>3579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2017-03-22T01:18:00Z</dcterms:created>
  <dc:creator>lb</dc:creator>
  <cp:lastModifiedBy>MMDD</cp:lastModifiedBy>
  <cp:lastPrinted>2017-03-24T01:56:00Z</cp:lastPrinted>
  <dcterms:modified xsi:type="dcterms:W3CDTF">2020-06-29T12:07:41Z</dcterms:modified>
  <cp:revision>129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