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4"/>
          <w:szCs w:val="44"/>
        </w:rPr>
      </w:pPr>
      <w:r>
        <w:rPr>
          <w:rFonts w:hint="eastAsia" w:ascii="宋体" w:hAnsi="宋体" w:cs="宋体"/>
          <w:b/>
          <w:sz w:val="44"/>
          <w:szCs w:val="44"/>
        </w:rPr>
        <w:t>高青县2019年政府信息公开工作年度报告</w:t>
      </w:r>
    </w:p>
    <w:p>
      <w:pPr>
        <w:jc w:val="center"/>
        <w:rPr>
          <w:rFonts w:hint="eastAsia" w:ascii="宋体" w:hAnsi="宋体" w:cs="宋体"/>
          <w:b/>
          <w:sz w:val="32"/>
          <w:szCs w:val="32"/>
        </w:rPr>
      </w:pPr>
    </w:p>
    <w:p>
      <w:pPr>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本报告根据《中华人民共和国政府信息公开条例》（</w:t>
      </w:r>
      <w:r>
        <w:rPr>
          <w:rFonts w:hint="eastAsia" w:ascii="Times New Roman" w:hAnsi="Times New Roman" w:eastAsia="仿宋_GB2312"/>
          <w:sz w:val="32"/>
          <w:szCs w:val="32"/>
        </w:rPr>
        <w:t>国务院令第</w:t>
      </w:r>
      <w:r>
        <w:rPr>
          <w:rFonts w:ascii="Times New Roman" w:hAnsi="Times New Roman" w:eastAsia="仿宋_GB2312"/>
          <w:sz w:val="32"/>
          <w:szCs w:val="32"/>
        </w:rPr>
        <w:t>711</w:t>
      </w:r>
      <w:r>
        <w:rPr>
          <w:rFonts w:hint="eastAsia" w:ascii="Times New Roman" w:hAnsi="Times New Roman" w:eastAsia="仿宋_GB2312"/>
          <w:sz w:val="32"/>
          <w:szCs w:val="32"/>
        </w:rPr>
        <w:t>号，以下简称《条例》</w:t>
      </w:r>
      <w:r>
        <w:rPr>
          <w:rFonts w:hint="eastAsia" w:ascii="仿宋_GB2312" w:hAnsi="仿宋" w:eastAsia="仿宋_GB2312" w:cs="仿宋"/>
          <w:color w:val="000000" w:themeColor="text1"/>
          <w:sz w:val="32"/>
          <w:szCs w:val="32"/>
          <w14:textFill>
            <w14:solidFill>
              <w14:schemeClr w14:val="tx1"/>
            </w14:solidFill>
          </w14:textFill>
        </w:rPr>
        <w:t>）要求，由高青县人民政府办公室综合各乡镇人民政府、街道办事处、经济开发区管委会和县政府各部门、各有关单位政府信息公开工作情况编制。</w:t>
      </w:r>
    </w:p>
    <w:p>
      <w:pPr>
        <w:ind w:firstLine="640" w:firstLineChars="200"/>
        <w:jc w:val="left"/>
        <w:rPr>
          <w:rFonts w:ascii="黑体" w:hAnsi="黑体" w:eastAsia="黑体"/>
          <w:kern w:val="22"/>
          <w:sz w:val="32"/>
          <w:szCs w:val="32"/>
        </w:rPr>
      </w:pPr>
      <w:r>
        <w:rPr>
          <w:rFonts w:hint="eastAsia" w:ascii="仿宋_GB2312" w:hAnsi="仿宋" w:eastAsia="仿宋_GB2312" w:cs="仿宋"/>
          <w:color w:val="000000" w:themeColor="text1"/>
          <w:sz w:val="32"/>
          <w:szCs w:val="32"/>
          <w14:textFill>
            <w14:solidFill>
              <w14:schemeClr w14:val="tx1"/>
            </w14:solidFill>
          </w14:textFill>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jc w:val="left"/>
        <w:rPr>
          <w:rFonts w:ascii="黑体" w:hAnsi="黑体" w:eastAsia="黑体"/>
          <w:kern w:val="22"/>
          <w:sz w:val="32"/>
          <w:szCs w:val="32"/>
        </w:rPr>
      </w:pPr>
      <w:r>
        <w:rPr>
          <w:rFonts w:hint="eastAsia" w:ascii="仿宋_GB2312" w:hAnsi="仿宋" w:eastAsia="仿宋_GB2312" w:cs="仿宋"/>
          <w:color w:val="000000" w:themeColor="text1"/>
          <w:sz w:val="32"/>
          <w:szCs w:val="32"/>
          <w14:textFill>
            <w14:solidFill>
              <w14:schemeClr w14:val="tx1"/>
            </w14:solidFill>
          </w14:textFill>
        </w:rPr>
        <w:t>报告中所列数据统计期限自2019年1月1日始，至2019年12月31日止。报告电子版可在高青县人民政府门户网站（www.gaoqing.gov.cn）查阅和下载。如对报告内容有疑问，</w:t>
      </w:r>
      <w:r>
        <w:rPr>
          <w:rFonts w:hint="eastAsia" w:ascii="Times New Roman" w:hAnsi="Times New Roman" w:eastAsia="仿宋_GB2312"/>
          <w:kern w:val="22"/>
          <w:sz w:val="32"/>
          <w:szCs w:val="32"/>
        </w:rPr>
        <w:t>请与高青县人民政府办公室联系（地址：高青县城黄河路81号；邮编：256300；电话：0533-6967090；传真：0533-6967065）。</w:t>
      </w:r>
    </w:p>
    <w:p>
      <w:pPr>
        <w:spacing w:line="560" w:lineRule="exact"/>
        <w:ind w:firstLine="640" w:firstLineChars="200"/>
        <w:jc w:val="left"/>
        <w:rPr>
          <w:rFonts w:ascii="黑体" w:hAnsi="黑体" w:eastAsia="黑体"/>
          <w:kern w:val="22"/>
          <w:sz w:val="32"/>
          <w:szCs w:val="32"/>
        </w:rPr>
      </w:pPr>
      <w:r>
        <w:rPr>
          <w:rFonts w:hint="eastAsia" w:ascii="黑体" w:hAnsi="黑体" w:eastAsia="黑体"/>
          <w:kern w:val="22"/>
          <w:sz w:val="32"/>
          <w:szCs w:val="32"/>
        </w:rPr>
        <w:t>一、总体情况</w:t>
      </w:r>
    </w:p>
    <w:p>
      <w:pPr>
        <w:pStyle w:val="8"/>
        <w:widowControl/>
        <w:spacing w:after="0" w:line="560" w:lineRule="exact"/>
        <w:ind w:firstLine="640" w:firstLineChars="200"/>
        <w:jc w:val="both"/>
        <w:rPr>
          <w:rFonts w:ascii="Times New Roman" w:hAnsi="Times New Roman" w:eastAsia="仿宋_GB2312"/>
          <w:kern w:val="22"/>
          <w:sz w:val="32"/>
          <w:szCs w:val="32"/>
        </w:rPr>
      </w:pPr>
      <w:r>
        <w:rPr>
          <w:rFonts w:hint="eastAsia" w:ascii="Times New Roman" w:hAnsi="Times New Roman" w:eastAsia="仿宋_GB2312"/>
          <w:kern w:val="22"/>
          <w:sz w:val="32"/>
          <w:szCs w:val="32"/>
        </w:rPr>
        <w:t>2019年，高青县深入贯彻新修订的《中华人民共和国政府信息公开条例》，认真落实《国务院办公厅关于印发2019年政务公开工作要点的通知》（国办发〔2019〕14号）、《山东省人民政府办公厅关于印发2019年山东省政务公开工作要点的通知》（鲁政办发〔2019〕15号）和《淄博市人民政府办公室关于印发2019年淄博市政务公开工作方案的通知》（淄政办发〔2019〕5号）部署的各项任务，持续做好信息发布、解读回应、政民互动、平台建设，着力推动行政权力全过程公开、公共服务全流程公开、社会关切全方位回应，切实提升政务公开质量，为全年经济社会发展创造更加开放透明的政务环境。</w:t>
      </w:r>
    </w:p>
    <w:p>
      <w:pPr>
        <w:pStyle w:val="8"/>
        <w:widowControl/>
        <w:spacing w:after="0" w:line="560" w:lineRule="exact"/>
        <w:ind w:firstLine="640" w:firstLineChars="200"/>
        <w:jc w:val="both"/>
        <w:rPr>
          <w:rFonts w:ascii="楷体_GB2312" w:hAnsi="Times New Roman" w:eastAsia="楷体_GB2312"/>
          <w:color w:val="FF0000"/>
          <w:kern w:val="22"/>
          <w:sz w:val="32"/>
          <w:szCs w:val="32"/>
        </w:rPr>
      </w:pPr>
      <w:r>
        <w:rPr>
          <w:rFonts w:hint="eastAsia" w:ascii="楷体_GB2312" w:hAnsi="Times New Roman" w:eastAsia="楷体_GB2312"/>
          <w:color w:val="auto"/>
          <w:kern w:val="22"/>
          <w:sz w:val="32"/>
          <w:szCs w:val="32"/>
        </w:rPr>
        <w:t>（一）政府信息公开体制机制建设情况</w:t>
      </w:r>
    </w:p>
    <w:p>
      <w:pPr>
        <w:pStyle w:val="8"/>
        <w:widowControl/>
        <w:spacing w:after="0" w:line="560" w:lineRule="exact"/>
        <w:ind w:firstLine="643" w:firstLineChars="200"/>
        <w:jc w:val="both"/>
        <w:rPr>
          <w:rFonts w:ascii="楷体_GB2312" w:hAnsi="Times New Roman" w:eastAsia="楷体_GB2312"/>
          <w:kern w:val="22"/>
          <w:sz w:val="32"/>
          <w:szCs w:val="32"/>
        </w:rPr>
      </w:pPr>
      <w:r>
        <w:rPr>
          <w:rFonts w:hint="eastAsia" w:ascii="Times New Roman" w:hAnsi="Times New Roman" w:eastAsia="仿宋_GB2312"/>
          <w:b/>
          <w:kern w:val="22"/>
          <w:sz w:val="32"/>
          <w:szCs w:val="32"/>
        </w:rPr>
        <w:t>一</w:t>
      </w:r>
      <w:r>
        <w:rPr>
          <w:rFonts w:hint="eastAsia" w:ascii="Times New Roman" w:hAnsi="Times New Roman" w:eastAsia="仿宋_GB2312"/>
          <w:b w:val="0"/>
          <w:bCs/>
          <w:kern w:val="22"/>
          <w:sz w:val="32"/>
          <w:szCs w:val="32"/>
        </w:rPr>
        <w:t>是强化部署推动</w:t>
      </w:r>
      <w:r>
        <w:rPr>
          <w:rFonts w:hint="eastAsia" w:ascii="Times New Roman" w:hAnsi="Times New Roman" w:eastAsia="仿宋_GB2312"/>
          <w:b/>
          <w:kern w:val="22"/>
          <w:sz w:val="32"/>
          <w:szCs w:val="32"/>
        </w:rPr>
        <w:t>。</w:t>
      </w:r>
      <w:r>
        <w:rPr>
          <w:rFonts w:hint="eastAsia" w:ascii="Times New Roman" w:hAnsi="Times New Roman" w:eastAsia="仿宋_GB2312"/>
          <w:kern w:val="22"/>
          <w:sz w:val="32"/>
          <w:szCs w:val="32"/>
          <w:lang w:val="en-US" w:eastAsia="zh-CN"/>
        </w:rPr>
        <w:t>芦湖街道</w:t>
      </w:r>
      <w:r>
        <w:rPr>
          <w:rFonts w:hint="eastAsia" w:ascii="Times New Roman" w:hAnsi="Times New Roman" w:eastAsia="仿宋_GB2312"/>
          <w:kern w:val="22"/>
          <w:sz w:val="32"/>
          <w:szCs w:val="32"/>
        </w:rPr>
        <w:t>将深化政务公开、大力营造风清气正统一部署，统筹推进；继续明确由</w:t>
      </w:r>
      <w:r>
        <w:rPr>
          <w:rFonts w:hint="eastAsia" w:ascii="Times New Roman" w:hAnsi="Times New Roman" w:eastAsia="仿宋_GB2312"/>
          <w:kern w:val="22"/>
          <w:sz w:val="32"/>
          <w:szCs w:val="32"/>
          <w:lang w:val="en-US" w:eastAsia="zh-CN"/>
        </w:rPr>
        <w:t>副书记</w:t>
      </w:r>
      <w:r>
        <w:rPr>
          <w:rFonts w:hint="eastAsia" w:ascii="Times New Roman" w:hAnsi="Times New Roman" w:eastAsia="仿宋_GB2312"/>
          <w:kern w:val="22"/>
          <w:sz w:val="32"/>
          <w:szCs w:val="32"/>
        </w:rPr>
        <w:t>分管政务公开工作，并向社会公开。</w:t>
      </w:r>
    </w:p>
    <w:p>
      <w:pPr>
        <w:pStyle w:val="8"/>
        <w:widowControl/>
        <w:spacing w:after="0" w:line="560" w:lineRule="exact"/>
        <w:ind w:firstLine="640" w:firstLineChars="200"/>
        <w:jc w:val="both"/>
        <w:rPr>
          <w:rFonts w:ascii="楷体_GB2312" w:hAnsi="Times New Roman" w:eastAsia="楷体_GB2312"/>
          <w:color w:val="auto"/>
          <w:kern w:val="22"/>
          <w:sz w:val="32"/>
          <w:szCs w:val="32"/>
        </w:rPr>
      </w:pPr>
      <w:r>
        <w:rPr>
          <w:rFonts w:hint="eastAsia" w:ascii="楷体_GB2312" w:hAnsi="Times New Roman" w:eastAsia="楷体_GB2312"/>
          <w:color w:val="auto"/>
          <w:kern w:val="22"/>
          <w:sz w:val="32"/>
          <w:szCs w:val="32"/>
        </w:rPr>
        <w:t>（二）主动公开政府信息情况</w:t>
      </w:r>
    </w:p>
    <w:p>
      <w:pPr>
        <w:pStyle w:val="8"/>
        <w:widowControl/>
        <w:spacing w:after="0" w:line="560" w:lineRule="exact"/>
        <w:ind w:firstLine="640" w:firstLineChars="200"/>
        <w:jc w:val="both"/>
        <w:rPr>
          <w:rFonts w:ascii="楷体_GB2312" w:hAnsi="Times New Roman" w:eastAsia="楷体_GB2312"/>
          <w:kern w:val="22"/>
          <w:sz w:val="32"/>
          <w:szCs w:val="32"/>
        </w:rPr>
      </w:pPr>
      <w:r>
        <w:rPr>
          <w:rFonts w:hint="eastAsia" w:ascii="仿宋_GB2312" w:eastAsia="仿宋_GB2312"/>
          <w:b w:val="0"/>
          <w:bCs/>
          <w:color w:val="auto"/>
          <w:sz w:val="32"/>
          <w:szCs w:val="32"/>
        </w:rPr>
        <w:t>人大代表建议和政协委员提案办理结果公开方面</w:t>
      </w:r>
      <w:r>
        <w:rPr>
          <w:rFonts w:hint="eastAsia" w:ascii="仿宋_GB2312" w:eastAsia="仿宋_GB2312"/>
          <w:color w:val="auto"/>
          <w:sz w:val="32"/>
          <w:szCs w:val="32"/>
        </w:rPr>
        <w:t>：</w:t>
      </w:r>
      <w:r>
        <w:rPr>
          <w:rFonts w:hint="eastAsia" w:ascii="仿宋_GB2312" w:eastAsia="仿宋_GB2312"/>
          <w:sz w:val="32"/>
          <w:szCs w:val="32"/>
        </w:rPr>
        <w:t>按照《高青县人民政府办公室关于做好2019年度政府系统建议提案办理工作的通知》（高政办字〔2019〕14号）要求，在县政府网站“建议提案办理”栏目主动公开人大代表建议和政协委员提案办理情况。2019年主动公开县政府承办的1件县人大代表建议整体办理情况，对涉及公共利益、公众权益、社会关切及需要社会广泛知晓的建议和提案办理复文全文予以公开。</w:t>
      </w:r>
    </w:p>
    <w:p>
      <w:pPr>
        <w:pStyle w:val="8"/>
        <w:widowControl/>
        <w:spacing w:after="0" w:line="560" w:lineRule="exact"/>
        <w:ind w:firstLine="640" w:firstLineChars="200"/>
        <w:jc w:val="both"/>
        <w:rPr>
          <w:rFonts w:ascii="楷体_GB2312" w:hAnsi="Times New Roman" w:eastAsia="楷体_GB2312"/>
          <w:color w:val="auto"/>
          <w:kern w:val="22"/>
          <w:sz w:val="32"/>
          <w:szCs w:val="32"/>
        </w:rPr>
      </w:pPr>
      <w:r>
        <w:rPr>
          <w:rFonts w:hint="eastAsia" w:ascii="楷体_GB2312" w:hAnsi="Times New Roman" w:eastAsia="楷体_GB2312"/>
          <w:color w:val="auto"/>
          <w:kern w:val="22"/>
          <w:sz w:val="32"/>
          <w:szCs w:val="32"/>
        </w:rPr>
        <w:t>（三）依申请公开情况</w:t>
      </w:r>
    </w:p>
    <w:p>
      <w:pPr>
        <w:pStyle w:val="8"/>
        <w:widowControl/>
        <w:spacing w:after="0" w:line="560" w:lineRule="exact"/>
        <w:ind w:firstLine="640" w:firstLineChars="200"/>
        <w:jc w:val="both"/>
        <w:rPr>
          <w:rFonts w:ascii="楷体_GB2312" w:hAnsi="Times New Roman" w:eastAsia="楷体_GB2312"/>
          <w:kern w:val="22"/>
          <w:sz w:val="32"/>
          <w:szCs w:val="32"/>
        </w:rPr>
      </w:pPr>
      <w:r>
        <w:rPr>
          <w:rFonts w:hint="eastAsia" w:ascii="仿宋_GB2312" w:hAnsi="仿宋" w:eastAsia="仿宋_GB2312" w:cs="仿宋_GB2312"/>
          <w:sz w:val="32"/>
          <w:szCs w:val="32"/>
        </w:rPr>
        <w:t>对于申请的信息可以公开的，提供该政府信息，或者告知申请人获取该政府信息的方式、途径和时间；对于申请的信息不属于本机关公开范围的，告知申请人并说明理由，能够确定公开机关的，告知申请人该机关的名称和联系方式；</w:t>
      </w:r>
      <w:r>
        <w:rPr>
          <w:rFonts w:ascii="仿宋_GB2312" w:hAnsi="仿宋" w:eastAsia="仿宋_GB2312" w:cs="仿宋_GB2312"/>
          <w:sz w:val="32"/>
          <w:szCs w:val="32"/>
        </w:rPr>
        <w:t>对于较为复杂的申请件，主动与申请人沟通，了解群众需求，避免因误解引起行政复议或</w:t>
      </w:r>
      <w:r>
        <w:rPr>
          <w:rFonts w:hint="eastAsia" w:ascii="仿宋_GB2312" w:hAnsi="仿宋" w:eastAsia="仿宋_GB2312" w:cs="仿宋_GB2312"/>
          <w:sz w:val="32"/>
          <w:szCs w:val="32"/>
        </w:rPr>
        <w:t>行政</w:t>
      </w:r>
      <w:r>
        <w:rPr>
          <w:rFonts w:ascii="仿宋_GB2312" w:hAnsi="仿宋" w:eastAsia="仿宋_GB2312" w:cs="仿宋_GB2312"/>
          <w:sz w:val="32"/>
          <w:szCs w:val="32"/>
        </w:rPr>
        <w:t>诉讼</w:t>
      </w:r>
      <w:r>
        <w:rPr>
          <w:rFonts w:hint="eastAsia" w:ascii="仿宋_GB2312" w:hAnsi="仿宋" w:eastAsia="仿宋_GB2312" w:cs="仿宋_GB2312"/>
          <w:sz w:val="32"/>
          <w:szCs w:val="32"/>
        </w:rPr>
        <w:t>。</w:t>
      </w:r>
    </w:p>
    <w:p>
      <w:pPr>
        <w:spacing w:line="560" w:lineRule="exact"/>
        <w:ind w:firstLine="640" w:firstLineChars="200"/>
        <w:rPr>
          <w:rFonts w:ascii="仿宋_GB2312" w:hAnsi="仿宋" w:eastAsia="仿宋_GB2312" w:cs="仿宋_GB2312"/>
          <w:kern w:val="0"/>
          <w:sz w:val="32"/>
          <w:szCs w:val="32"/>
          <w:lang w:val="en-US" w:eastAsia="zh-CN" w:bidi="ar-SA"/>
        </w:rPr>
      </w:pPr>
      <w:r>
        <w:rPr>
          <w:rFonts w:ascii="仿宋_GB2312" w:hAnsi="仿宋" w:eastAsia="仿宋_GB2312" w:cs="仿宋_GB2312"/>
          <w:kern w:val="0"/>
          <w:sz w:val="32"/>
          <w:szCs w:val="32"/>
          <w:lang w:val="en-US" w:eastAsia="zh-CN" w:bidi="ar-SA"/>
        </w:rPr>
        <w:t>1.</w:t>
      </w:r>
      <w:r>
        <w:rPr>
          <w:rFonts w:hint="eastAsia" w:ascii="仿宋_GB2312" w:hAnsi="仿宋" w:eastAsia="仿宋_GB2312" w:cs="仿宋_GB2312"/>
          <w:kern w:val="0"/>
          <w:sz w:val="32"/>
          <w:szCs w:val="32"/>
          <w:lang w:val="en-US" w:eastAsia="zh-CN" w:bidi="ar-SA"/>
        </w:rPr>
        <w:t>收到和处理政府信息公开申请情况</w:t>
      </w:r>
    </w:p>
    <w:p>
      <w:pPr>
        <w:pStyle w:val="8"/>
        <w:widowControl/>
        <w:spacing w:after="0" w:line="560" w:lineRule="exact"/>
        <w:ind w:firstLine="640" w:firstLineChars="200"/>
        <w:rPr>
          <w:rFonts w:ascii="Times New Roman" w:hAnsi="Times New Roman" w:eastAsia="仿宋_GB2312"/>
          <w:kern w:val="22"/>
          <w:sz w:val="32"/>
          <w:szCs w:val="32"/>
        </w:rPr>
      </w:pPr>
      <w:r>
        <w:rPr>
          <w:rFonts w:hint="eastAsia" w:ascii="Times New Roman" w:hAnsi="Times New Roman" w:eastAsia="仿宋_GB2312"/>
          <w:kern w:val="22"/>
          <w:sz w:val="32"/>
          <w:szCs w:val="32"/>
        </w:rPr>
        <w:t>2019年，</w:t>
      </w:r>
      <w:r>
        <w:rPr>
          <w:rFonts w:hint="eastAsia" w:ascii="Times New Roman" w:hAnsi="Times New Roman" w:eastAsia="仿宋_GB2312"/>
          <w:kern w:val="22"/>
          <w:sz w:val="32"/>
          <w:szCs w:val="32"/>
          <w:lang w:val="en-US" w:eastAsia="zh-CN"/>
        </w:rPr>
        <w:t>芦湖街道</w:t>
      </w:r>
      <w:r>
        <w:rPr>
          <w:rFonts w:hint="eastAsia" w:ascii="Times New Roman" w:hAnsi="Times New Roman" w:eastAsia="仿宋_GB2312"/>
          <w:kern w:val="22"/>
          <w:sz w:val="32"/>
          <w:szCs w:val="32"/>
        </w:rPr>
        <w:t>共收到政府信息公开申请</w:t>
      </w:r>
      <w:r>
        <w:rPr>
          <w:rFonts w:hint="eastAsia" w:ascii="Times New Roman" w:hAnsi="Times New Roman" w:eastAsia="仿宋_GB2312"/>
          <w:kern w:val="22"/>
          <w:sz w:val="32"/>
          <w:szCs w:val="32"/>
          <w:lang w:val="en-US" w:eastAsia="zh-CN"/>
        </w:rPr>
        <w:t>1</w:t>
      </w:r>
      <w:r>
        <w:rPr>
          <w:rFonts w:hint="eastAsia" w:ascii="Times New Roman" w:hAnsi="Times New Roman" w:eastAsia="仿宋_GB2312"/>
          <w:kern w:val="22"/>
          <w:sz w:val="32"/>
          <w:szCs w:val="32"/>
        </w:rPr>
        <w:t>件，2018年度结转政府信息公开申请</w:t>
      </w:r>
      <w:r>
        <w:rPr>
          <w:rFonts w:hint="eastAsia" w:ascii="Times New Roman" w:hAnsi="Times New Roman" w:eastAsia="仿宋_GB2312"/>
          <w:kern w:val="22"/>
          <w:sz w:val="32"/>
          <w:szCs w:val="32"/>
          <w:lang w:val="en-US" w:eastAsia="zh-CN"/>
        </w:rPr>
        <w:t>0</w:t>
      </w:r>
      <w:r>
        <w:rPr>
          <w:rFonts w:hint="eastAsia" w:ascii="Times New Roman" w:hAnsi="Times New Roman" w:eastAsia="仿宋_GB2312"/>
          <w:kern w:val="22"/>
          <w:sz w:val="32"/>
          <w:szCs w:val="32"/>
        </w:rPr>
        <w:t>件。</w:t>
      </w:r>
    </w:p>
    <w:p>
      <w:pPr>
        <w:pStyle w:val="8"/>
        <w:widowControl/>
        <w:spacing w:after="0" w:line="560" w:lineRule="exact"/>
        <w:ind w:firstLine="640" w:firstLineChars="200"/>
        <w:rPr>
          <w:rFonts w:ascii="Times New Roman" w:hAnsi="Times New Roman" w:eastAsia="仿宋_GB2312"/>
          <w:kern w:val="22"/>
          <w:sz w:val="32"/>
          <w:szCs w:val="32"/>
        </w:rPr>
      </w:pPr>
      <w:r>
        <w:rPr>
          <w:rFonts w:hint="eastAsia" w:ascii="仿宋_GB2312" w:hAnsi="仿宋" w:eastAsia="仿宋_GB2312" w:cs="仿宋_GB2312"/>
          <w:kern w:val="0"/>
          <w:sz w:val="32"/>
          <w:szCs w:val="32"/>
          <w:lang w:val="en-US" w:eastAsia="zh-CN" w:bidi="ar-SA"/>
        </w:rPr>
        <w:t>申请内容情况</w:t>
      </w:r>
      <w:r>
        <w:rPr>
          <w:rFonts w:hint="eastAsia" w:ascii="Times New Roman" w:hAnsi="Times New Roman" w:eastAsia="仿宋_GB2312"/>
          <w:b/>
          <w:kern w:val="22"/>
          <w:sz w:val="32"/>
          <w:szCs w:val="32"/>
        </w:rPr>
        <w:t>：</w:t>
      </w:r>
      <w:r>
        <w:rPr>
          <w:rFonts w:hint="eastAsia" w:ascii="Times New Roman" w:hAnsi="Times New Roman" w:eastAsia="仿宋_GB2312"/>
          <w:kern w:val="22"/>
          <w:sz w:val="32"/>
          <w:szCs w:val="32"/>
        </w:rPr>
        <w:t>政府信息公开申请的内容主要涉及征地补偿、房屋拆迁、棚户区改造等方面。</w:t>
      </w:r>
    </w:p>
    <w:p>
      <w:pPr>
        <w:spacing w:line="560" w:lineRule="exact"/>
        <w:ind w:firstLine="640" w:firstLineChars="200"/>
        <w:rPr>
          <w:rFonts w:ascii="Times New Roman" w:hAnsi="Times New Roman" w:eastAsia="仿宋_GB2312"/>
          <w:kern w:val="22"/>
          <w:sz w:val="32"/>
          <w:szCs w:val="32"/>
        </w:rPr>
      </w:pPr>
      <w:r>
        <w:rPr>
          <w:rFonts w:hint="eastAsia" w:ascii="仿宋_GB2312" w:hAnsi="仿宋" w:eastAsia="仿宋_GB2312" w:cs="仿宋_GB2312"/>
          <w:kern w:val="0"/>
          <w:sz w:val="32"/>
          <w:szCs w:val="32"/>
          <w:lang w:val="en-US" w:eastAsia="zh-CN" w:bidi="ar-SA"/>
        </w:rPr>
        <w:t>申请处理情况</w:t>
      </w:r>
      <w:r>
        <w:rPr>
          <w:rFonts w:hint="eastAsia" w:ascii="Times New Roman" w:hAnsi="Times New Roman" w:eastAsia="仿宋_GB2312"/>
          <w:b/>
          <w:kern w:val="22"/>
          <w:sz w:val="32"/>
          <w:szCs w:val="32"/>
        </w:rPr>
        <w:t>：</w:t>
      </w:r>
      <w:r>
        <w:rPr>
          <w:rFonts w:hint="eastAsia" w:ascii="Times New Roman" w:hAnsi="Times New Roman" w:eastAsia="仿宋_GB2312"/>
          <w:kern w:val="22"/>
          <w:sz w:val="32"/>
          <w:szCs w:val="32"/>
        </w:rPr>
        <w:t>2019年共办结信息公开申请</w:t>
      </w:r>
      <w:r>
        <w:rPr>
          <w:rFonts w:hint="eastAsia" w:ascii="Times New Roman" w:hAnsi="Times New Roman" w:eastAsia="仿宋_GB2312"/>
          <w:kern w:val="22"/>
          <w:sz w:val="32"/>
          <w:szCs w:val="32"/>
          <w:lang w:val="en-US" w:eastAsia="zh-CN"/>
        </w:rPr>
        <w:t>1</w:t>
      </w:r>
      <w:r>
        <w:rPr>
          <w:rFonts w:hint="eastAsia" w:ascii="Times New Roman" w:hAnsi="Times New Roman" w:eastAsia="仿宋_GB2312"/>
          <w:kern w:val="22"/>
          <w:sz w:val="32"/>
          <w:szCs w:val="32"/>
        </w:rPr>
        <w:t>件。</w:t>
      </w:r>
      <w:r>
        <w:rPr>
          <w:rFonts w:ascii="Times New Roman" w:hAnsi="Times New Roman" w:eastAsia="仿宋_GB2312"/>
          <w:sz w:val="32"/>
          <w:szCs w:val="32"/>
        </w:rPr>
        <w:t>在答复的申请中：</w:t>
      </w:r>
    </w:p>
    <w:p>
      <w:pPr>
        <w:spacing w:line="560" w:lineRule="exact"/>
        <w:ind w:firstLine="640" w:firstLineChars="200"/>
        <w:rPr>
          <w:rFonts w:ascii="Times New Roman" w:hAnsi="Times New Roman" w:eastAsia="仿宋_GB2312"/>
          <w:b/>
          <w:sz w:val="32"/>
          <w:szCs w:val="32"/>
        </w:rPr>
      </w:pPr>
      <w:r>
        <w:rPr>
          <w:rFonts w:hint="eastAsia" w:ascii="Times New Roman" w:hAnsi="Times New Roman" w:eastAsia="仿宋_GB2312"/>
          <w:kern w:val="22"/>
          <w:sz w:val="32"/>
          <w:szCs w:val="32"/>
        </w:rPr>
        <w:t>予以公开的办件有1件，占</w:t>
      </w:r>
      <w:r>
        <w:rPr>
          <w:rFonts w:hint="eastAsia" w:ascii="Times New Roman" w:hAnsi="Times New Roman" w:eastAsia="仿宋_GB2312"/>
          <w:kern w:val="22"/>
          <w:sz w:val="32"/>
          <w:szCs w:val="32"/>
          <w:lang w:val="en-US" w:eastAsia="zh-CN"/>
        </w:rPr>
        <w:t>100%</w:t>
      </w:r>
      <w:r>
        <w:rPr>
          <w:rFonts w:hint="eastAsia" w:ascii="Times New Roman" w:hAnsi="Times New Roman" w:eastAsia="仿宋_GB2312"/>
          <w:kern w:val="22"/>
          <w:sz w:val="32"/>
          <w:szCs w:val="32"/>
        </w:rPr>
        <w:t>；</w:t>
      </w:r>
    </w:p>
    <w:p>
      <w:pPr>
        <w:pStyle w:val="8"/>
        <w:widowControl/>
        <w:spacing w:after="0" w:line="560" w:lineRule="exact"/>
        <w:ind w:firstLine="640" w:firstLineChars="200"/>
        <w:jc w:val="both"/>
        <w:rPr>
          <w:rFonts w:hint="eastAsia" w:ascii="Times New Roman" w:hAnsi="Times New Roman" w:eastAsia="仿宋_GB2312" w:cs="Times New Roman"/>
          <w:kern w:val="22"/>
          <w:sz w:val="32"/>
          <w:szCs w:val="32"/>
          <w:lang w:val="en-US" w:eastAsia="zh-CN" w:bidi="ar-SA"/>
        </w:rPr>
      </w:pPr>
      <w:r>
        <w:rPr>
          <w:rFonts w:hint="eastAsia" w:ascii="Times New Roman" w:hAnsi="Times New Roman" w:eastAsia="仿宋_GB2312" w:cs="Times New Roman"/>
          <w:kern w:val="22"/>
          <w:sz w:val="32"/>
          <w:szCs w:val="32"/>
          <w:lang w:val="en-US" w:eastAsia="zh-CN" w:bidi="ar-SA"/>
        </w:rPr>
        <w:t>2.收费及减免情况</w:t>
      </w:r>
    </w:p>
    <w:p>
      <w:pPr>
        <w:pStyle w:val="8"/>
        <w:widowControl/>
        <w:spacing w:after="0" w:line="560" w:lineRule="exact"/>
        <w:ind w:firstLine="640" w:firstLineChars="200"/>
        <w:jc w:val="both"/>
        <w:rPr>
          <w:rFonts w:hint="eastAsia" w:ascii="Times New Roman" w:hAnsi="Times New Roman" w:eastAsia="仿宋_GB2312" w:cs="Times New Roman"/>
          <w:kern w:val="22"/>
          <w:sz w:val="32"/>
          <w:szCs w:val="32"/>
          <w:lang w:val="en-US" w:eastAsia="zh-CN" w:bidi="ar-SA"/>
        </w:rPr>
      </w:pPr>
      <w:r>
        <w:rPr>
          <w:rFonts w:hint="eastAsia" w:ascii="Times New Roman" w:hAnsi="Times New Roman" w:eastAsia="仿宋_GB2312" w:cs="Times New Roman"/>
          <w:kern w:val="22"/>
          <w:sz w:val="32"/>
          <w:szCs w:val="32"/>
          <w:lang w:val="en-US" w:eastAsia="zh-CN" w:bidi="ar-SA"/>
        </w:rPr>
        <w:t>本年度，全县各级各部门在政府信息公开申请办理过程中，未收取任何费用。</w:t>
      </w:r>
    </w:p>
    <w:p>
      <w:pPr>
        <w:pStyle w:val="8"/>
        <w:widowControl/>
        <w:spacing w:after="0" w:line="560" w:lineRule="exact"/>
        <w:ind w:firstLine="640" w:firstLineChars="200"/>
        <w:jc w:val="both"/>
        <w:rPr>
          <w:rFonts w:hint="eastAsia" w:ascii="Times New Roman" w:hAnsi="Times New Roman" w:eastAsia="仿宋_GB2312" w:cs="Times New Roman"/>
          <w:kern w:val="22"/>
          <w:sz w:val="32"/>
          <w:szCs w:val="32"/>
          <w:lang w:val="en-US" w:eastAsia="zh-CN" w:bidi="ar-SA"/>
        </w:rPr>
      </w:pPr>
      <w:r>
        <w:rPr>
          <w:rFonts w:hint="eastAsia" w:ascii="Times New Roman" w:hAnsi="Times New Roman" w:eastAsia="仿宋_GB2312" w:cs="Times New Roman"/>
          <w:kern w:val="22"/>
          <w:sz w:val="32"/>
          <w:szCs w:val="32"/>
          <w:lang w:val="en-US" w:eastAsia="zh-CN" w:bidi="ar-SA"/>
        </w:rPr>
        <w:t>3.政府信息公开行政复议、行政诉讼情况</w:t>
      </w:r>
    </w:p>
    <w:p>
      <w:pPr>
        <w:pStyle w:val="8"/>
        <w:widowControl/>
        <w:spacing w:after="0" w:line="560" w:lineRule="exact"/>
        <w:ind w:firstLine="640" w:firstLineChars="200"/>
        <w:jc w:val="both"/>
        <w:rPr>
          <w:rFonts w:ascii="Times New Roman" w:hAnsi="Times New Roman" w:eastAsia="仿宋_GB2312"/>
          <w:kern w:val="22"/>
          <w:sz w:val="32"/>
          <w:szCs w:val="32"/>
        </w:rPr>
      </w:pPr>
      <w:r>
        <w:rPr>
          <w:rFonts w:hint="eastAsia" w:ascii="Times New Roman" w:hAnsi="Times New Roman" w:eastAsia="仿宋_GB2312"/>
          <w:kern w:val="22"/>
          <w:sz w:val="32"/>
          <w:szCs w:val="32"/>
        </w:rPr>
        <w:t>2019年，</w:t>
      </w:r>
      <w:r>
        <w:rPr>
          <w:rFonts w:hint="eastAsia" w:ascii="Times New Roman" w:hAnsi="Times New Roman" w:eastAsia="仿宋_GB2312"/>
          <w:kern w:val="22"/>
          <w:sz w:val="32"/>
          <w:szCs w:val="32"/>
          <w:lang w:val="en-US" w:eastAsia="zh-CN"/>
        </w:rPr>
        <w:t>芦湖街道</w:t>
      </w:r>
      <w:r>
        <w:rPr>
          <w:rFonts w:hint="eastAsia" w:ascii="Times New Roman" w:hAnsi="Times New Roman" w:eastAsia="仿宋_GB2312"/>
          <w:kern w:val="22"/>
          <w:sz w:val="32"/>
          <w:szCs w:val="32"/>
        </w:rPr>
        <w:t>政府信息公开行政复议</w:t>
      </w:r>
      <w:r>
        <w:rPr>
          <w:rFonts w:hint="eastAsia" w:ascii="Times New Roman" w:hAnsi="Times New Roman" w:eastAsia="仿宋_GB2312"/>
          <w:kern w:val="22"/>
          <w:sz w:val="32"/>
          <w:szCs w:val="32"/>
          <w:lang w:val="en-US" w:eastAsia="zh-CN"/>
        </w:rPr>
        <w:t>0</w:t>
      </w:r>
      <w:r>
        <w:rPr>
          <w:rFonts w:hint="eastAsia" w:ascii="Times New Roman" w:hAnsi="Times New Roman" w:eastAsia="仿宋_GB2312"/>
          <w:kern w:val="22"/>
          <w:sz w:val="32"/>
          <w:szCs w:val="32"/>
        </w:rPr>
        <w:t>件，其中：</w:t>
      </w:r>
    </w:p>
    <w:p>
      <w:pPr>
        <w:pStyle w:val="8"/>
        <w:widowControl/>
        <w:spacing w:after="0" w:line="560" w:lineRule="exact"/>
        <w:ind w:firstLine="640" w:firstLineChars="200"/>
        <w:jc w:val="both"/>
        <w:rPr>
          <w:rFonts w:ascii="楷体_GB2312" w:hAnsi="Times New Roman" w:eastAsia="楷体_GB2312"/>
          <w:color w:val="auto"/>
          <w:kern w:val="22"/>
          <w:sz w:val="32"/>
          <w:szCs w:val="32"/>
        </w:rPr>
      </w:pPr>
      <w:r>
        <w:rPr>
          <w:rFonts w:hint="eastAsia" w:ascii="楷体_GB2312" w:hAnsi="Times New Roman" w:eastAsia="楷体_GB2312"/>
          <w:color w:val="auto"/>
          <w:kern w:val="22"/>
          <w:sz w:val="32"/>
          <w:szCs w:val="32"/>
        </w:rPr>
        <w:t>（四）政府信息管理情况</w:t>
      </w:r>
    </w:p>
    <w:p>
      <w:pPr>
        <w:pStyle w:val="8"/>
        <w:widowControl/>
        <w:spacing w:after="0" w:line="560" w:lineRule="exact"/>
        <w:ind w:firstLine="640" w:firstLineChars="200"/>
        <w:jc w:val="both"/>
        <w:rPr>
          <w:rFonts w:hint="eastAsia" w:ascii="Times New Roman" w:hAnsi="Times New Roman" w:eastAsia="仿宋_GB2312"/>
          <w:kern w:val="22"/>
          <w:sz w:val="32"/>
          <w:szCs w:val="32"/>
        </w:rPr>
      </w:pPr>
      <w:r>
        <w:rPr>
          <w:rFonts w:hint="eastAsia" w:ascii="Times New Roman" w:hAnsi="Times New Roman" w:eastAsia="仿宋_GB2312"/>
          <w:kern w:val="22"/>
          <w:sz w:val="32"/>
          <w:szCs w:val="32"/>
        </w:rPr>
        <w:t>一是加强政府信息规范管理，认真落实政府信息公开标准规范，进一步完善信息公开相关工作制度，严格对照目录要求梳理、收集、发布相关信息，逐步提高街道政务公开工作水平</w:t>
      </w:r>
    </w:p>
    <w:p>
      <w:pPr>
        <w:pStyle w:val="8"/>
        <w:widowControl/>
        <w:spacing w:after="0" w:line="560" w:lineRule="exact"/>
        <w:ind w:firstLine="640" w:firstLineChars="200"/>
        <w:jc w:val="both"/>
        <w:rPr>
          <w:rFonts w:hint="eastAsia" w:ascii="Times New Roman" w:hAnsi="Times New Roman" w:eastAsia="仿宋_GB2312"/>
          <w:kern w:val="22"/>
          <w:sz w:val="32"/>
          <w:szCs w:val="32"/>
        </w:rPr>
      </w:pPr>
      <w:r>
        <w:rPr>
          <w:rFonts w:hint="eastAsia" w:ascii="Times New Roman" w:hAnsi="Times New Roman" w:eastAsia="仿宋_GB2312"/>
          <w:kern w:val="22"/>
          <w:sz w:val="32"/>
          <w:szCs w:val="32"/>
        </w:rPr>
        <w:t>二是加强政府信息公开培训，召开了2次培训会，着力加强政府信息公开工作的培训和宣传。进一步增强机关工作人员，特别是政府信息公开工作人员关于信息公开工作规定及相关法律知识的教育培训，切实提高其依法公开政府信息的意识和能力。</w:t>
      </w:r>
    </w:p>
    <w:p>
      <w:pPr>
        <w:pStyle w:val="8"/>
        <w:widowControl/>
        <w:spacing w:after="0" w:line="560" w:lineRule="exact"/>
        <w:ind w:firstLine="640" w:firstLineChars="200"/>
        <w:jc w:val="both"/>
        <w:rPr>
          <w:rFonts w:ascii="楷体_GB2312" w:hAnsi="Times New Roman" w:eastAsia="楷体_GB2312"/>
          <w:color w:val="FF0000"/>
          <w:kern w:val="22"/>
          <w:sz w:val="32"/>
          <w:szCs w:val="32"/>
        </w:rPr>
      </w:pPr>
      <w:r>
        <w:rPr>
          <w:rFonts w:hint="eastAsia" w:ascii="楷体_GB2312" w:hAnsi="Times New Roman" w:eastAsia="楷体_GB2312"/>
          <w:color w:val="auto"/>
          <w:kern w:val="22"/>
          <w:sz w:val="32"/>
          <w:szCs w:val="32"/>
        </w:rPr>
        <w:t>（五）政府信息公开平台、机构建设和人员情况</w:t>
      </w:r>
    </w:p>
    <w:p>
      <w:pPr>
        <w:pStyle w:val="8"/>
        <w:widowControl/>
        <w:spacing w:after="0" w:line="560" w:lineRule="exact"/>
        <w:ind w:firstLine="643" w:firstLineChars="200"/>
        <w:jc w:val="both"/>
        <w:rPr>
          <w:rFonts w:ascii="Times New Roman" w:hAnsi="Times New Roman" w:eastAsia="仿宋_GB2312"/>
          <w:kern w:val="22"/>
          <w:sz w:val="32"/>
          <w:szCs w:val="32"/>
        </w:rPr>
      </w:pPr>
      <w:r>
        <w:rPr>
          <w:rFonts w:hint="eastAsia" w:ascii="Times New Roman" w:hAnsi="Times New Roman" w:eastAsia="仿宋_GB2312"/>
          <w:b/>
          <w:kern w:val="22"/>
          <w:sz w:val="32"/>
          <w:szCs w:val="32"/>
        </w:rPr>
        <w:t>一是加强平台建设。</w:t>
      </w:r>
      <w:r>
        <w:rPr>
          <w:rFonts w:ascii="Times New Roman" w:hAnsi="Times New Roman" w:eastAsia="仿宋_GB2312"/>
          <w:kern w:val="22"/>
          <w:sz w:val="32"/>
          <w:szCs w:val="32"/>
        </w:rPr>
        <w:t>强化</w:t>
      </w:r>
      <w:r>
        <w:rPr>
          <w:rFonts w:hint="eastAsia" w:ascii="Times New Roman" w:hAnsi="Times New Roman" w:eastAsia="仿宋_GB2312"/>
          <w:kern w:val="22"/>
          <w:sz w:val="32"/>
          <w:szCs w:val="32"/>
        </w:rPr>
        <w:t>县</w:t>
      </w:r>
      <w:r>
        <w:rPr>
          <w:rFonts w:ascii="Times New Roman" w:hAnsi="Times New Roman" w:eastAsia="仿宋_GB2312"/>
          <w:kern w:val="22"/>
          <w:sz w:val="32"/>
          <w:szCs w:val="32"/>
        </w:rPr>
        <w:t>政府门户网站</w:t>
      </w:r>
      <w:r>
        <w:rPr>
          <w:rFonts w:hint="eastAsia" w:ascii="Times New Roman" w:hAnsi="Times New Roman" w:eastAsia="仿宋_GB2312"/>
          <w:kern w:val="22"/>
          <w:sz w:val="32"/>
          <w:szCs w:val="32"/>
        </w:rPr>
        <w:t>政务公开</w:t>
      </w:r>
      <w:r>
        <w:rPr>
          <w:rFonts w:ascii="Times New Roman" w:hAnsi="Times New Roman" w:eastAsia="仿宋_GB2312"/>
          <w:kern w:val="22"/>
          <w:sz w:val="32"/>
          <w:szCs w:val="32"/>
        </w:rPr>
        <w:t>第一平台作用</w:t>
      </w:r>
      <w:r>
        <w:rPr>
          <w:rFonts w:hint="eastAsia" w:ascii="Times New Roman" w:hAnsi="Times New Roman" w:eastAsia="仿宋_GB2312"/>
          <w:kern w:val="22"/>
          <w:sz w:val="32"/>
          <w:szCs w:val="32"/>
        </w:rPr>
        <w:t>，完善政府信息公开目录，加大重点领域信息公开力度，在县</w:t>
      </w:r>
      <w:r>
        <w:rPr>
          <w:rFonts w:ascii="Times New Roman" w:hAnsi="Times New Roman" w:eastAsia="仿宋_GB2312"/>
          <w:kern w:val="22"/>
          <w:sz w:val="32"/>
          <w:szCs w:val="32"/>
        </w:rPr>
        <w:t>政府门户网站</w:t>
      </w:r>
      <w:r>
        <w:rPr>
          <w:rFonts w:hint="eastAsia" w:ascii="Times New Roman" w:hAnsi="Times New Roman" w:eastAsia="仿宋_GB2312"/>
          <w:kern w:val="22"/>
          <w:sz w:val="32"/>
          <w:szCs w:val="32"/>
        </w:rPr>
        <w:t>新开设“领导信息”栏目，全面公开县政府领导班子成员分工和工作简历，接受社会监督。</w:t>
      </w:r>
      <w:r>
        <w:rPr>
          <w:rFonts w:hint="eastAsia" w:ascii="仿宋_GB2312" w:hAnsi="仿宋" w:eastAsia="仿宋_GB2312" w:cs="仿宋_GB2312"/>
          <w:bCs/>
          <w:sz w:val="32"/>
          <w:szCs w:val="32"/>
        </w:rPr>
        <w:t>加大政务微博、微信等新媒体平台的政务公开力度，</w:t>
      </w:r>
      <w:r>
        <w:rPr>
          <w:rFonts w:hint="eastAsia" w:ascii="仿宋_GB2312" w:hAnsi="仿宋" w:eastAsia="仿宋_GB2312" w:cs="仿宋"/>
          <w:color w:val="000000" w:themeColor="text1"/>
          <w:sz w:val="32"/>
          <w:szCs w:val="32"/>
          <w14:textFill>
            <w14:solidFill>
              <w14:schemeClr w14:val="tx1"/>
            </w14:solidFill>
          </w14:textFill>
        </w:rPr>
        <w:t>统筹推进政务新媒体与政府网站的协同联动、融合发展，提升信息发布、解读回应、政民互动、办事服务的整体水平。</w:t>
      </w:r>
    </w:p>
    <w:p>
      <w:pPr>
        <w:pStyle w:val="8"/>
        <w:widowControl/>
        <w:spacing w:after="0" w:line="560" w:lineRule="exact"/>
        <w:ind w:firstLine="643" w:firstLineChars="200"/>
        <w:jc w:val="both"/>
        <w:rPr>
          <w:rFonts w:ascii="Times New Roman" w:hAnsi="Times New Roman" w:eastAsia="仿宋_GB2312"/>
          <w:kern w:val="22"/>
          <w:sz w:val="32"/>
          <w:szCs w:val="32"/>
        </w:rPr>
      </w:pPr>
      <w:r>
        <w:rPr>
          <w:rFonts w:hint="eastAsia" w:ascii="Times New Roman" w:hAnsi="Times New Roman" w:eastAsia="仿宋_GB2312"/>
          <w:b/>
          <w:kern w:val="22"/>
          <w:sz w:val="32"/>
          <w:szCs w:val="32"/>
        </w:rPr>
        <w:t>二是强化机构建设。</w:t>
      </w:r>
      <w:r>
        <w:rPr>
          <w:rFonts w:hint="eastAsia" w:ascii="Times New Roman" w:hAnsi="Times New Roman" w:eastAsia="仿宋_GB2312"/>
          <w:kern w:val="22"/>
          <w:sz w:val="32"/>
          <w:szCs w:val="32"/>
          <w:lang w:val="en-US" w:eastAsia="zh-CN"/>
        </w:rPr>
        <w:t>芦湖街道党政</w:t>
      </w:r>
      <w:r>
        <w:rPr>
          <w:rFonts w:hint="eastAsia" w:ascii="Times New Roman" w:hAnsi="Times New Roman" w:eastAsia="仿宋_GB2312"/>
          <w:kern w:val="22"/>
          <w:sz w:val="32"/>
          <w:szCs w:val="32"/>
        </w:rPr>
        <w:t xml:space="preserve">办公室作为政府信息公开工作具体科室，2人负责政务公开工作，其中1人专职，1人兼职。 </w:t>
      </w:r>
    </w:p>
    <w:p>
      <w:pPr>
        <w:pStyle w:val="8"/>
        <w:widowControl/>
        <w:spacing w:after="0" w:line="560" w:lineRule="exact"/>
        <w:ind w:firstLine="640" w:firstLineChars="200"/>
        <w:jc w:val="both"/>
        <w:rPr>
          <w:rFonts w:ascii="楷体_GB2312" w:hAnsi="Times New Roman" w:eastAsia="楷体_GB2312"/>
          <w:color w:val="auto"/>
          <w:kern w:val="22"/>
          <w:sz w:val="32"/>
          <w:szCs w:val="32"/>
        </w:rPr>
      </w:pPr>
      <w:r>
        <w:rPr>
          <w:rFonts w:hint="eastAsia" w:ascii="楷体_GB2312" w:hAnsi="Times New Roman" w:eastAsia="楷体_GB2312"/>
          <w:color w:val="auto"/>
          <w:kern w:val="22"/>
          <w:sz w:val="32"/>
          <w:szCs w:val="32"/>
        </w:rPr>
        <w:t>（六）监督保障情况</w:t>
      </w:r>
    </w:p>
    <w:p>
      <w:pPr>
        <w:pStyle w:val="8"/>
        <w:widowControl/>
        <w:spacing w:after="0" w:line="560" w:lineRule="exact"/>
        <w:ind w:firstLine="643" w:firstLineChars="200"/>
        <w:jc w:val="both"/>
        <w:rPr>
          <w:rFonts w:hint="default" w:ascii="Times New Roman" w:hAnsi="Times New Roman" w:eastAsia="仿宋_GB2312"/>
          <w:b/>
          <w:kern w:val="22"/>
          <w:sz w:val="32"/>
          <w:szCs w:val="32"/>
          <w:lang w:val="en-US" w:eastAsia="zh-CN"/>
        </w:rPr>
      </w:pPr>
      <w:r>
        <w:rPr>
          <w:rFonts w:hint="eastAsia" w:ascii="Times New Roman" w:hAnsi="Times New Roman" w:eastAsia="仿宋_GB2312"/>
          <w:b/>
          <w:kern w:val="22"/>
          <w:sz w:val="32"/>
          <w:szCs w:val="32"/>
        </w:rPr>
        <w:t>一</w:t>
      </w:r>
      <w:r>
        <w:rPr>
          <w:rFonts w:hint="eastAsia" w:ascii="Times New Roman" w:hAnsi="Times New Roman" w:eastAsia="仿宋_GB2312"/>
          <w:b w:val="0"/>
          <w:bCs/>
          <w:kern w:val="22"/>
          <w:sz w:val="32"/>
          <w:szCs w:val="32"/>
        </w:rPr>
        <w:t>是加强工作考核。</w:t>
      </w:r>
      <w:r>
        <w:rPr>
          <w:rFonts w:hint="eastAsia" w:ascii="Times New Roman" w:hAnsi="Times New Roman" w:eastAsia="仿宋_GB2312"/>
          <w:b w:val="0"/>
          <w:bCs/>
          <w:kern w:val="22"/>
          <w:sz w:val="32"/>
          <w:szCs w:val="32"/>
          <w:lang w:val="en-US" w:eastAsia="zh-CN"/>
        </w:rPr>
        <w:t>建立健全完善工作考核机制，定期对政府信息公开工作人员进行考核培训，督促相关人员重视政府信息公开工作，切实提升相关工作综合素质与能力。</w:t>
      </w:r>
    </w:p>
    <w:p>
      <w:pPr>
        <w:spacing w:line="560" w:lineRule="exact"/>
        <w:ind w:firstLine="640" w:firstLineChars="200"/>
        <w:rPr>
          <w:rFonts w:hint="default" w:ascii="仿宋_GB2312" w:hAnsi="楷体" w:eastAsia="仿宋_GB2312"/>
          <w:b w:val="0"/>
          <w:bCs/>
          <w:kern w:val="0"/>
          <w:sz w:val="32"/>
          <w:szCs w:val="32"/>
          <w:lang w:val="en-US" w:eastAsia="zh-CN"/>
        </w:rPr>
      </w:pPr>
      <w:r>
        <w:rPr>
          <w:rFonts w:hint="eastAsia" w:ascii="Times New Roman" w:hAnsi="Times New Roman" w:eastAsia="仿宋_GB2312"/>
          <w:b w:val="0"/>
          <w:bCs/>
          <w:kern w:val="22"/>
          <w:sz w:val="32"/>
          <w:szCs w:val="32"/>
        </w:rPr>
        <w:t>二是强化责任追究。</w:t>
      </w:r>
      <w:r>
        <w:rPr>
          <w:rFonts w:hint="eastAsia" w:ascii="Times New Roman" w:hAnsi="Times New Roman" w:eastAsia="仿宋_GB2312"/>
          <w:b w:val="0"/>
          <w:bCs/>
          <w:kern w:val="22"/>
          <w:sz w:val="32"/>
          <w:szCs w:val="32"/>
          <w:lang w:val="en-US" w:eastAsia="zh-CN"/>
        </w:rPr>
        <w:t>对于政府信息公开工作中出现的各类错误必须理清相关工作人员的责任并追究，建立起政府信息公开工作问题台账，及时查漏补缺，严肃对待政府信息公开工作。</w:t>
      </w:r>
    </w:p>
    <w:p>
      <w:pPr>
        <w:pStyle w:val="8"/>
        <w:widowControl/>
        <w:spacing w:after="0" w:line="560" w:lineRule="exact"/>
        <w:jc w:val="both"/>
        <w:rPr>
          <w:rFonts w:hint="eastAsia" w:ascii="黑体" w:hAnsi="黑体" w:eastAsia="黑体" w:cs="仿宋"/>
          <w:color w:val="000000" w:themeColor="text1"/>
          <w:sz w:val="32"/>
          <w:szCs w:val="32"/>
          <w14:textFill>
            <w14:solidFill>
              <w14:schemeClr w14:val="tx1"/>
            </w14:solidFill>
          </w14:textFill>
        </w:rPr>
      </w:pPr>
    </w:p>
    <w:p>
      <w:pPr>
        <w:pStyle w:val="8"/>
        <w:widowControl/>
        <w:spacing w:after="0" w:line="560" w:lineRule="exact"/>
        <w:ind w:firstLine="640" w:firstLineChars="200"/>
        <w:jc w:val="both"/>
        <w:rPr>
          <w:rFonts w:hint="eastAsia" w:ascii="黑体" w:hAnsi="黑体" w:eastAsia="黑体" w:cs="仿宋"/>
          <w:color w:val="000000" w:themeColor="text1"/>
          <w:sz w:val="32"/>
          <w:szCs w:val="32"/>
          <w14:textFill>
            <w14:solidFill>
              <w14:schemeClr w14:val="tx1"/>
            </w14:solidFill>
          </w14:textFill>
        </w:rPr>
      </w:pPr>
    </w:p>
    <w:p>
      <w:pPr>
        <w:pStyle w:val="8"/>
        <w:widowControl/>
        <w:spacing w:after="0" w:line="560" w:lineRule="exact"/>
        <w:ind w:firstLine="640" w:firstLineChars="200"/>
        <w:jc w:val="both"/>
        <w:rPr>
          <w:rFonts w:hint="eastAsia" w:ascii="黑体" w:hAnsi="黑体" w:eastAsia="黑体" w:cs="仿宋"/>
          <w:color w:val="000000" w:themeColor="text1"/>
          <w:sz w:val="32"/>
          <w:szCs w:val="32"/>
          <w14:textFill>
            <w14:solidFill>
              <w14:schemeClr w14:val="tx1"/>
            </w14:solidFill>
          </w14:textFill>
        </w:rPr>
      </w:pPr>
    </w:p>
    <w:p>
      <w:pPr>
        <w:pStyle w:val="8"/>
        <w:widowControl/>
        <w:spacing w:after="0" w:line="560" w:lineRule="exact"/>
        <w:ind w:firstLine="640" w:firstLineChars="200"/>
        <w:jc w:val="both"/>
        <w:rPr>
          <w:rFonts w:hint="eastAsia" w:ascii="黑体" w:hAnsi="黑体" w:eastAsia="黑体" w:cs="仿宋"/>
          <w:color w:val="000000" w:themeColor="text1"/>
          <w:sz w:val="32"/>
          <w:szCs w:val="32"/>
          <w14:textFill>
            <w14:solidFill>
              <w14:schemeClr w14:val="tx1"/>
            </w14:solidFill>
          </w14:textFill>
        </w:rPr>
      </w:pPr>
    </w:p>
    <w:p>
      <w:pPr>
        <w:pStyle w:val="8"/>
        <w:widowControl/>
        <w:spacing w:after="0" w:line="560" w:lineRule="exact"/>
        <w:ind w:firstLine="640" w:firstLineChars="200"/>
        <w:jc w:val="both"/>
        <w:rPr>
          <w:rFonts w:hint="eastAsia" w:ascii="黑体" w:hAnsi="黑体" w:eastAsia="黑体" w:cs="仿宋"/>
          <w:color w:val="000000" w:themeColor="text1"/>
          <w:sz w:val="32"/>
          <w:szCs w:val="32"/>
          <w14:textFill>
            <w14:solidFill>
              <w14:schemeClr w14:val="tx1"/>
            </w14:solidFill>
          </w14:textFill>
        </w:rPr>
      </w:pPr>
    </w:p>
    <w:p>
      <w:pPr>
        <w:pStyle w:val="8"/>
        <w:widowControl/>
        <w:spacing w:after="0" w:line="560" w:lineRule="exact"/>
        <w:ind w:firstLine="640" w:firstLineChars="200"/>
        <w:jc w:val="both"/>
        <w:rPr>
          <w:rFonts w:hint="eastAsia" w:ascii="黑体" w:hAnsi="黑体" w:eastAsia="黑体" w:cs="仿宋"/>
          <w:color w:val="000000" w:themeColor="text1"/>
          <w:sz w:val="32"/>
          <w:szCs w:val="32"/>
          <w14:textFill>
            <w14:solidFill>
              <w14:schemeClr w14:val="tx1"/>
            </w14:solidFill>
          </w14:textFill>
        </w:rPr>
      </w:pPr>
    </w:p>
    <w:p>
      <w:pPr>
        <w:pStyle w:val="8"/>
        <w:widowControl/>
        <w:spacing w:after="0" w:line="560" w:lineRule="exact"/>
        <w:ind w:firstLine="640" w:firstLineChars="200"/>
        <w:jc w:val="both"/>
        <w:rPr>
          <w:rFonts w:ascii="黑体" w:hAnsi="黑体" w:eastAsia="黑体"/>
          <w:b/>
          <w:sz w:val="32"/>
          <w:szCs w:val="32"/>
        </w:rPr>
      </w:pPr>
      <w:r>
        <w:rPr>
          <w:rFonts w:hint="eastAsia" w:ascii="黑体" w:hAnsi="黑体" w:eastAsia="黑体" w:cs="仿宋"/>
          <w:color w:val="000000" w:themeColor="text1"/>
          <w:sz w:val="32"/>
          <w:szCs w:val="32"/>
          <w14:textFill>
            <w14:solidFill>
              <w14:schemeClr w14:val="tx1"/>
            </w14:solidFill>
          </w14:textFill>
        </w:rPr>
        <w:t>二、</w:t>
      </w:r>
      <w:r>
        <w:rPr>
          <w:rFonts w:hint="eastAsia" w:ascii="黑体" w:hAnsi="黑体" w:eastAsia="黑体"/>
          <w:b/>
          <w:sz w:val="32"/>
          <w:szCs w:val="32"/>
        </w:rPr>
        <w:t>主动公开政府信息情况</w:t>
      </w:r>
    </w:p>
    <w:tbl>
      <w:tblPr>
        <w:tblStyle w:val="10"/>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931" w:type="dxa"/>
            <w:gridSpan w:val="4"/>
            <w:vAlign w:val="center"/>
          </w:tcPr>
          <w:p>
            <w:pPr>
              <w:jc w:val="center"/>
              <w:rPr>
                <w:kern w:val="0"/>
                <w:sz w:val="24"/>
              </w:rPr>
            </w:pPr>
            <w:r>
              <w:rPr>
                <w:rFonts w:hint="eastAsia"/>
                <w:kern w:val="0"/>
                <w:sz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jc w:val="center"/>
              <w:rPr>
                <w:kern w:val="0"/>
                <w:sz w:val="24"/>
              </w:rPr>
            </w:pPr>
            <w:r>
              <w:rPr>
                <w:rFonts w:hint="eastAsia"/>
                <w:kern w:val="0"/>
                <w:sz w:val="24"/>
              </w:rPr>
              <w:t>本年新制作数量</w:t>
            </w:r>
          </w:p>
        </w:tc>
        <w:tc>
          <w:tcPr>
            <w:tcW w:w="2030" w:type="dxa"/>
            <w:vAlign w:val="center"/>
          </w:tcPr>
          <w:p>
            <w:pPr>
              <w:jc w:val="center"/>
              <w:rPr>
                <w:kern w:val="0"/>
                <w:sz w:val="24"/>
              </w:rPr>
            </w:pPr>
            <w:r>
              <w:rPr>
                <w:rFonts w:hint="eastAsia"/>
                <w:kern w:val="0"/>
                <w:sz w:val="24"/>
              </w:rPr>
              <w:t>本年新</w:t>
            </w:r>
          </w:p>
          <w:p>
            <w:pPr>
              <w:jc w:val="center"/>
              <w:rPr>
                <w:kern w:val="0"/>
                <w:sz w:val="24"/>
              </w:rPr>
            </w:pPr>
            <w:r>
              <w:rPr>
                <w:rFonts w:hint="eastAsia"/>
                <w:kern w:val="0"/>
                <w:sz w:val="24"/>
              </w:rPr>
              <w:t>公开数量</w:t>
            </w:r>
          </w:p>
        </w:tc>
        <w:tc>
          <w:tcPr>
            <w:tcW w:w="2222" w:type="dxa"/>
            <w:vAlign w:val="center"/>
          </w:tcPr>
          <w:p>
            <w:pPr>
              <w:jc w:val="center"/>
              <w:rPr>
                <w:kern w:val="0"/>
                <w:sz w:val="24"/>
              </w:rPr>
            </w:pPr>
            <w:r>
              <w:rPr>
                <w:rFonts w:hint="eastAsia"/>
                <w:kern w:val="0"/>
                <w:sz w:val="24"/>
              </w:rPr>
              <w:t>对外公开</w:t>
            </w:r>
          </w:p>
          <w:p>
            <w:pPr>
              <w:jc w:val="center"/>
              <w:rPr>
                <w:kern w:val="0"/>
                <w:sz w:val="24"/>
              </w:rPr>
            </w:pPr>
            <w:r>
              <w:rPr>
                <w:rFonts w:hint="eastAsia"/>
                <w:kern w:val="0"/>
                <w:sz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94" w:type="dxa"/>
            <w:vAlign w:val="center"/>
          </w:tcPr>
          <w:p>
            <w:pPr>
              <w:rPr>
                <w:kern w:val="0"/>
                <w:sz w:val="24"/>
              </w:rPr>
            </w:pPr>
            <w:r>
              <w:rPr>
                <w:rFonts w:hint="eastAsia"/>
                <w:kern w:val="0"/>
                <w:sz w:val="24"/>
              </w:rPr>
              <w:t>规章</w:t>
            </w:r>
          </w:p>
        </w:tc>
        <w:tc>
          <w:tcPr>
            <w:tcW w:w="1985" w:type="dxa"/>
            <w:vAlign w:val="center"/>
          </w:tcPr>
          <w:p>
            <w:pPr>
              <w:jc w:val="center"/>
              <w:rPr>
                <w:kern w:val="0"/>
                <w:sz w:val="24"/>
              </w:rPr>
            </w:pPr>
            <w:r>
              <w:rPr>
                <w:rFonts w:hint="eastAsia"/>
                <w:kern w:val="0"/>
                <w:sz w:val="24"/>
              </w:rPr>
              <w:t>0</w:t>
            </w:r>
          </w:p>
        </w:tc>
        <w:tc>
          <w:tcPr>
            <w:tcW w:w="2030" w:type="dxa"/>
            <w:vAlign w:val="center"/>
          </w:tcPr>
          <w:p>
            <w:pPr>
              <w:jc w:val="center"/>
              <w:rPr>
                <w:kern w:val="0"/>
                <w:sz w:val="24"/>
              </w:rPr>
            </w:pPr>
            <w:r>
              <w:rPr>
                <w:rFonts w:hint="eastAsia"/>
                <w:kern w:val="0"/>
                <w:sz w:val="24"/>
              </w:rPr>
              <w:t>0</w:t>
            </w:r>
          </w:p>
        </w:tc>
        <w:tc>
          <w:tcPr>
            <w:tcW w:w="2222" w:type="dxa"/>
            <w:vAlign w:val="center"/>
          </w:tcPr>
          <w:p>
            <w:pPr>
              <w:jc w:val="center"/>
              <w:rPr>
                <w:kern w:val="0"/>
                <w:sz w:val="24"/>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694" w:type="dxa"/>
            <w:vAlign w:val="center"/>
          </w:tcPr>
          <w:p>
            <w:pPr>
              <w:rPr>
                <w:kern w:val="0"/>
                <w:sz w:val="24"/>
              </w:rPr>
            </w:pPr>
            <w:r>
              <w:rPr>
                <w:rFonts w:hint="eastAsia"/>
                <w:kern w:val="0"/>
                <w:sz w:val="24"/>
              </w:rPr>
              <w:t>规范性文件</w:t>
            </w:r>
          </w:p>
        </w:tc>
        <w:tc>
          <w:tcPr>
            <w:tcW w:w="1985" w:type="dxa"/>
            <w:vAlign w:val="center"/>
          </w:tcPr>
          <w:p>
            <w:pPr>
              <w:jc w:val="center"/>
              <w:rPr>
                <w:rFonts w:hint="eastAsia" w:eastAsia="宋体"/>
                <w:kern w:val="0"/>
                <w:sz w:val="24"/>
                <w:lang w:eastAsia="zh-CN"/>
              </w:rPr>
            </w:pPr>
            <w:r>
              <w:rPr>
                <w:rFonts w:hint="eastAsia"/>
                <w:kern w:val="0"/>
                <w:sz w:val="24"/>
                <w:lang w:val="en-US" w:eastAsia="zh-CN"/>
              </w:rPr>
              <w:t>0</w:t>
            </w:r>
          </w:p>
        </w:tc>
        <w:tc>
          <w:tcPr>
            <w:tcW w:w="2030" w:type="dxa"/>
            <w:vAlign w:val="center"/>
          </w:tcPr>
          <w:p>
            <w:pPr>
              <w:jc w:val="center"/>
              <w:rPr>
                <w:rFonts w:hint="eastAsia" w:eastAsia="宋体"/>
                <w:kern w:val="0"/>
                <w:sz w:val="24"/>
                <w:lang w:val="en-US" w:eastAsia="zh-CN"/>
              </w:rPr>
            </w:pPr>
            <w:r>
              <w:rPr>
                <w:rFonts w:hint="eastAsia"/>
                <w:kern w:val="0"/>
                <w:sz w:val="24"/>
                <w:lang w:val="en-US" w:eastAsia="zh-CN"/>
              </w:rPr>
              <w:t>0</w:t>
            </w:r>
          </w:p>
        </w:tc>
        <w:tc>
          <w:tcPr>
            <w:tcW w:w="2222" w:type="dxa"/>
            <w:vAlign w:val="center"/>
          </w:tcPr>
          <w:p>
            <w:pPr>
              <w:jc w:val="center"/>
              <w:rPr>
                <w:rFonts w:hint="eastAsia" w:eastAsia="宋体"/>
                <w:kern w:val="0"/>
                <w:sz w:val="24"/>
                <w:lang w:val="en-US" w:eastAsia="zh-CN"/>
              </w:rPr>
            </w:pPr>
            <w:r>
              <w:rPr>
                <w:rFonts w:hint="eastAsia"/>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31" w:type="dxa"/>
            <w:gridSpan w:val="4"/>
            <w:vAlign w:val="center"/>
          </w:tcPr>
          <w:p>
            <w:pPr>
              <w:jc w:val="center"/>
              <w:rPr>
                <w:kern w:val="0"/>
                <w:sz w:val="24"/>
              </w:rPr>
            </w:pPr>
            <w:r>
              <w:rPr>
                <w:rFonts w:hint="eastAsia"/>
                <w:kern w:val="0"/>
                <w:sz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2030" w:type="dxa"/>
            <w:vAlign w:val="center"/>
          </w:tcPr>
          <w:p>
            <w:pPr>
              <w:jc w:val="center"/>
              <w:rPr>
                <w:kern w:val="0"/>
                <w:sz w:val="24"/>
              </w:rPr>
            </w:pPr>
            <w:r>
              <w:rPr>
                <w:rFonts w:hint="eastAsia"/>
                <w:kern w:val="0"/>
                <w:sz w:val="24"/>
              </w:rPr>
              <w:t>本年增/减</w:t>
            </w:r>
          </w:p>
        </w:tc>
        <w:tc>
          <w:tcPr>
            <w:tcW w:w="2222" w:type="dxa"/>
            <w:vAlign w:val="center"/>
          </w:tcPr>
          <w:p>
            <w:pPr>
              <w:jc w:val="center"/>
              <w:rPr>
                <w:kern w:val="0"/>
                <w:sz w:val="24"/>
              </w:rPr>
            </w:pPr>
            <w:r>
              <w:rPr>
                <w:rFonts w:hint="eastAsia"/>
                <w:kern w:val="0"/>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694" w:type="dxa"/>
            <w:vAlign w:val="center"/>
          </w:tcPr>
          <w:p>
            <w:pPr>
              <w:rPr>
                <w:kern w:val="0"/>
                <w:sz w:val="24"/>
              </w:rPr>
            </w:pPr>
            <w:r>
              <w:rPr>
                <w:rFonts w:hint="eastAsia"/>
                <w:kern w:val="0"/>
                <w:sz w:val="24"/>
              </w:rPr>
              <w:t>行政许可</w:t>
            </w:r>
          </w:p>
        </w:tc>
        <w:tc>
          <w:tcPr>
            <w:tcW w:w="1985" w:type="dxa"/>
            <w:vAlign w:val="center"/>
          </w:tcPr>
          <w:p>
            <w:pPr>
              <w:jc w:val="center"/>
              <w:rPr>
                <w:rFonts w:hint="eastAsia" w:eastAsia="宋体"/>
                <w:kern w:val="0"/>
                <w:sz w:val="24"/>
                <w:lang w:eastAsia="zh-CN"/>
              </w:rPr>
            </w:pPr>
            <w:r>
              <w:rPr>
                <w:rFonts w:hint="eastAsia"/>
                <w:kern w:val="0"/>
                <w:sz w:val="24"/>
                <w:lang w:val="en-US" w:eastAsia="zh-CN"/>
              </w:rPr>
              <w:t>0</w:t>
            </w:r>
          </w:p>
        </w:tc>
        <w:tc>
          <w:tcPr>
            <w:tcW w:w="2030" w:type="dxa"/>
            <w:vAlign w:val="center"/>
          </w:tcPr>
          <w:p>
            <w:pPr>
              <w:jc w:val="center"/>
              <w:rPr>
                <w:rFonts w:hint="eastAsia" w:eastAsia="宋体"/>
                <w:kern w:val="0"/>
                <w:sz w:val="24"/>
                <w:lang w:val="en-US" w:eastAsia="zh-CN"/>
              </w:rPr>
            </w:pPr>
            <w:r>
              <w:rPr>
                <w:rFonts w:hint="eastAsia"/>
                <w:kern w:val="0"/>
                <w:sz w:val="24"/>
                <w:lang w:val="en-US" w:eastAsia="zh-CN"/>
              </w:rPr>
              <w:t>0</w:t>
            </w:r>
          </w:p>
        </w:tc>
        <w:tc>
          <w:tcPr>
            <w:tcW w:w="2222" w:type="dxa"/>
            <w:vAlign w:val="center"/>
          </w:tcPr>
          <w:p>
            <w:pPr>
              <w:jc w:val="center"/>
              <w:rPr>
                <w:rFonts w:hint="eastAsia" w:eastAsia="宋体"/>
                <w:kern w:val="0"/>
                <w:sz w:val="24"/>
                <w:lang w:val="en-US" w:eastAsia="zh-CN"/>
              </w:rPr>
            </w:pPr>
            <w:r>
              <w:rPr>
                <w:rFonts w:hint="eastAsia"/>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694" w:type="dxa"/>
            <w:vAlign w:val="center"/>
          </w:tcPr>
          <w:p>
            <w:pPr>
              <w:rPr>
                <w:kern w:val="0"/>
                <w:sz w:val="24"/>
              </w:rPr>
            </w:pPr>
            <w:r>
              <w:rPr>
                <w:rFonts w:hint="eastAsia"/>
                <w:kern w:val="0"/>
                <w:sz w:val="24"/>
              </w:rPr>
              <w:t>其他对外管理服务事项</w:t>
            </w:r>
          </w:p>
        </w:tc>
        <w:tc>
          <w:tcPr>
            <w:tcW w:w="1985" w:type="dxa"/>
            <w:vAlign w:val="center"/>
          </w:tcPr>
          <w:p>
            <w:pPr>
              <w:jc w:val="center"/>
              <w:rPr>
                <w:rFonts w:hint="eastAsia" w:eastAsia="宋体"/>
                <w:kern w:val="0"/>
                <w:sz w:val="24"/>
                <w:lang w:val="en-US" w:eastAsia="zh-CN"/>
              </w:rPr>
            </w:pPr>
            <w:r>
              <w:rPr>
                <w:rFonts w:hint="eastAsia"/>
                <w:kern w:val="0"/>
                <w:sz w:val="24"/>
                <w:lang w:val="en-US" w:eastAsia="zh-CN"/>
              </w:rPr>
              <w:t>1</w:t>
            </w:r>
          </w:p>
        </w:tc>
        <w:tc>
          <w:tcPr>
            <w:tcW w:w="2030" w:type="dxa"/>
            <w:vAlign w:val="center"/>
          </w:tcPr>
          <w:p>
            <w:pPr>
              <w:jc w:val="center"/>
              <w:rPr>
                <w:rFonts w:hint="default" w:eastAsia="宋体"/>
                <w:kern w:val="0"/>
                <w:sz w:val="24"/>
                <w:lang w:val="en-US" w:eastAsia="zh-CN"/>
              </w:rPr>
            </w:pPr>
            <w:r>
              <w:rPr>
                <w:rFonts w:hint="eastAsia"/>
                <w:kern w:val="0"/>
                <w:sz w:val="24"/>
                <w:lang w:val="en-US" w:eastAsia="zh-CN"/>
              </w:rPr>
              <w:t>0</w:t>
            </w:r>
          </w:p>
        </w:tc>
        <w:tc>
          <w:tcPr>
            <w:tcW w:w="2222" w:type="dxa"/>
            <w:vAlign w:val="center"/>
          </w:tcPr>
          <w:p>
            <w:pPr>
              <w:jc w:val="center"/>
              <w:rPr>
                <w:rFonts w:hint="eastAsia" w:eastAsia="宋体"/>
                <w:kern w:val="0"/>
                <w:sz w:val="24"/>
                <w:lang w:val="en-US" w:eastAsia="zh-CN"/>
              </w:rPr>
            </w:pPr>
            <w:r>
              <w:rPr>
                <w:rFonts w:hint="eastAsia"/>
                <w:kern w:val="0"/>
                <w:sz w:val="24"/>
                <w:lang w:val="en-US" w:eastAsia="zh-CN"/>
              </w:rPr>
              <w:t>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931" w:type="dxa"/>
            <w:gridSpan w:val="4"/>
            <w:vAlign w:val="center"/>
          </w:tcPr>
          <w:p>
            <w:pPr>
              <w:jc w:val="center"/>
              <w:rPr>
                <w:kern w:val="0"/>
                <w:sz w:val="24"/>
              </w:rPr>
            </w:pPr>
            <w:r>
              <w:rPr>
                <w:rFonts w:hint="eastAsia"/>
                <w:kern w:val="0"/>
                <w:sz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2030" w:type="dxa"/>
            <w:vAlign w:val="center"/>
          </w:tcPr>
          <w:p>
            <w:pPr>
              <w:jc w:val="center"/>
              <w:rPr>
                <w:kern w:val="0"/>
                <w:sz w:val="24"/>
              </w:rPr>
            </w:pPr>
            <w:r>
              <w:rPr>
                <w:rFonts w:hint="eastAsia"/>
                <w:kern w:val="0"/>
                <w:sz w:val="24"/>
              </w:rPr>
              <w:t>本年增/减</w:t>
            </w:r>
          </w:p>
        </w:tc>
        <w:tc>
          <w:tcPr>
            <w:tcW w:w="2222" w:type="dxa"/>
            <w:vAlign w:val="center"/>
          </w:tcPr>
          <w:p>
            <w:pPr>
              <w:jc w:val="center"/>
              <w:rPr>
                <w:kern w:val="0"/>
                <w:sz w:val="24"/>
              </w:rPr>
            </w:pPr>
            <w:r>
              <w:rPr>
                <w:rFonts w:hint="eastAsia"/>
                <w:kern w:val="0"/>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94" w:type="dxa"/>
            <w:vAlign w:val="center"/>
          </w:tcPr>
          <w:p>
            <w:pPr>
              <w:rPr>
                <w:kern w:val="0"/>
                <w:sz w:val="24"/>
              </w:rPr>
            </w:pPr>
            <w:r>
              <w:rPr>
                <w:rFonts w:hint="eastAsia"/>
                <w:kern w:val="0"/>
                <w:sz w:val="24"/>
              </w:rPr>
              <w:t>行政处罚</w:t>
            </w:r>
          </w:p>
        </w:tc>
        <w:tc>
          <w:tcPr>
            <w:tcW w:w="1985" w:type="dxa"/>
            <w:vAlign w:val="center"/>
          </w:tcPr>
          <w:p>
            <w:pPr>
              <w:jc w:val="center"/>
              <w:rPr>
                <w:rFonts w:hint="eastAsia" w:eastAsia="宋体"/>
                <w:kern w:val="0"/>
                <w:sz w:val="24"/>
                <w:lang w:val="en-US" w:eastAsia="zh-CN"/>
              </w:rPr>
            </w:pPr>
            <w:r>
              <w:rPr>
                <w:rFonts w:hint="eastAsia"/>
                <w:kern w:val="0"/>
                <w:sz w:val="24"/>
                <w:lang w:val="en-US" w:eastAsia="zh-CN"/>
              </w:rPr>
              <w:t>0</w:t>
            </w:r>
          </w:p>
        </w:tc>
        <w:tc>
          <w:tcPr>
            <w:tcW w:w="2030" w:type="dxa"/>
            <w:vAlign w:val="center"/>
          </w:tcPr>
          <w:p>
            <w:pPr>
              <w:jc w:val="center"/>
              <w:rPr>
                <w:rFonts w:hint="eastAsia" w:eastAsia="宋体"/>
                <w:kern w:val="0"/>
                <w:sz w:val="24"/>
                <w:lang w:val="en-US" w:eastAsia="zh-CN"/>
              </w:rPr>
            </w:pPr>
            <w:r>
              <w:rPr>
                <w:rFonts w:hint="eastAsia"/>
                <w:kern w:val="0"/>
                <w:sz w:val="24"/>
                <w:lang w:val="en-US" w:eastAsia="zh-CN"/>
              </w:rPr>
              <w:t>0</w:t>
            </w:r>
          </w:p>
        </w:tc>
        <w:tc>
          <w:tcPr>
            <w:tcW w:w="2222" w:type="dxa"/>
            <w:vAlign w:val="center"/>
          </w:tcPr>
          <w:p>
            <w:pPr>
              <w:jc w:val="center"/>
              <w:rPr>
                <w:rFonts w:hint="eastAsia" w:eastAsia="宋体"/>
                <w:kern w:val="0"/>
                <w:sz w:val="24"/>
                <w:lang w:val="en-US" w:eastAsia="zh-CN"/>
              </w:rPr>
            </w:pPr>
            <w:r>
              <w:rPr>
                <w:rFonts w:hint="eastAsia"/>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94" w:type="dxa"/>
            <w:vAlign w:val="center"/>
          </w:tcPr>
          <w:p>
            <w:pPr>
              <w:rPr>
                <w:kern w:val="0"/>
                <w:sz w:val="24"/>
              </w:rPr>
            </w:pPr>
            <w:r>
              <w:rPr>
                <w:rFonts w:hint="eastAsia"/>
                <w:kern w:val="0"/>
                <w:sz w:val="24"/>
              </w:rPr>
              <w:t>行政强制</w:t>
            </w:r>
          </w:p>
        </w:tc>
        <w:tc>
          <w:tcPr>
            <w:tcW w:w="1985" w:type="dxa"/>
            <w:vAlign w:val="center"/>
          </w:tcPr>
          <w:p>
            <w:pPr>
              <w:jc w:val="center"/>
              <w:rPr>
                <w:rFonts w:hint="eastAsia" w:eastAsia="宋体"/>
                <w:kern w:val="0"/>
                <w:sz w:val="24"/>
                <w:lang w:val="en-US" w:eastAsia="zh-CN"/>
              </w:rPr>
            </w:pPr>
            <w:r>
              <w:rPr>
                <w:rFonts w:hint="eastAsia"/>
                <w:kern w:val="0"/>
                <w:sz w:val="24"/>
                <w:lang w:val="en-US" w:eastAsia="zh-CN"/>
              </w:rPr>
              <w:t>0</w:t>
            </w:r>
          </w:p>
        </w:tc>
        <w:tc>
          <w:tcPr>
            <w:tcW w:w="2030" w:type="dxa"/>
            <w:vAlign w:val="center"/>
          </w:tcPr>
          <w:p>
            <w:pPr>
              <w:jc w:val="center"/>
              <w:rPr>
                <w:rFonts w:hint="eastAsia" w:eastAsia="宋体"/>
                <w:kern w:val="0"/>
                <w:sz w:val="24"/>
                <w:lang w:val="en-US" w:eastAsia="zh-CN"/>
              </w:rPr>
            </w:pPr>
            <w:r>
              <w:rPr>
                <w:rFonts w:hint="eastAsia"/>
                <w:kern w:val="0"/>
                <w:sz w:val="24"/>
                <w:lang w:val="en-US" w:eastAsia="zh-CN"/>
              </w:rPr>
              <w:t>0</w:t>
            </w:r>
          </w:p>
        </w:tc>
        <w:tc>
          <w:tcPr>
            <w:tcW w:w="2222" w:type="dxa"/>
            <w:vAlign w:val="center"/>
          </w:tcPr>
          <w:p>
            <w:pPr>
              <w:jc w:val="center"/>
              <w:rPr>
                <w:rFonts w:hint="eastAsia" w:eastAsia="宋体"/>
                <w:kern w:val="0"/>
                <w:sz w:val="24"/>
                <w:lang w:val="en-US" w:eastAsia="zh-CN"/>
              </w:rPr>
            </w:pPr>
            <w:r>
              <w:rPr>
                <w:rFonts w:hint="eastAsia"/>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31" w:type="dxa"/>
            <w:gridSpan w:val="4"/>
            <w:vAlign w:val="center"/>
          </w:tcPr>
          <w:p>
            <w:pPr>
              <w:jc w:val="center"/>
              <w:rPr>
                <w:kern w:val="0"/>
                <w:sz w:val="24"/>
              </w:rPr>
            </w:pPr>
            <w:r>
              <w:rPr>
                <w:rFonts w:hint="eastAsia"/>
                <w:kern w:val="0"/>
                <w:sz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rPr>
                <w:kern w:val="0"/>
                <w:sz w:val="24"/>
              </w:rPr>
            </w:pPr>
            <w:r>
              <w:rPr>
                <w:rFonts w:hint="eastAsia"/>
                <w:kern w:val="0"/>
                <w:sz w:val="24"/>
              </w:rPr>
              <w:t>上一年项目数量</w:t>
            </w:r>
          </w:p>
        </w:tc>
        <w:tc>
          <w:tcPr>
            <w:tcW w:w="4252" w:type="dxa"/>
            <w:gridSpan w:val="2"/>
            <w:vAlign w:val="center"/>
          </w:tcPr>
          <w:p>
            <w:pPr>
              <w:jc w:val="center"/>
              <w:rPr>
                <w:kern w:val="0"/>
                <w:sz w:val="24"/>
              </w:rPr>
            </w:pPr>
            <w:r>
              <w:rPr>
                <w:rFonts w:hint="eastAsia"/>
                <w:kern w:val="0"/>
                <w:sz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94" w:type="dxa"/>
            <w:vAlign w:val="center"/>
          </w:tcPr>
          <w:p>
            <w:pPr>
              <w:rPr>
                <w:kern w:val="0"/>
                <w:sz w:val="24"/>
              </w:rPr>
            </w:pPr>
            <w:r>
              <w:rPr>
                <w:rFonts w:hint="eastAsia"/>
                <w:kern w:val="0"/>
                <w:sz w:val="24"/>
              </w:rPr>
              <w:t>行政事业性收费</w:t>
            </w:r>
          </w:p>
        </w:tc>
        <w:tc>
          <w:tcPr>
            <w:tcW w:w="1985" w:type="dxa"/>
            <w:vAlign w:val="center"/>
          </w:tcPr>
          <w:p>
            <w:pPr>
              <w:jc w:val="center"/>
              <w:rPr>
                <w:rFonts w:hint="eastAsia" w:eastAsia="宋体"/>
                <w:kern w:val="0"/>
                <w:sz w:val="24"/>
                <w:lang w:val="en-US" w:eastAsia="zh-CN"/>
              </w:rPr>
            </w:pPr>
            <w:r>
              <w:rPr>
                <w:rFonts w:hint="eastAsia"/>
                <w:kern w:val="0"/>
                <w:sz w:val="24"/>
                <w:lang w:val="en-US" w:eastAsia="zh-CN"/>
              </w:rPr>
              <w:t>0</w:t>
            </w:r>
          </w:p>
        </w:tc>
        <w:tc>
          <w:tcPr>
            <w:tcW w:w="4252" w:type="dxa"/>
            <w:gridSpan w:val="2"/>
            <w:vAlign w:val="center"/>
          </w:tcPr>
          <w:p>
            <w:pPr>
              <w:jc w:val="center"/>
              <w:rPr>
                <w:kern w:val="0"/>
                <w:sz w:val="24"/>
              </w:rPr>
            </w:pPr>
            <w:r>
              <w:rPr>
                <w:rFonts w:hint="eastAsia"/>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931" w:type="dxa"/>
            <w:gridSpan w:val="4"/>
            <w:vAlign w:val="center"/>
          </w:tcPr>
          <w:p>
            <w:pPr>
              <w:jc w:val="center"/>
              <w:rPr>
                <w:kern w:val="0"/>
                <w:sz w:val="24"/>
              </w:rPr>
            </w:pPr>
            <w:r>
              <w:rPr>
                <w:rFonts w:hint="eastAsia"/>
                <w:kern w:val="0"/>
                <w:sz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694" w:type="dxa"/>
            <w:vAlign w:val="center"/>
          </w:tcPr>
          <w:p>
            <w:pPr>
              <w:jc w:val="center"/>
              <w:rPr>
                <w:kern w:val="0"/>
                <w:sz w:val="24"/>
              </w:rPr>
            </w:pPr>
            <w:r>
              <w:rPr>
                <w:rFonts w:hint="eastAsia"/>
                <w:kern w:val="0"/>
                <w:sz w:val="24"/>
              </w:rPr>
              <w:t>信息内容</w:t>
            </w:r>
          </w:p>
        </w:tc>
        <w:tc>
          <w:tcPr>
            <w:tcW w:w="1985" w:type="dxa"/>
            <w:vAlign w:val="center"/>
          </w:tcPr>
          <w:p>
            <w:pPr>
              <w:jc w:val="center"/>
              <w:rPr>
                <w:kern w:val="0"/>
                <w:sz w:val="24"/>
              </w:rPr>
            </w:pPr>
            <w:r>
              <w:rPr>
                <w:rFonts w:hint="eastAsia"/>
                <w:kern w:val="0"/>
                <w:sz w:val="24"/>
              </w:rPr>
              <w:t>采购项目数量</w:t>
            </w:r>
          </w:p>
        </w:tc>
        <w:tc>
          <w:tcPr>
            <w:tcW w:w="4252" w:type="dxa"/>
            <w:gridSpan w:val="2"/>
            <w:vAlign w:val="center"/>
          </w:tcPr>
          <w:p>
            <w:pPr>
              <w:jc w:val="center"/>
              <w:rPr>
                <w:kern w:val="0"/>
                <w:sz w:val="24"/>
              </w:rPr>
            </w:pPr>
            <w:r>
              <w:rPr>
                <w:rFonts w:hint="eastAsia"/>
                <w:kern w:val="0"/>
                <w:sz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694" w:type="dxa"/>
            <w:vAlign w:val="center"/>
          </w:tcPr>
          <w:p>
            <w:pPr>
              <w:rPr>
                <w:kern w:val="0"/>
                <w:sz w:val="24"/>
              </w:rPr>
            </w:pPr>
            <w:r>
              <w:rPr>
                <w:rFonts w:hint="eastAsia"/>
                <w:kern w:val="0"/>
                <w:sz w:val="24"/>
              </w:rPr>
              <w:t>政府集中采购</w:t>
            </w:r>
          </w:p>
        </w:tc>
        <w:tc>
          <w:tcPr>
            <w:tcW w:w="1985" w:type="dxa"/>
            <w:vAlign w:val="center"/>
          </w:tcPr>
          <w:p>
            <w:pPr>
              <w:jc w:val="center"/>
              <w:rPr>
                <w:rFonts w:hint="eastAsia" w:eastAsia="宋体"/>
                <w:kern w:val="0"/>
                <w:sz w:val="24"/>
                <w:lang w:val="en-US" w:eastAsia="zh-CN"/>
              </w:rPr>
            </w:pPr>
            <w:r>
              <w:rPr>
                <w:rFonts w:hint="eastAsia"/>
                <w:kern w:val="0"/>
                <w:sz w:val="24"/>
                <w:lang w:val="en-US" w:eastAsia="zh-CN"/>
              </w:rPr>
              <w:t>4</w:t>
            </w:r>
          </w:p>
        </w:tc>
        <w:tc>
          <w:tcPr>
            <w:tcW w:w="4252" w:type="dxa"/>
            <w:gridSpan w:val="2"/>
            <w:vAlign w:val="center"/>
          </w:tcPr>
          <w:p>
            <w:pPr>
              <w:jc w:val="center"/>
              <w:rPr>
                <w:kern w:val="0"/>
                <w:sz w:val="24"/>
              </w:rPr>
            </w:pPr>
            <w:r>
              <w:rPr>
                <w:rFonts w:hint="eastAsia"/>
                <w:kern w:val="0"/>
                <w:sz w:val="24"/>
              </w:rPr>
              <w:t>28017940.46</w:t>
            </w:r>
          </w:p>
        </w:tc>
      </w:tr>
    </w:tbl>
    <w:p>
      <w:pPr>
        <w:pStyle w:val="8"/>
        <w:widowControl/>
        <w:spacing w:after="0"/>
        <w:ind w:firstLine="640" w:firstLineChars="200"/>
        <w:jc w:val="both"/>
        <w:rPr>
          <w:rFonts w:ascii="黑体" w:hAnsi="黑体" w:eastAsia="黑体" w:cs="仿宋"/>
          <w:color w:val="000000" w:themeColor="text1"/>
          <w:sz w:val="32"/>
          <w:szCs w:val="32"/>
          <w14:textFill>
            <w14:solidFill>
              <w14:schemeClr w14:val="tx1"/>
            </w14:solidFill>
          </w14:textFill>
        </w:rPr>
      </w:pPr>
    </w:p>
    <w:p>
      <w:pPr>
        <w:pStyle w:val="8"/>
        <w:widowControl/>
        <w:spacing w:after="0"/>
        <w:ind w:firstLine="640" w:firstLineChars="200"/>
        <w:jc w:val="both"/>
        <w:rPr>
          <w:rFonts w:ascii="黑体" w:hAnsi="黑体" w:eastAsia="黑体" w:cs="仿宋"/>
          <w:color w:val="000000" w:themeColor="text1"/>
          <w:sz w:val="32"/>
          <w:szCs w:val="32"/>
          <w14:textFill>
            <w14:solidFill>
              <w14:schemeClr w14:val="tx1"/>
            </w14:solidFill>
          </w14:textFill>
        </w:rPr>
      </w:pPr>
    </w:p>
    <w:p>
      <w:pPr>
        <w:pStyle w:val="8"/>
        <w:widowControl/>
        <w:spacing w:after="0"/>
        <w:ind w:firstLine="640" w:firstLineChars="200"/>
        <w:jc w:val="both"/>
        <w:rPr>
          <w:rFonts w:ascii="黑体" w:hAnsi="黑体" w:eastAsia="黑体" w:cs="仿宋"/>
          <w:color w:val="000000" w:themeColor="text1"/>
          <w:sz w:val="32"/>
          <w:szCs w:val="32"/>
          <w14:textFill>
            <w14:solidFill>
              <w14:schemeClr w14:val="tx1"/>
            </w14:solidFill>
          </w14:textFill>
        </w:rPr>
      </w:pPr>
    </w:p>
    <w:p>
      <w:pPr>
        <w:pStyle w:val="8"/>
        <w:widowControl/>
        <w:spacing w:after="0"/>
        <w:ind w:firstLine="640" w:firstLineChars="200"/>
        <w:jc w:val="both"/>
        <w:rPr>
          <w:rFonts w:ascii="黑体" w:hAnsi="黑体" w:eastAsia="黑体" w:cs="仿宋"/>
          <w:color w:val="000000" w:themeColor="text1"/>
          <w:sz w:val="32"/>
          <w:szCs w:val="32"/>
          <w14:textFill>
            <w14:solidFill>
              <w14:schemeClr w14:val="tx1"/>
            </w14:solidFill>
          </w14:textFill>
        </w:rPr>
      </w:pPr>
    </w:p>
    <w:p>
      <w:pPr>
        <w:pStyle w:val="8"/>
        <w:widowControl/>
        <w:spacing w:after="0"/>
        <w:ind w:firstLine="640" w:firstLineChars="200"/>
        <w:jc w:val="both"/>
        <w:rPr>
          <w:rFonts w:ascii="黑体" w:hAnsi="黑体" w:eastAsia="黑体" w:cs="仿宋"/>
          <w:color w:val="000000" w:themeColor="text1"/>
          <w:sz w:val="32"/>
          <w:szCs w:val="32"/>
          <w14:textFill>
            <w14:solidFill>
              <w14:schemeClr w14:val="tx1"/>
            </w14:solidFill>
          </w14:textFill>
        </w:rPr>
      </w:pPr>
    </w:p>
    <w:p>
      <w:pPr>
        <w:pStyle w:val="8"/>
        <w:widowControl/>
        <w:spacing w:after="0"/>
        <w:ind w:firstLine="640" w:firstLineChars="200"/>
        <w:jc w:val="both"/>
        <w:rPr>
          <w:rFonts w:ascii="黑体" w:hAnsi="黑体" w:eastAsia="黑体" w:cs="仿宋"/>
          <w:color w:val="000000" w:themeColor="text1"/>
          <w:sz w:val="32"/>
          <w:szCs w:val="32"/>
          <w14:textFill>
            <w14:solidFill>
              <w14:schemeClr w14:val="tx1"/>
            </w14:solidFill>
          </w14:textFill>
        </w:rPr>
      </w:pPr>
    </w:p>
    <w:p>
      <w:pPr>
        <w:pStyle w:val="8"/>
        <w:widowControl/>
        <w:spacing w:after="0"/>
        <w:ind w:firstLine="640" w:firstLineChars="200"/>
        <w:jc w:val="both"/>
        <w:rPr>
          <w:rFonts w:hint="eastAsia" w:ascii="黑体" w:hAnsi="黑体" w:eastAsia="黑体" w:cs="仿宋"/>
          <w:color w:val="000000" w:themeColor="text1"/>
          <w:sz w:val="32"/>
          <w:szCs w:val="32"/>
          <w14:textFill>
            <w14:solidFill>
              <w14:schemeClr w14:val="tx1"/>
            </w14:solidFill>
          </w14:textFill>
        </w:rPr>
      </w:pPr>
    </w:p>
    <w:p>
      <w:pPr>
        <w:pStyle w:val="8"/>
        <w:widowControl/>
        <w:spacing w:after="0"/>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三、</w:t>
      </w:r>
      <w:r>
        <w:rPr>
          <w:rFonts w:hint="eastAsia" w:ascii="黑体" w:hAnsi="黑体" w:eastAsia="黑体"/>
          <w:b/>
          <w:sz w:val="32"/>
          <w:szCs w:val="32"/>
        </w:rPr>
        <w:t>收到和处理政府信息公开申请情况</w:t>
      </w:r>
    </w:p>
    <w:tbl>
      <w:tblPr>
        <w:tblStyle w:val="10"/>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rPr>
                <w:kern w:val="0"/>
                <w:sz w:val="20"/>
              </w:rPr>
            </w:pPr>
            <w:r>
              <w:rPr>
                <w:rFonts w:hint="eastAsia"/>
                <w:kern w:val="0"/>
                <w:sz w:val="20"/>
              </w:rPr>
              <w:t>（本列数据的勾稽关系为：第一项加第二项之和，等于第三项加第四项之和）</w:t>
            </w:r>
          </w:p>
        </w:tc>
        <w:tc>
          <w:tcPr>
            <w:tcW w:w="4961" w:type="dxa"/>
            <w:gridSpan w:val="7"/>
            <w:vAlign w:val="center"/>
          </w:tcPr>
          <w:p>
            <w:pPr>
              <w:jc w:val="center"/>
              <w:rPr>
                <w:kern w:val="0"/>
                <w:sz w:val="20"/>
                <w:szCs w:val="21"/>
              </w:rPr>
            </w:pPr>
            <w:r>
              <w:rPr>
                <w:rFonts w:hint="eastAsia"/>
                <w:kern w:val="0"/>
                <w:sz w:val="2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rPr>
                <w:kern w:val="0"/>
                <w:sz w:val="20"/>
              </w:rPr>
            </w:pPr>
          </w:p>
        </w:tc>
        <w:tc>
          <w:tcPr>
            <w:tcW w:w="567" w:type="dxa"/>
            <w:vMerge w:val="restart"/>
            <w:vAlign w:val="center"/>
          </w:tcPr>
          <w:p>
            <w:pPr>
              <w:jc w:val="center"/>
              <w:rPr>
                <w:kern w:val="0"/>
                <w:sz w:val="18"/>
                <w:szCs w:val="18"/>
              </w:rPr>
            </w:pPr>
            <w:r>
              <w:rPr>
                <w:rFonts w:hint="eastAsia"/>
                <w:kern w:val="0"/>
                <w:sz w:val="20"/>
                <w:szCs w:val="21"/>
              </w:rPr>
              <w:t>自然人</w:t>
            </w:r>
          </w:p>
        </w:tc>
        <w:tc>
          <w:tcPr>
            <w:tcW w:w="3544" w:type="dxa"/>
            <w:gridSpan w:val="5"/>
            <w:vAlign w:val="center"/>
          </w:tcPr>
          <w:p>
            <w:pPr>
              <w:jc w:val="center"/>
              <w:rPr>
                <w:kern w:val="0"/>
                <w:sz w:val="20"/>
                <w:szCs w:val="21"/>
              </w:rPr>
            </w:pPr>
            <w:r>
              <w:rPr>
                <w:rFonts w:hint="eastAsia"/>
                <w:kern w:val="0"/>
                <w:sz w:val="20"/>
                <w:szCs w:val="21"/>
              </w:rPr>
              <w:t>法人或其他组织</w:t>
            </w:r>
          </w:p>
        </w:tc>
        <w:tc>
          <w:tcPr>
            <w:tcW w:w="850" w:type="dxa"/>
            <w:vMerge w:val="restart"/>
            <w:vAlign w:val="center"/>
          </w:tcPr>
          <w:p>
            <w:pPr>
              <w:rPr>
                <w:kern w:val="0"/>
                <w:sz w:val="20"/>
                <w:szCs w:val="21"/>
              </w:rPr>
            </w:pPr>
            <w:r>
              <w:rPr>
                <w:rFonts w:hint="eastAsia"/>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rPr>
                <w:kern w:val="0"/>
                <w:sz w:val="20"/>
              </w:rPr>
            </w:pPr>
          </w:p>
        </w:tc>
        <w:tc>
          <w:tcPr>
            <w:tcW w:w="567" w:type="dxa"/>
            <w:vMerge w:val="continue"/>
          </w:tcPr>
          <w:p>
            <w:pPr>
              <w:rPr>
                <w:kern w:val="0"/>
                <w:sz w:val="18"/>
                <w:szCs w:val="18"/>
              </w:rPr>
            </w:pPr>
          </w:p>
        </w:tc>
        <w:tc>
          <w:tcPr>
            <w:tcW w:w="709" w:type="dxa"/>
            <w:vAlign w:val="center"/>
          </w:tcPr>
          <w:p>
            <w:pPr>
              <w:rPr>
                <w:kern w:val="0"/>
                <w:sz w:val="20"/>
                <w:szCs w:val="21"/>
              </w:rPr>
            </w:pPr>
            <w:r>
              <w:rPr>
                <w:rFonts w:hint="eastAsia"/>
                <w:kern w:val="0"/>
                <w:sz w:val="20"/>
                <w:szCs w:val="21"/>
              </w:rPr>
              <w:t>商业企业</w:t>
            </w:r>
          </w:p>
        </w:tc>
        <w:tc>
          <w:tcPr>
            <w:tcW w:w="708" w:type="dxa"/>
            <w:vAlign w:val="center"/>
          </w:tcPr>
          <w:p>
            <w:pPr>
              <w:rPr>
                <w:kern w:val="0"/>
                <w:sz w:val="20"/>
                <w:szCs w:val="21"/>
              </w:rPr>
            </w:pPr>
            <w:r>
              <w:rPr>
                <w:rFonts w:hint="eastAsia"/>
                <w:kern w:val="0"/>
                <w:sz w:val="20"/>
                <w:szCs w:val="21"/>
              </w:rPr>
              <w:t>科研机构</w:t>
            </w:r>
          </w:p>
        </w:tc>
        <w:tc>
          <w:tcPr>
            <w:tcW w:w="709" w:type="dxa"/>
            <w:vAlign w:val="center"/>
          </w:tcPr>
          <w:p>
            <w:pPr>
              <w:rPr>
                <w:kern w:val="0"/>
                <w:sz w:val="20"/>
                <w:szCs w:val="21"/>
              </w:rPr>
            </w:pPr>
            <w:r>
              <w:rPr>
                <w:rFonts w:hint="eastAsia"/>
                <w:kern w:val="0"/>
                <w:sz w:val="20"/>
                <w:szCs w:val="21"/>
              </w:rPr>
              <w:t>社会公益组织</w:t>
            </w:r>
          </w:p>
        </w:tc>
        <w:tc>
          <w:tcPr>
            <w:tcW w:w="709" w:type="dxa"/>
            <w:vAlign w:val="center"/>
          </w:tcPr>
          <w:p>
            <w:pPr>
              <w:rPr>
                <w:kern w:val="0"/>
                <w:sz w:val="20"/>
                <w:szCs w:val="21"/>
              </w:rPr>
            </w:pPr>
            <w:r>
              <w:rPr>
                <w:rFonts w:hint="eastAsia"/>
                <w:kern w:val="0"/>
                <w:sz w:val="20"/>
                <w:szCs w:val="21"/>
              </w:rPr>
              <w:t>法律服务机构</w:t>
            </w:r>
          </w:p>
        </w:tc>
        <w:tc>
          <w:tcPr>
            <w:tcW w:w="709" w:type="dxa"/>
            <w:vAlign w:val="center"/>
          </w:tcPr>
          <w:p>
            <w:pPr>
              <w:rPr>
                <w:kern w:val="0"/>
                <w:sz w:val="20"/>
                <w:szCs w:val="21"/>
              </w:rPr>
            </w:pPr>
            <w:r>
              <w:rPr>
                <w:rFonts w:hint="eastAsia"/>
                <w:kern w:val="0"/>
                <w:sz w:val="20"/>
                <w:szCs w:val="21"/>
              </w:rPr>
              <w:t>其他</w:t>
            </w:r>
          </w:p>
        </w:tc>
        <w:tc>
          <w:tcPr>
            <w:tcW w:w="850" w:type="dxa"/>
            <w:vMerge w:val="continue"/>
            <w:vAlign w:val="center"/>
          </w:tcPr>
          <w:p>
            <w:pPr>
              <w:rPr>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rPr>
                <w:kern w:val="0"/>
                <w:sz w:val="20"/>
              </w:rPr>
            </w:pPr>
            <w:r>
              <w:rPr>
                <w:rFonts w:hint="eastAsia"/>
                <w:kern w:val="0"/>
                <w:sz w:val="20"/>
              </w:rPr>
              <w:t>一、本年新收政府信息公开申请数量</w:t>
            </w:r>
          </w:p>
        </w:tc>
        <w:tc>
          <w:tcPr>
            <w:tcW w:w="567" w:type="dxa"/>
          </w:tcPr>
          <w:p>
            <w:pPr>
              <w:rPr>
                <w:kern w:val="0"/>
                <w:sz w:val="20"/>
              </w:rPr>
            </w:pPr>
            <w:r>
              <w:rPr>
                <w:rFonts w:hint="eastAsia"/>
                <w:kern w:val="0"/>
                <w:sz w:val="20"/>
              </w:rPr>
              <w:t>1</w:t>
            </w:r>
          </w:p>
        </w:tc>
        <w:tc>
          <w:tcPr>
            <w:tcW w:w="709" w:type="dxa"/>
            <w:vAlign w:val="center"/>
          </w:tcPr>
          <w:p>
            <w:pPr>
              <w:rPr>
                <w:kern w:val="0"/>
                <w:sz w:val="20"/>
                <w:szCs w:val="21"/>
              </w:rPr>
            </w:pPr>
            <w:r>
              <w:rPr>
                <w:rFonts w:hint="eastAsia"/>
                <w:color w:val="000000" w:themeColor="text1"/>
                <w:kern w:val="0"/>
                <w:sz w:val="20"/>
                <w:szCs w:val="21"/>
                <w14:textFill>
                  <w14:solidFill>
                    <w14:schemeClr w14:val="tx1"/>
                  </w14:solidFill>
                </w14:textFill>
              </w:rPr>
              <w:t>1</w:t>
            </w:r>
          </w:p>
        </w:tc>
        <w:tc>
          <w:tcPr>
            <w:tcW w:w="708" w:type="dxa"/>
            <w:vAlign w:val="center"/>
          </w:tcPr>
          <w:p>
            <w:pPr>
              <w:rPr>
                <w:kern w:val="0"/>
                <w:sz w:val="20"/>
                <w:szCs w:val="21"/>
              </w:rPr>
            </w:pPr>
            <w:r>
              <w:rPr>
                <w:rFonts w:hint="eastAsia"/>
                <w:kern w:val="0"/>
                <w:sz w:val="20"/>
              </w:rPr>
              <w:t>0</w:t>
            </w:r>
          </w:p>
        </w:tc>
        <w:tc>
          <w:tcPr>
            <w:tcW w:w="709" w:type="dxa"/>
            <w:vAlign w:val="center"/>
          </w:tcPr>
          <w:p>
            <w:pPr>
              <w:rPr>
                <w:kern w:val="0"/>
                <w:sz w:val="20"/>
                <w:szCs w:val="21"/>
              </w:rPr>
            </w:pPr>
            <w:r>
              <w:rPr>
                <w:rFonts w:hint="eastAsia"/>
                <w:kern w:val="0"/>
                <w:sz w:val="20"/>
              </w:rPr>
              <w:t>0</w:t>
            </w:r>
          </w:p>
        </w:tc>
        <w:tc>
          <w:tcPr>
            <w:tcW w:w="709" w:type="dxa"/>
            <w:vAlign w:val="center"/>
          </w:tcPr>
          <w:p>
            <w:pPr>
              <w:rPr>
                <w:kern w:val="0"/>
                <w:sz w:val="20"/>
                <w:szCs w:val="21"/>
              </w:rPr>
            </w:pPr>
            <w:r>
              <w:rPr>
                <w:rFonts w:hint="eastAsia"/>
                <w:kern w:val="0"/>
                <w:sz w:val="20"/>
              </w:rPr>
              <w:t>0</w:t>
            </w:r>
          </w:p>
        </w:tc>
        <w:tc>
          <w:tcPr>
            <w:tcW w:w="709" w:type="dxa"/>
            <w:vAlign w:val="center"/>
          </w:tcPr>
          <w:p>
            <w:pPr>
              <w:rPr>
                <w:kern w:val="0"/>
                <w:sz w:val="20"/>
                <w:szCs w:val="21"/>
              </w:rPr>
            </w:pPr>
            <w:r>
              <w:rPr>
                <w:rFonts w:hint="eastAsia"/>
                <w:kern w:val="0"/>
                <w:sz w:val="20"/>
              </w:rPr>
              <w:t>0</w:t>
            </w:r>
          </w:p>
        </w:tc>
        <w:tc>
          <w:tcPr>
            <w:tcW w:w="850" w:type="dxa"/>
            <w:vAlign w:val="center"/>
          </w:tcPr>
          <w:p>
            <w:pPr>
              <w:rPr>
                <w:rFonts w:hint="eastAsia" w:eastAsia="宋体"/>
                <w:kern w:val="0"/>
                <w:sz w:val="20"/>
                <w:szCs w:val="21"/>
                <w:lang w:val="en-US" w:eastAsia="zh-CN"/>
              </w:rPr>
            </w:pPr>
            <w:r>
              <w:rPr>
                <w:rFonts w:hint="eastAsia"/>
                <w:kern w:val="0"/>
                <w:sz w:val="2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rPr>
                <w:kern w:val="0"/>
                <w:sz w:val="20"/>
              </w:rPr>
            </w:pPr>
            <w:r>
              <w:rPr>
                <w:rFonts w:hint="eastAsia"/>
                <w:kern w:val="0"/>
                <w:sz w:val="20"/>
              </w:rPr>
              <w:t>二、上年结转政府信息公开申请数量</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val="en-US"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rPr>
                <w:kern w:val="0"/>
                <w:sz w:val="20"/>
              </w:rPr>
            </w:pPr>
            <w:r>
              <w:rPr>
                <w:rFonts w:hint="eastAsia"/>
                <w:kern w:val="0"/>
                <w:sz w:val="20"/>
              </w:rPr>
              <w:t>三、本年度办理结果</w:t>
            </w:r>
          </w:p>
        </w:tc>
        <w:tc>
          <w:tcPr>
            <w:tcW w:w="4253" w:type="dxa"/>
            <w:gridSpan w:val="2"/>
          </w:tcPr>
          <w:p>
            <w:pPr>
              <w:rPr>
                <w:rFonts w:asciiTheme="minorEastAsia" w:hAnsiTheme="minorEastAsia"/>
                <w:kern w:val="0"/>
                <w:sz w:val="18"/>
                <w:szCs w:val="18"/>
              </w:rPr>
            </w:pPr>
            <w:r>
              <w:rPr>
                <w:rFonts w:hint="eastAsia" w:asciiTheme="minorEastAsia" w:hAnsiTheme="minorEastAsia"/>
                <w:kern w:val="0"/>
                <w:sz w:val="18"/>
                <w:szCs w:val="18"/>
              </w:rPr>
              <w:t>（一）予以公开</w:t>
            </w:r>
          </w:p>
        </w:tc>
        <w:tc>
          <w:tcPr>
            <w:tcW w:w="567" w:type="dxa"/>
          </w:tcPr>
          <w:p>
            <w:pPr>
              <w:rPr>
                <w:kern w:val="0"/>
                <w:sz w:val="20"/>
              </w:rPr>
            </w:pPr>
            <w:r>
              <w:rPr>
                <w:rFonts w:hint="eastAsia"/>
                <w:kern w:val="0"/>
                <w:sz w:val="20"/>
              </w:rPr>
              <w:t>1</w:t>
            </w:r>
          </w:p>
        </w:tc>
        <w:tc>
          <w:tcPr>
            <w:tcW w:w="709" w:type="dxa"/>
          </w:tcPr>
          <w:p>
            <w:pPr>
              <w:rPr>
                <w:rFonts w:hint="eastAsia" w:eastAsia="宋体"/>
                <w:kern w:val="0"/>
                <w:sz w:val="20"/>
                <w:lang w:val="en-US" w:eastAsia="zh-CN"/>
              </w:rPr>
            </w:pPr>
            <w:r>
              <w:rPr>
                <w:rFonts w:hint="eastAsia"/>
                <w:kern w:val="0"/>
                <w:sz w:val="20"/>
                <w:lang w:val="en-US" w:eastAsia="zh-CN"/>
              </w:rPr>
              <w:t>1</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4253" w:type="dxa"/>
            <w:gridSpan w:val="2"/>
          </w:tcPr>
          <w:p>
            <w:pPr>
              <w:rPr>
                <w:rFonts w:asciiTheme="minorEastAsia" w:hAnsiTheme="minorEastAsia"/>
                <w:kern w:val="0"/>
                <w:sz w:val="18"/>
                <w:szCs w:val="18"/>
              </w:rPr>
            </w:pPr>
            <w:r>
              <w:rPr>
                <w:rFonts w:hint="eastAsia" w:asciiTheme="minorEastAsia" w:hAnsiTheme="minorEastAsia"/>
                <w:kern w:val="0"/>
                <w:sz w:val="18"/>
                <w:szCs w:val="18"/>
              </w:rPr>
              <w:t>（二）部分公开（区分处理的，只计这一情形，不计其他情形）</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val="en-US"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rPr>
                <w:kern w:val="0"/>
                <w:sz w:val="20"/>
              </w:rPr>
            </w:pPr>
          </w:p>
        </w:tc>
        <w:tc>
          <w:tcPr>
            <w:tcW w:w="1560" w:type="dxa"/>
            <w:vMerge w:val="restart"/>
            <w:vAlign w:val="center"/>
          </w:tcPr>
          <w:p>
            <w:pPr>
              <w:rPr>
                <w:rFonts w:asciiTheme="minorEastAsia" w:hAnsiTheme="minorEastAsia"/>
                <w:kern w:val="0"/>
                <w:sz w:val="18"/>
                <w:szCs w:val="18"/>
              </w:rPr>
            </w:pPr>
            <w:r>
              <w:rPr>
                <w:rFonts w:hint="eastAsia" w:asciiTheme="minorEastAsia" w:hAnsiTheme="minorEastAsia"/>
                <w:kern w:val="0"/>
                <w:sz w:val="18"/>
                <w:szCs w:val="18"/>
              </w:rPr>
              <w:t>（三）不予公开</w:t>
            </w:r>
          </w:p>
        </w:tc>
        <w:tc>
          <w:tcPr>
            <w:tcW w:w="2693" w:type="dxa"/>
          </w:tcPr>
          <w:p>
            <w:pPr>
              <w:rPr>
                <w:rFonts w:asciiTheme="minorEastAsia" w:hAnsiTheme="minorEastAsia"/>
                <w:kern w:val="0"/>
                <w:sz w:val="18"/>
                <w:szCs w:val="18"/>
              </w:rPr>
            </w:pPr>
            <w:r>
              <w:rPr>
                <w:rFonts w:asciiTheme="minorEastAsia" w:hAnsiTheme="minorEastAsia"/>
                <w:kern w:val="0"/>
                <w:sz w:val="18"/>
                <w:szCs w:val="18"/>
              </w:rPr>
              <w:t>1</w:t>
            </w:r>
            <w:r>
              <w:rPr>
                <w:rFonts w:hint="eastAsia" w:asciiTheme="minorEastAsia" w:hAnsiTheme="minorEastAsia"/>
                <w:kern w:val="0"/>
                <w:sz w:val="18"/>
                <w:szCs w:val="18"/>
              </w:rPr>
              <w:t>．属于国家秘密</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rPr>
                <w:kern w:val="0"/>
                <w:sz w:val="20"/>
              </w:rPr>
            </w:pPr>
          </w:p>
        </w:tc>
        <w:tc>
          <w:tcPr>
            <w:tcW w:w="1560" w:type="dxa"/>
            <w:vMerge w:val="continue"/>
            <w:vAlign w:val="center"/>
          </w:tcPr>
          <w:p>
            <w:pPr>
              <w:rPr>
                <w:rFonts w:asciiTheme="minorEastAsia" w:hAnsiTheme="minorEastAsia"/>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2．其他法律行政法规禁止公开</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3．危及“三安全一稳定”</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4．保护第三方合法权益</w:t>
            </w:r>
          </w:p>
        </w:tc>
        <w:tc>
          <w:tcPr>
            <w:tcW w:w="567" w:type="dxa"/>
          </w:tcPr>
          <w:p>
            <w:pPr>
              <w:rPr>
                <w:kern w:val="0"/>
                <w:sz w:val="20"/>
              </w:rPr>
            </w:pPr>
            <w:r>
              <w:rPr>
                <w:rFonts w:hint="eastAsia"/>
                <w:kern w:val="0"/>
                <w:sz w:val="20"/>
              </w:rPr>
              <w:t>0</w:t>
            </w:r>
          </w:p>
        </w:tc>
        <w:tc>
          <w:tcPr>
            <w:tcW w:w="709" w:type="dxa"/>
          </w:tcPr>
          <w:p>
            <w:pPr>
              <w:rPr>
                <w:rFonts w:hint="eastAsia" w:eastAsia="宋体"/>
                <w:kern w:val="0"/>
                <w:sz w:val="20"/>
                <w:lang w:val="en-US" w:eastAsia="zh-CN"/>
              </w:rPr>
            </w:pPr>
            <w:r>
              <w:rPr>
                <w:rFonts w:hint="eastAsia"/>
                <w:kern w:val="0"/>
                <w:sz w:val="20"/>
                <w:lang w:val="en-US" w:eastAsia="zh-CN"/>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val="en-US"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5．属于三类内部事务信息</w:t>
            </w:r>
          </w:p>
        </w:tc>
        <w:tc>
          <w:tcPr>
            <w:tcW w:w="567" w:type="dxa"/>
          </w:tcPr>
          <w:p>
            <w:pPr>
              <w:rPr>
                <w:kern w:val="0"/>
                <w:sz w:val="20"/>
              </w:rPr>
            </w:pPr>
            <w:r>
              <w:rPr>
                <w:rFonts w:hint="eastAsia"/>
                <w:kern w:val="0"/>
                <w:sz w:val="20"/>
              </w:rPr>
              <w:t>0</w:t>
            </w:r>
          </w:p>
        </w:tc>
        <w:tc>
          <w:tcPr>
            <w:tcW w:w="709" w:type="dxa"/>
          </w:tcPr>
          <w:p>
            <w:pPr>
              <w:rPr>
                <w:rFonts w:hint="eastAsia" w:eastAsia="宋体"/>
                <w:kern w:val="0"/>
                <w:sz w:val="20"/>
                <w:lang w:val="en-US" w:eastAsia="zh-CN"/>
              </w:rPr>
            </w:pPr>
            <w:r>
              <w:rPr>
                <w:rFonts w:hint="eastAsia"/>
                <w:kern w:val="0"/>
                <w:sz w:val="20"/>
                <w:lang w:val="en-US" w:eastAsia="zh-CN"/>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val="en-US"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6．属于四类过程性信息</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7．属于行政执法案卷</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8．属于行政查询事项</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val="en-US"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rPr>
                <w:kern w:val="0"/>
                <w:sz w:val="20"/>
              </w:rPr>
            </w:pPr>
          </w:p>
        </w:tc>
        <w:tc>
          <w:tcPr>
            <w:tcW w:w="1560" w:type="dxa"/>
            <w:vMerge w:val="restart"/>
            <w:vAlign w:val="center"/>
          </w:tcPr>
          <w:p>
            <w:pPr>
              <w:rPr>
                <w:kern w:val="0"/>
                <w:sz w:val="18"/>
                <w:szCs w:val="18"/>
              </w:rPr>
            </w:pPr>
            <w:r>
              <w:rPr>
                <w:rFonts w:hint="eastAsia"/>
                <w:kern w:val="0"/>
                <w:sz w:val="18"/>
                <w:szCs w:val="18"/>
              </w:rPr>
              <w:t>（四）无法提供</w:t>
            </w: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1．本机关不掌握相关政府信息</w:t>
            </w:r>
          </w:p>
        </w:tc>
        <w:tc>
          <w:tcPr>
            <w:tcW w:w="567" w:type="dxa"/>
          </w:tcPr>
          <w:p>
            <w:pPr>
              <w:rPr>
                <w:rFonts w:hint="eastAsia" w:eastAsia="宋体"/>
                <w:kern w:val="0"/>
                <w:sz w:val="20"/>
                <w:lang w:val="en-US" w:eastAsia="zh-CN"/>
              </w:rPr>
            </w:pPr>
            <w:r>
              <w:rPr>
                <w:rFonts w:hint="eastAsia"/>
                <w:kern w:val="0"/>
                <w:sz w:val="20"/>
                <w:lang w:val="en-US" w:eastAsia="zh-CN"/>
              </w:rPr>
              <w:t>0</w:t>
            </w:r>
          </w:p>
        </w:tc>
        <w:tc>
          <w:tcPr>
            <w:tcW w:w="709" w:type="dxa"/>
          </w:tcPr>
          <w:p>
            <w:pPr>
              <w:rPr>
                <w:rFonts w:hint="eastAsia" w:eastAsia="宋体"/>
                <w:kern w:val="0"/>
                <w:sz w:val="20"/>
                <w:lang w:val="en-US" w:eastAsia="zh-CN"/>
              </w:rPr>
            </w:pPr>
            <w:r>
              <w:rPr>
                <w:rFonts w:hint="eastAsia"/>
                <w:kern w:val="0"/>
                <w:sz w:val="20"/>
                <w:lang w:val="en-US" w:eastAsia="zh-CN"/>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val="en-US" w:eastAsia="zh-CN"/>
              </w:rPr>
            </w:pPr>
            <w:r>
              <w:rPr>
                <w:rFonts w:hint="eastAsia"/>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2．没有现成信息需要另行制作</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vAlign w:val="center"/>
          </w:tcPr>
          <w:p>
            <w:pPr>
              <w:rPr>
                <w:kern w:val="0"/>
                <w:sz w:val="18"/>
                <w:szCs w:val="18"/>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3．补正后申请内容仍不明确</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rPr>
                <w:kern w:val="0"/>
                <w:sz w:val="20"/>
              </w:rPr>
            </w:pPr>
          </w:p>
        </w:tc>
        <w:tc>
          <w:tcPr>
            <w:tcW w:w="1560" w:type="dxa"/>
            <w:vMerge w:val="restart"/>
            <w:vAlign w:val="center"/>
          </w:tcPr>
          <w:p>
            <w:pPr>
              <w:rPr>
                <w:kern w:val="0"/>
                <w:sz w:val="18"/>
                <w:szCs w:val="18"/>
              </w:rPr>
            </w:pPr>
            <w:r>
              <w:rPr>
                <w:rFonts w:hint="eastAsia"/>
                <w:kern w:val="0"/>
                <w:sz w:val="18"/>
                <w:szCs w:val="18"/>
              </w:rPr>
              <w:t>（五）</w:t>
            </w:r>
            <w:r>
              <w:rPr>
                <w:rFonts w:hint="eastAsia" w:asciiTheme="minorEastAsia" w:hAnsiTheme="minorEastAsia"/>
                <w:kern w:val="0"/>
                <w:sz w:val="18"/>
                <w:szCs w:val="18"/>
              </w:rPr>
              <w:t>不予处理</w:t>
            </w: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1．信访举报投诉类申请</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2．重复申请</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asciiTheme="minorEastAsia" w:hAnsiTheme="minorEastAsia"/>
                <w:kern w:val="0"/>
                <w:sz w:val="18"/>
                <w:szCs w:val="18"/>
              </w:rPr>
              <w:t>3</w:t>
            </w:r>
            <w:r>
              <w:rPr>
                <w:rFonts w:hint="eastAsia" w:asciiTheme="minorEastAsia" w:hAnsiTheme="minorEastAsia"/>
                <w:kern w:val="0"/>
                <w:sz w:val="18"/>
                <w:szCs w:val="18"/>
              </w:rPr>
              <w:t>．要求提供公开出版物</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kern w:val="0"/>
                <w:sz w:val="20"/>
              </w:rPr>
            </w:pPr>
          </w:p>
        </w:tc>
        <w:tc>
          <w:tcPr>
            <w:tcW w:w="1560" w:type="dxa"/>
            <w:vMerge w:val="continue"/>
          </w:tcPr>
          <w:p>
            <w:pPr>
              <w:rPr>
                <w:kern w:val="0"/>
                <w:sz w:val="20"/>
              </w:rPr>
            </w:pPr>
          </w:p>
        </w:tc>
        <w:tc>
          <w:tcPr>
            <w:tcW w:w="2693" w:type="dxa"/>
          </w:tcPr>
          <w:p>
            <w:pPr>
              <w:rPr>
                <w:rFonts w:asciiTheme="minorEastAsia" w:hAnsiTheme="minorEastAsia"/>
                <w:kern w:val="0"/>
                <w:sz w:val="18"/>
                <w:szCs w:val="18"/>
              </w:rPr>
            </w:pPr>
            <w:r>
              <w:rPr>
                <w:rFonts w:hint="eastAsia" w:asciiTheme="minorEastAsia" w:hAnsiTheme="minorEastAsia"/>
                <w:kern w:val="0"/>
                <w:sz w:val="18"/>
                <w:szCs w:val="18"/>
              </w:rPr>
              <w:t>4．无正当理由大量反复申请</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kern w:val="0"/>
                <w:sz w:val="20"/>
              </w:rPr>
            </w:pPr>
          </w:p>
        </w:tc>
        <w:tc>
          <w:tcPr>
            <w:tcW w:w="1560" w:type="dxa"/>
            <w:vMerge w:val="continue"/>
          </w:tcPr>
          <w:p>
            <w:pPr>
              <w:rPr>
                <w:kern w:val="0"/>
                <w:sz w:val="20"/>
              </w:rPr>
            </w:pPr>
          </w:p>
        </w:tc>
        <w:tc>
          <w:tcPr>
            <w:tcW w:w="2693" w:type="dxa"/>
          </w:tcPr>
          <w:p>
            <w:pPr>
              <w:ind w:left="180" w:hanging="180" w:hangingChars="100"/>
              <w:rPr>
                <w:rFonts w:asciiTheme="minorEastAsia" w:hAnsiTheme="minorEastAsia"/>
                <w:kern w:val="0"/>
                <w:sz w:val="18"/>
                <w:szCs w:val="18"/>
              </w:rPr>
            </w:pPr>
            <w:r>
              <w:rPr>
                <w:rFonts w:hint="eastAsia" w:asciiTheme="minorEastAsia" w:hAnsiTheme="minorEastAsia"/>
                <w:kern w:val="0"/>
                <w:sz w:val="18"/>
                <w:szCs w:val="18"/>
              </w:rPr>
              <w:t>5．要求行政机关确认或重新出具已获取信息</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vMerge w:val="continue"/>
          </w:tcPr>
          <w:p>
            <w:pPr>
              <w:rPr>
                <w:kern w:val="0"/>
                <w:sz w:val="20"/>
              </w:rPr>
            </w:pPr>
          </w:p>
        </w:tc>
        <w:tc>
          <w:tcPr>
            <w:tcW w:w="4253" w:type="dxa"/>
            <w:gridSpan w:val="2"/>
            <w:vAlign w:val="center"/>
          </w:tcPr>
          <w:p>
            <w:pPr>
              <w:rPr>
                <w:kern w:val="0"/>
                <w:sz w:val="18"/>
                <w:szCs w:val="18"/>
              </w:rPr>
            </w:pPr>
            <w:r>
              <w:rPr>
                <w:rFonts w:hint="eastAsia"/>
                <w:kern w:val="0"/>
                <w:sz w:val="18"/>
                <w:szCs w:val="18"/>
              </w:rPr>
              <w:t>（六）其他处理</w:t>
            </w:r>
          </w:p>
        </w:tc>
        <w:tc>
          <w:tcPr>
            <w:tcW w:w="567"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kern w:val="0"/>
                <w:sz w:val="20"/>
              </w:rPr>
            </w:pPr>
            <w:r>
              <w:rPr>
                <w:rFonts w:hint="eastAsia"/>
                <w:kern w:val="0"/>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kern w:val="0"/>
                <w:sz w:val="20"/>
              </w:rPr>
            </w:pPr>
          </w:p>
        </w:tc>
        <w:tc>
          <w:tcPr>
            <w:tcW w:w="4253" w:type="dxa"/>
            <w:gridSpan w:val="2"/>
            <w:vAlign w:val="center"/>
          </w:tcPr>
          <w:p>
            <w:pPr>
              <w:rPr>
                <w:kern w:val="0"/>
                <w:sz w:val="18"/>
                <w:szCs w:val="18"/>
              </w:rPr>
            </w:pPr>
            <w:r>
              <w:rPr>
                <w:rFonts w:hint="eastAsia"/>
                <w:kern w:val="0"/>
                <w:sz w:val="18"/>
                <w:szCs w:val="18"/>
              </w:rPr>
              <w:t>（七）总计</w:t>
            </w:r>
          </w:p>
        </w:tc>
        <w:tc>
          <w:tcPr>
            <w:tcW w:w="567" w:type="dxa"/>
          </w:tcPr>
          <w:p>
            <w:pPr>
              <w:rPr>
                <w:rFonts w:hint="eastAsia" w:eastAsia="宋体"/>
                <w:kern w:val="0"/>
                <w:sz w:val="20"/>
                <w:lang w:val="en-US" w:eastAsia="zh-CN"/>
              </w:rPr>
            </w:pPr>
            <w:r>
              <w:rPr>
                <w:rFonts w:hint="eastAsia"/>
                <w:kern w:val="0"/>
                <w:sz w:val="20"/>
                <w:lang w:val="en-US" w:eastAsia="zh-CN"/>
              </w:rPr>
              <w:t>1</w:t>
            </w:r>
          </w:p>
        </w:tc>
        <w:tc>
          <w:tcPr>
            <w:tcW w:w="709" w:type="dxa"/>
          </w:tcPr>
          <w:p>
            <w:pPr>
              <w:rPr>
                <w:kern w:val="0"/>
                <w:sz w:val="20"/>
              </w:rPr>
            </w:pPr>
            <w:r>
              <w:rPr>
                <w:rFonts w:hint="eastAsia"/>
                <w:color w:val="000000" w:themeColor="text1"/>
                <w:kern w:val="0"/>
                <w:sz w:val="20"/>
                <w14:textFill>
                  <w14:solidFill>
                    <w14:schemeClr w14:val="tx1"/>
                  </w14:solidFill>
                </w14:textFill>
              </w:rPr>
              <w:t>1</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val="en-US" w:eastAsia="zh-CN"/>
              </w:rPr>
            </w:pPr>
            <w:r>
              <w:rPr>
                <w:rFonts w:hint="eastAsia"/>
                <w:kern w:val="0"/>
                <w:sz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rPr>
                <w:kern w:val="0"/>
                <w:sz w:val="20"/>
              </w:rPr>
            </w:pPr>
            <w:r>
              <w:rPr>
                <w:rFonts w:hint="eastAsia"/>
                <w:kern w:val="0"/>
                <w:sz w:val="20"/>
              </w:rPr>
              <w:t>四、结转下年度继续办理</w:t>
            </w:r>
          </w:p>
        </w:tc>
        <w:tc>
          <w:tcPr>
            <w:tcW w:w="567" w:type="dxa"/>
          </w:tcPr>
          <w:p>
            <w:pPr>
              <w:rPr>
                <w:kern w:val="0"/>
                <w:sz w:val="20"/>
              </w:rPr>
            </w:pPr>
            <w:r>
              <w:rPr>
                <w:rFonts w:hint="eastAsia"/>
                <w:kern w:val="0"/>
                <w:sz w:val="20"/>
              </w:rPr>
              <w:t>0</w:t>
            </w:r>
          </w:p>
        </w:tc>
        <w:tc>
          <w:tcPr>
            <w:tcW w:w="709" w:type="dxa"/>
          </w:tcPr>
          <w:p>
            <w:pPr>
              <w:rPr>
                <w:rFonts w:hint="eastAsia" w:eastAsia="宋体"/>
                <w:kern w:val="0"/>
                <w:sz w:val="20"/>
                <w:lang w:val="en-US" w:eastAsia="zh-CN"/>
              </w:rPr>
            </w:pPr>
            <w:r>
              <w:rPr>
                <w:rFonts w:hint="eastAsia"/>
                <w:kern w:val="0"/>
                <w:sz w:val="20"/>
                <w:lang w:val="en-US" w:eastAsia="zh-CN"/>
              </w:rPr>
              <w:t>0</w:t>
            </w:r>
          </w:p>
        </w:tc>
        <w:tc>
          <w:tcPr>
            <w:tcW w:w="708"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709" w:type="dxa"/>
          </w:tcPr>
          <w:p>
            <w:pPr>
              <w:rPr>
                <w:kern w:val="0"/>
                <w:sz w:val="20"/>
              </w:rPr>
            </w:pPr>
            <w:r>
              <w:rPr>
                <w:rFonts w:hint="eastAsia"/>
                <w:kern w:val="0"/>
                <w:sz w:val="20"/>
              </w:rPr>
              <w:t>0</w:t>
            </w:r>
          </w:p>
        </w:tc>
        <w:tc>
          <w:tcPr>
            <w:tcW w:w="850" w:type="dxa"/>
          </w:tcPr>
          <w:p>
            <w:pPr>
              <w:rPr>
                <w:rFonts w:hint="eastAsia" w:eastAsia="宋体"/>
                <w:kern w:val="0"/>
                <w:sz w:val="20"/>
                <w:lang w:val="en-US" w:eastAsia="zh-CN"/>
              </w:rPr>
            </w:pPr>
            <w:r>
              <w:rPr>
                <w:rFonts w:hint="eastAsia"/>
                <w:kern w:val="0"/>
                <w:sz w:val="20"/>
                <w:lang w:val="en-US" w:eastAsia="zh-CN"/>
              </w:rPr>
              <w:t>0</w:t>
            </w:r>
          </w:p>
        </w:tc>
      </w:tr>
    </w:tbl>
    <w:p>
      <w:pPr>
        <w:pStyle w:val="8"/>
        <w:widowControl/>
        <w:spacing w:after="0"/>
        <w:ind w:firstLine="640" w:firstLineChars="200"/>
        <w:rPr>
          <w:rFonts w:ascii="仿宋_GB2312" w:hAnsi="仿宋" w:eastAsia="仿宋_GB2312" w:cs="仿宋"/>
          <w:color w:val="000000" w:themeColor="text1"/>
          <w:sz w:val="32"/>
          <w:szCs w:val="32"/>
          <w14:textFill>
            <w14:solidFill>
              <w14:schemeClr w14:val="tx1"/>
            </w14:solidFill>
          </w14:textFill>
        </w:rPr>
      </w:pPr>
    </w:p>
    <w:p>
      <w:pPr>
        <w:pStyle w:val="8"/>
        <w:widowControl/>
        <w:spacing w:after="0"/>
        <w:ind w:firstLine="640" w:firstLineChars="200"/>
        <w:rPr>
          <w:rFonts w:ascii="仿宋_GB2312" w:hAnsi="仿宋" w:eastAsia="仿宋_GB2312" w:cs="仿宋"/>
          <w:color w:val="000000" w:themeColor="text1"/>
          <w:sz w:val="32"/>
          <w:szCs w:val="32"/>
          <w14:textFill>
            <w14:solidFill>
              <w14:schemeClr w14:val="tx1"/>
            </w14:solidFill>
          </w14:textFill>
        </w:rPr>
      </w:pPr>
    </w:p>
    <w:p>
      <w:pPr>
        <w:pStyle w:val="8"/>
        <w:widowControl/>
        <w:spacing w:after="0"/>
        <w:ind w:firstLine="640" w:firstLineChars="200"/>
        <w:rPr>
          <w:rFonts w:ascii="黑体" w:hAnsi="黑体" w:eastAsia="黑体"/>
          <w:sz w:val="32"/>
          <w:szCs w:val="32"/>
        </w:rPr>
      </w:pPr>
      <w:r>
        <w:rPr>
          <w:rFonts w:hint="eastAsia" w:ascii="黑体" w:hAnsi="黑体" w:eastAsia="黑体" w:cs="仿宋"/>
          <w:color w:val="000000" w:themeColor="text1"/>
          <w:sz w:val="32"/>
          <w:szCs w:val="32"/>
          <w14:textFill>
            <w14:solidFill>
              <w14:schemeClr w14:val="tx1"/>
            </w14:solidFill>
          </w14:textFill>
        </w:rPr>
        <w:t>四、</w:t>
      </w:r>
      <w:r>
        <w:rPr>
          <w:rFonts w:hint="eastAsia" w:ascii="黑体" w:hAnsi="黑体" w:eastAsia="黑体"/>
          <w:sz w:val="32"/>
          <w:szCs w:val="32"/>
        </w:rPr>
        <w:t>政府信息公开行政复议、行政诉讼情况</w:t>
      </w:r>
    </w:p>
    <w:tbl>
      <w:tblPr>
        <w:tblStyle w:val="10"/>
        <w:tblW w:w="1031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jc w:val="center"/>
              <w:rPr>
                <w:kern w:val="0"/>
                <w:sz w:val="20"/>
                <w:szCs w:val="21"/>
              </w:rPr>
            </w:pPr>
            <w:r>
              <w:rPr>
                <w:rFonts w:hint="eastAsia"/>
                <w:kern w:val="0"/>
                <w:sz w:val="20"/>
                <w:szCs w:val="21"/>
              </w:rPr>
              <w:t>行政复议</w:t>
            </w:r>
          </w:p>
        </w:tc>
        <w:tc>
          <w:tcPr>
            <w:tcW w:w="6917" w:type="dxa"/>
            <w:gridSpan w:val="10"/>
            <w:vAlign w:val="center"/>
          </w:tcPr>
          <w:p>
            <w:pPr>
              <w:jc w:val="center"/>
              <w:rPr>
                <w:kern w:val="0"/>
                <w:sz w:val="20"/>
                <w:szCs w:val="21"/>
              </w:rPr>
            </w:pPr>
            <w:r>
              <w:rPr>
                <w:rFonts w:hint="eastAsia"/>
                <w:kern w:val="0"/>
                <w:sz w:val="20"/>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center"/>
              <w:rPr>
                <w:kern w:val="0"/>
                <w:sz w:val="20"/>
                <w:szCs w:val="21"/>
              </w:rPr>
            </w:pPr>
            <w:r>
              <w:rPr>
                <w:rFonts w:hint="eastAsia"/>
                <w:kern w:val="0"/>
                <w:sz w:val="20"/>
                <w:szCs w:val="21"/>
              </w:rPr>
              <w:t>结果维持</w:t>
            </w:r>
          </w:p>
        </w:tc>
        <w:tc>
          <w:tcPr>
            <w:tcW w:w="708" w:type="dxa"/>
            <w:vMerge w:val="restart"/>
            <w:vAlign w:val="center"/>
          </w:tcPr>
          <w:p>
            <w:pPr>
              <w:jc w:val="center"/>
              <w:rPr>
                <w:kern w:val="0"/>
                <w:sz w:val="20"/>
                <w:szCs w:val="21"/>
              </w:rPr>
            </w:pPr>
            <w:r>
              <w:rPr>
                <w:rFonts w:hint="eastAsia"/>
                <w:kern w:val="0"/>
                <w:sz w:val="20"/>
                <w:szCs w:val="21"/>
              </w:rPr>
              <w:t>结果纠正</w:t>
            </w:r>
          </w:p>
        </w:tc>
        <w:tc>
          <w:tcPr>
            <w:tcW w:w="709" w:type="dxa"/>
            <w:vMerge w:val="restart"/>
            <w:vAlign w:val="center"/>
          </w:tcPr>
          <w:p>
            <w:pPr>
              <w:jc w:val="center"/>
              <w:rPr>
                <w:kern w:val="0"/>
                <w:sz w:val="20"/>
                <w:szCs w:val="21"/>
              </w:rPr>
            </w:pPr>
            <w:r>
              <w:rPr>
                <w:rFonts w:hint="eastAsia"/>
                <w:kern w:val="0"/>
                <w:sz w:val="20"/>
                <w:szCs w:val="21"/>
              </w:rPr>
              <w:t>其他结果</w:t>
            </w:r>
          </w:p>
        </w:tc>
        <w:tc>
          <w:tcPr>
            <w:tcW w:w="682" w:type="dxa"/>
            <w:vMerge w:val="restart"/>
            <w:vAlign w:val="center"/>
          </w:tcPr>
          <w:p>
            <w:pPr>
              <w:jc w:val="center"/>
              <w:rPr>
                <w:kern w:val="0"/>
                <w:sz w:val="20"/>
                <w:szCs w:val="21"/>
              </w:rPr>
            </w:pPr>
            <w:r>
              <w:rPr>
                <w:rFonts w:hint="eastAsia"/>
                <w:kern w:val="0"/>
                <w:sz w:val="20"/>
                <w:szCs w:val="21"/>
              </w:rPr>
              <w:t>尚未审结</w:t>
            </w:r>
          </w:p>
        </w:tc>
        <w:tc>
          <w:tcPr>
            <w:tcW w:w="594" w:type="dxa"/>
            <w:vMerge w:val="restart"/>
            <w:vAlign w:val="center"/>
          </w:tcPr>
          <w:p>
            <w:pPr>
              <w:jc w:val="center"/>
              <w:rPr>
                <w:kern w:val="0"/>
                <w:sz w:val="20"/>
                <w:szCs w:val="21"/>
              </w:rPr>
            </w:pPr>
            <w:r>
              <w:rPr>
                <w:rFonts w:hint="eastAsia"/>
                <w:kern w:val="0"/>
                <w:sz w:val="20"/>
                <w:szCs w:val="21"/>
              </w:rPr>
              <w:t>总计</w:t>
            </w:r>
          </w:p>
        </w:tc>
        <w:tc>
          <w:tcPr>
            <w:tcW w:w="3402" w:type="dxa"/>
            <w:gridSpan w:val="5"/>
            <w:vAlign w:val="center"/>
          </w:tcPr>
          <w:p>
            <w:pPr>
              <w:jc w:val="center"/>
              <w:rPr>
                <w:kern w:val="0"/>
                <w:sz w:val="20"/>
                <w:szCs w:val="21"/>
              </w:rPr>
            </w:pPr>
            <w:r>
              <w:rPr>
                <w:rFonts w:hint="eastAsia"/>
                <w:kern w:val="0"/>
                <w:sz w:val="20"/>
                <w:szCs w:val="21"/>
              </w:rPr>
              <w:t>未经复议直接起诉</w:t>
            </w:r>
          </w:p>
        </w:tc>
        <w:tc>
          <w:tcPr>
            <w:tcW w:w="3515" w:type="dxa"/>
            <w:gridSpan w:val="5"/>
            <w:vAlign w:val="center"/>
          </w:tcPr>
          <w:p>
            <w:pPr>
              <w:jc w:val="center"/>
              <w:rPr>
                <w:kern w:val="0"/>
                <w:sz w:val="20"/>
                <w:szCs w:val="21"/>
              </w:rPr>
            </w:pPr>
            <w:r>
              <w:rPr>
                <w:rFonts w:hint="eastAsia"/>
                <w:kern w:val="0"/>
                <w:sz w:val="20"/>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center"/>
              <w:rPr>
                <w:kern w:val="0"/>
                <w:sz w:val="18"/>
                <w:szCs w:val="18"/>
              </w:rPr>
            </w:pPr>
          </w:p>
        </w:tc>
        <w:tc>
          <w:tcPr>
            <w:tcW w:w="708" w:type="dxa"/>
            <w:vMerge w:val="continue"/>
            <w:vAlign w:val="center"/>
          </w:tcPr>
          <w:p>
            <w:pPr>
              <w:jc w:val="center"/>
              <w:rPr>
                <w:kern w:val="0"/>
                <w:sz w:val="18"/>
                <w:szCs w:val="18"/>
              </w:rPr>
            </w:pPr>
          </w:p>
        </w:tc>
        <w:tc>
          <w:tcPr>
            <w:tcW w:w="709" w:type="dxa"/>
            <w:vMerge w:val="continue"/>
            <w:vAlign w:val="center"/>
          </w:tcPr>
          <w:p>
            <w:pPr>
              <w:jc w:val="center"/>
              <w:rPr>
                <w:kern w:val="0"/>
                <w:sz w:val="18"/>
                <w:szCs w:val="18"/>
              </w:rPr>
            </w:pPr>
          </w:p>
        </w:tc>
        <w:tc>
          <w:tcPr>
            <w:tcW w:w="682" w:type="dxa"/>
            <w:vMerge w:val="continue"/>
            <w:vAlign w:val="center"/>
          </w:tcPr>
          <w:p>
            <w:pPr>
              <w:jc w:val="center"/>
              <w:rPr>
                <w:kern w:val="0"/>
                <w:sz w:val="20"/>
                <w:szCs w:val="21"/>
              </w:rPr>
            </w:pPr>
          </w:p>
        </w:tc>
        <w:tc>
          <w:tcPr>
            <w:tcW w:w="594" w:type="dxa"/>
            <w:vMerge w:val="continue"/>
            <w:vAlign w:val="center"/>
          </w:tcPr>
          <w:p>
            <w:pPr>
              <w:jc w:val="center"/>
              <w:rPr>
                <w:kern w:val="0"/>
                <w:sz w:val="20"/>
                <w:szCs w:val="21"/>
              </w:rPr>
            </w:pPr>
          </w:p>
        </w:tc>
        <w:tc>
          <w:tcPr>
            <w:tcW w:w="709" w:type="dxa"/>
            <w:vAlign w:val="center"/>
          </w:tcPr>
          <w:p>
            <w:pPr>
              <w:jc w:val="center"/>
              <w:rPr>
                <w:kern w:val="0"/>
                <w:sz w:val="20"/>
                <w:szCs w:val="21"/>
              </w:rPr>
            </w:pPr>
            <w:r>
              <w:rPr>
                <w:rFonts w:hint="eastAsia"/>
                <w:kern w:val="0"/>
                <w:sz w:val="20"/>
                <w:szCs w:val="21"/>
              </w:rPr>
              <w:t>结果维持</w:t>
            </w:r>
          </w:p>
        </w:tc>
        <w:tc>
          <w:tcPr>
            <w:tcW w:w="709" w:type="dxa"/>
            <w:vAlign w:val="center"/>
          </w:tcPr>
          <w:p>
            <w:pPr>
              <w:jc w:val="center"/>
              <w:rPr>
                <w:kern w:val="0"/>
                <w:sz w:val="20"/>
                <w:szCs w:val="21"/>
              </w:rPr>
            </w:pPr>
            <w:r>
              <w:rPr>
                <w:rFonts w:hint="eastAsia"/>
                <w:kern w:val="0"/>
                <w:sz w:val="20"/>
                <w:szCs w:val="21"/>
              </w:rPr>
              <w:t>结果纠正</w:t>
            </w:r>
          </w:p>
        </w:tc>
        <w:tc>
          <w:tcPr>
            <w:tcW w:w="709" w:type="dxa"/>
            <w:vAlign w:val="center"/>
          </w:tcPr>
          <w:p>
            <w:pPr>
              <w:jc w:val="center"/>
              <w:rPr>
                <w:kern w:val="0"/>
                <w:sz w:val="20"/>
                <w:szCs w:val="21"/>
              </w:rPr>
            </w:pPr>
            <w:r>
              <w:rPr>
                <w:rFonts w:hint="eastAsia"/>
                <w:kern w:val="0"/>
                <w:sz w:val="20"/>
                <w:szCs w:val="21"/>
              </w:rPr>
              <w:t>其他结果</w:t>
            </w:r>
          </w:p>
        </w:tc>
        <w:tc>
          <w:tcPr>
            <w:tcW w:w="708" w:type="dxa"/>
            <w:vAlign w:val="center"/>
          </w:tcPr>
          <w:p>
            <w:pPr>
              <w:jc w:val="center"/>
              <w:rPr>
                <w:kern w:val="0"/>
                <w:sz w:val="20"/>
                <w:szCs w:val="21"/>
              </w:rPr>
            </w:pPr>
            <w:r>
              <w:rPr>
                <w:rFonts w:hint="eastAsia"/>
                <w:kern w:val="0"/>
                <w:sz w:val="20"/>
                <w:szCs w:val="21"/>
              </w:rPr>
              <w:t>尚未审结</w:t>
            </w:r>
          </w:p>
        </w:tc>
        <w:tc>
          <w:tcPr>
            <w:tcW w:w="567" w:type="dxa"/>
            <w:vAlign w:val="center"/>
          </w:tcPr>
          <w:p>
            <w:pPr>
              <w:jc w:val="center"/>
              <w:rPr>
                <w:kern w:val="0"/>
                <w:sz w:val="20"/>
                <w:szCs w:val="21"/>
              </w:rPr>
            </w:pPr>
            <w:r>
              <w:rPr>
                <w:rFonts w:hint="eastAsia"/>
                <w:kern w:val="0"/>
                <w:sz w:val="20"/>
                <w:szCs w:val="21"/>
              </w:rPr>
              <w:t>总计</w:t>
            </w:r>
          </w:p>
        </w:tc>
        <w:tc>
          <w:tcPr>
            <w:tcW w:w="851" w:type="dxa"/>
            <w:vAlign w:val="center"/>
          </w:tcPr>
          <w:p>
            <w:pPr>
              <w:jc w:val="center"/>
              <w:rPr>
                <w:kern w:val="0"/>
                <w:sz w:val="20"/>
                <w:szCs w:val="21"/>
              </w:rPr>
            </w:pPr>
            <w:r>
              <w:rPr>
                <w:rFonts w:hint="eastAsia"/>
                <w:kern w:val="0"/>
                <w:sz w:val="20"/>
                <w:szCs w:val="21"/>
              </w:rPr>
              <w:t>结果维持</w:t>
            </w:r>
          </w:p>
        </w:tc>
        <w:tc>
          <w:tcPr>
            <w:tcW w:w="650" w:type="dxa"/>
            <w:vAlign w:val="center"/>
          </w:tcPr>
          <w:p>
            <w:pPr>
              <w:jc w:val="center"/>
              <w:rPr>
                <w:kern w:val="0"/>
                <w:sz w:val="20"/>
                <w:szCs w:val="21"/>
              </w:rPr>
            </w:pPr>
            <w:r>
              <w:rPr>
                <w:rFonts w:hint="eastAsia"/>
                <w:kern w:val="0"/>
                <w:sz w:val="20"/>
                <w:szCs w:val="21"/>
              </w:rPr>
              <w:t>结果纠正</w:t>
            </w:r>
          </w:p>
        </w:tc>
        <w:tc>
          <w:tcPr>
            <w:tcW w:w="767" w:type="dxa"/>
            <w:vAlign w:val="center"/>
          </w:tcPr>
          <w:p>
            <w:pPr>
              <w:jc w:val="center"/>
              <w:rPr>
                <w:kern w:val="0"/>
                <w:sz w:val="20"/>
                <w:szCs w:val="21"/>
              </w:rPr>
            </w:pPr>
            <w:r>
              <w:rPr>
                <w:rFonts w:hint="eastAsia"/>
                <w:kern w:val="0"/>
                <w:sz w:val="20"/>
                <w:szCs w:val="21"/>
              </w:rPr>
              <w:t>其他结果</w:t>
            </w:r>
          </w:p>
        </w:tc>
        <w:tc>
          <w:tcPr>
            <w:tcW w:w="709" w:type="dxa"/>
            <w:vAlign w:val="center"/>
          </w:tcPr>
          <w:p>
            <w:pPr>
              <w:jc w:val="center"/>
              <w:rPr>
                <w:kern w:val="0"/>
                <w:sz w:val="20"/>
                <w:szCs w:val="21"/>
              </w:rPr>
            </w:pPr>
            <w:r>
              <w:rPr>
                <w:rFonts w:hint="eastAsia"/>
                <w:kern w:val="0"/>
                <w:sz w:val="20"/>
                <w:szCs w:val="21"/>
              </w:rPr>
              <w:t>尚未审结</w:t>
            </w:r>
          </w:p>
        </w:tc>
        <w:tc>
          <w:tcPr>
            <w:tcW w:w="538" w:type="dxa"/>
            <w:vAlign w:val="center"/>
          </w:tcPr>
          <w:p>
            <w:pPr>
              <w:jc w:val="center"/>
              <w:rPr>
                <w:kern w:val="0"/>
                <w:sz w:val="20"/>
                <w:szCs w:val="21"/>
              </w:rPr>
            </w:pPr>
            <w:r>
              <w:rPr>
                <w:rFonts w:hint="eastAsia"/>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rPr>
                <w:rFonts w:hint="eastAsia" w:eastAsia="宋体"/>
                <w:kern w:val="0"/>
                <w:sz w:val="24"/>
                <w:lang w:val="en-US" w:eastAsia="zh-CN"/>
              </w:rPr>
            </w:pPr>
            <w:r>
              <w:rPr>
                <w:rFonts w:hint="eastAsia"/>
                <w:kern w:val="0"/>
                <w:sz w:val="24"/>
                <w:lang w:val="en-US" w:eastAsia="zh-CN"/>
              </w:rPr>
              <w:t>0</w:t>
            </w:r>
          </w:p>
        </w:tc>
        <w:tc>
          <w:tcPr>
            <w:tcW w:w="708" w:type="dxa"/>
            <w:vAlign w:val="center"/>
          </w:tcPr>
          <w:p>
            <w:pPr>
              <w:rPr>
                <w:rFonts w:hint="eastAsia" w:eastAsia="宋体"/>
                <w:kern w:val="0"/>
                <w:sz w:val="24"/>
                <w:lang w:val="en-US" w:eastAsia="zh-CN"/>
              </w:rPr>
            </w:pPr>
            <w:r>
              <w:rPr>
                <w:rFonts w:hint="eastAsia"/>
                <w:kern w:val="0"/>
                <w:sz w:val="24"/>
                <w:lang w:val="en-US" w:eastAsia="zh-CN"/>
              </w:rPr>
              <w:t>0</w:t>
            </w:r>
          </w:p>
        </w:tc>
        <w:tc>
          <w:tcPr>
            <w:tcW w:w="709" w:type="dxa"/>
            <w:vAlign w:val="center"/>
          </w:tcPr>
          <w:p>
            <w:pPr>
              <w:rPr>
                <w:rFonts w:hint="eastAsia" w:eastAsia="宋体"/>
                <w:kern w:val="0"/>
                <w:sz w:val="24"/>
                <w:lang w:val="en-US" w:eastAsia="zh-CN"/>
              </w:rPr>
            </w:pPr>
            <w:r>
              <w:rPr>
                <w:rFonts w:hint="eastAsia"/>
                <w:kern w:val="0"/>
                <w:sz w:val="24"/>
                <w:lang w:val="en-US" w:eastAsia="zh-CN"/>
              </w:rPr>
              <w:t>0</w:t>
            </w:r>
          </w:p>
        </w:tc>
        <w:tc>
          <w:tcPr>
            <w:tcW w:w="682" w:type="dxa"/>
            <w:vAlign w:val="center"/>
          </w:tcPr>
          <w:p>
            <w:pPr>
              <w:rPr>
                <w:kern w:val="0"/>
                <w:sz w:val="24"/>
              </w:rPr>
            </w:pPr>
            <w:r>
              <w:rPr>
                <w:rFonts w:hint="eastAsia"/>
                <w:kern w:val="0"/>
                <w:sz w:val="24"/>
              </w:rPr>
              <w:t>0</w:t>
            </w:r>
          </w:p>
        </w:tc>
        <w:tc>
          <w:tcPr>
            <w:tcW w:w="594" w:type="dxa"/>
            <w:vAlign w:val="center"/>
          </w:tcPr>
          <w:p>
            <w:pPr>
              <w:rPr>
                <w:rFonts w:hint="eastAsia" w:eastAsia="宋体"/>
                <w:kern w:val="0"/>
                <w:sz w:val="24"/>
                <w:lang w:val="en-US" w:eastAsia="zh-CN"/>
              </w:rPr>
            </w:pPr>
            <w:r>
              <w:rPr>
                <w:rFonts w:hint="eastAsia"/>
                <w:kern w:val="0"/>
                <w:sz w:val="24"/>
                <w:lang w:val="en-US" w:eastAsia="zh-CN"/>
              </w:rPr>
              <w:t>0</w:t>
            </w:r>
          </w:p>
        </w:tc>
        <w:tc>
          <w:tcPr>
            <w:tcW w:w="709" w:type="dxa"/>
            <w:vAlign w:val="center"/>
          </w:tcPr>
          <w:p>
            <w:pPr>
              <w:rPr>
                <w:rFonts w:hint="eastAsia" w:eastAsia="宋体"/>
                <w:kern w:val="0"/>
                <w:sz w:val="24"/>
                <w:lang w:val="en-US" w:eastAsia="zh-CN"/>
              </w:rPr>
            </w:pPr>
            <w:r>
              <w:rPr>
                <w:rFonts w:hint="eastAsia"/>
                <w:kern w:val="0"/>
                <w:sz w:val="24"/>
                <w:lang w:val="en-US" w:eastAsia="zh-CN"/>
              </w:rPr>
              <w:t>0</w:t>
            </w:r>
          </w:p>
        </w:tc>
        <w:tc>
          <w:tcPr>
            <w:tcW w:w="709" w:type="dxa"/>
            <w:vAlign w:val="center"/>
          </w:tcPr>
          <w:p>
            <w:pPr>
              <w:rPr>
                <w:kern w:val="0"/>
                <w:sz w:val="24"/>
              </w:rPr>
            </w:pPr>
            <w:r>
              <w:rPr>
                <w:rFonts w:hint="eastAsia"/>
                <w:kern w:val="0"/>
                <w:sz w:val="24"/>
              </w:rPr>
              <w:t>0</w:t>
            </w:r>
          </w:p>
        </w:tc>
        <w:tc>
          <w:tcPr>
            <w:tcW w:w="709" w:type="dxa"/>
            <w:vAlign w:val="center"/>
          </w:tcPr>
          <w:p>
            <w:pPr>
              <w:rPr>
                <w:kern w:val="0"/>
                <w:sz w:val="24"/>
              </w:rPr>
            </w:pPr>
            <w:r>
              <w:rPr>
                <w:rFonts w:hint="eastAsia"/>
                <w:kern w:val="0"/>
                <w:sz w:val="24"/>
              </w:rPr>
              <w:t>0</w:t>
            </w:r>
          </w:p>
        </w:tc>
        <w:tc>
          <w:tcPr>
            <w:tcW w:w="708" w:type="dxa"/>
            <w:vAlign w:val="center"/>
          </w:tcPr>
          <w:p>
            <w:pPr>
              <w:rPr>
                <w:kern w:val="0"/>
                <w:sz w:val="24"/>
              </w:rPr>
            </w:pPr>
            <w:r>
              <w:rPr>
                <w:rFonts w:hint="eastAsia"/>
                <w:kern w:val="0"/>
                <w:sz w:val="24"/>
              </w:rPr>
              <w:t>0</w:t>
            </w:r>
          </w:p>
        </w:tc>
        <w:tc>
          <w:tcPr>
            <w:tcW w:w="567" w:type="dxa"/>
            <w:vAlign w:val="center"/>
          </w:tcPr>
          <w:p>
            <w:pPr>
              <w:rPr>
                <w:rFonts w:hint="eastAsia" w:eastAsia="宋体"/>
                <w:kern w:val="0"/>
                <w:sz w:val="24"/>
                <w:lang w:val="en-US" w:eastAsia="zh-CN"/>
              </w:rPr>
            </w:pPr>
            <w:r>
              <w:rPr>
                <w:rFonts w:hint="eastAsia"/>
                <w:kern w:val="0"/>
                <w:sz w:val="24"/>
                <w:lang w:val="en-US" w:eastAsia="zh-CN"/>
              </w:rPr>
              <w:t>0</w:t>
            </w:r>
          </w:p>
        </w:tc>
        <w:tc>
          <w:tcPr>
            <w:tcW w:w="851" w:type="dxa"/>
            <w:vAlign w:val="center"/>
          </w:tcPr>
          <w:p>
            <w:pPr>
              <w:rPr>
                <w:rFonts w:hint="eastAsia" w:eastAsia="宋体"/>
                <w:kern w:val="0"/>
                <w:sz w:val="24"/>
                <w:lang w:val="en-US" w:eastAsia="zh-CN"/>
              </w:rPr>
            </w:pPr>
            <w:r>
              <w:rPr>
                <w:rFonts w:hint="eastAsia"/>
                <w:kern w:val="0"/>
                <w:sz w:val="24"/>
                <w:lang w:val="en-US" w:eastAsia="zh-CN"/>
              </w:rPr>
              <w:t>0</w:t>
            </w:r>
          </w:p>
        </w:tc>
        <w:tc>
          <w:tcPr>
            <w:tcW w:w="650" w:type="dxa"/>
            <w:vAlign w:val="center"/>
          </w:tcPr>
          <w:p>
            <w:pPr>
              <w:rPr>
                <w:rFonts w:hint="eastAsia" w:eastAsia="宋体"/>
                <w:kern w:val="0"/>
                <w:sz w:val="24"/>
                <w:lang w:val="en-US" w:eastAsia="zh-CN"/>
              </w:rPr>
            </w:pPr>
            <w:r>
              <w:rPr>
                <w:rFonts w:hint="eastAsia"/>
                <w:kern w:val="0"/>
                <w:sz w:val="24"/>
                <w:lang w:val="en-US" w:eastAsia="zh-CN"/>
              </w:rPr>
              <w:t>0</w:t>
            </w:r>
          </w:p>
        </w:tc>
        <w:tc>
          <w:tcPr>
            <w:tcW w:w="767" w:type="dxa"/>
            <w:vAlign w:val="center"/>
          </w:tcPr>
          <w:p>
            <w:pPr>
              <w:rPr>
                <w:rFonts w:hint="eastAsia" w:eastAsia="宋体"/>
                <w:kern w:val="0"/>
                <w:sz w:val="24"/>
                <w:lang w:val="en-US" w:eastAsia="zh-CN"/>
              </w:rPr>
            </w:pPr>
            <w:r>
              <w:rPr>
                <w:rFonts w:hint="eastAsia"/>
                <w:kern w:val="0"/>
                <w:sz w:val="24"/>
                <w:lang w:val="en-US" w:eastAsia="zh-CN"/>
              </w:rPr>
              <w:t>0</w:t>
            </w:r>
          </w:p>
        </w:tc>
        <w:tc>
          <w:tcPr>
            <w:tcW w:w="709" w:type="dxa"/>
            <w:vAlign w:val="center"/>
          </w:tcPr>
          <w:p>
            <w:pPr>
              <w:rPr>
                <w:kern w:val="0"/>
                <w:sz w:val="24"/>
              </w:rPr>
            </w:pPr>
            <w:r>
              <w:rPr>
                <w:rFonts w:hint="eastAsia"/>
                <w:kern w:val="0"/>
                <w:sz w:val="24"/>
              </w:rPr>
              <w:t>0</w:t>
            </w:r>
          </w:p>
        </w:tc>
        <w:tc>
          <w:tcPr>
            <w:tcW w:w="538" w:type="dxa"/>
            <w:vAlign w:val="center"/>
          </w:tcPr>
          <w:p>
            <w:pPr>
              <w:rPr>
                <w:rFonts w:hint="eastAsia" w:eastAsia="宋体"/>
                <w:kern w:val="0"/>
                <w:sz w:val="24"/>
                <w:lang w:val="en-US" w:eastAsia="zh-CN"/>
              </w:rPr>
            </w:pPr>
            <w:r>
              <w:rPr>
                <w:rFonts w:hint="eastAsia"/>
                <w:kern w:val="0"/>
                <w:sz w:val="24"/>
                <w:lang w:val="en-US" w:eastAsia="zh-CN"/>
              </w:rPr>
              <w:t>0</w:t>
            </w:r>
          </w:p>
        </w:tc>
      </w:tr>
    </w:tbl>
    <w:p>
      <w:pPr>
        <w:pStyle w:val="8"/>
        <w:widowControl/>
        <w:spacing w:after="0" w:line="560" w:lineRule="exact"/>
        <w:ind w:firstLine="640" w:firstLineChars="200"/>
        <w:jc w:val="both"/>
        <w:rPr>
          <w:rFonts w:ascii="黑体" w:hAnsi="黑体" w:eastAsia="黑体"/>
          <w:sz w:val="32"/>
          <w:szCs w:val="32"/>
        </w:rPr>
      </w:pPr>
      <w:r>
        <w:rPr>
          <w:rFonts w:hint="eastAsia" w:ascii="黑体" w:hAnsi="黑体" w:eastAsia="黑体" w:cs="仿宋"/>
          <w:color w:val="000000" w:themeColor="text1"/>
          <w:sz w:val="32"/>
          <w:szCs w:val="32"/>
          <w14:textFill>
            <w14:solidFill>
              <w14:schemeClr w14:val="tx1"/>
            </w14:solidFill>
          </w14:textFill>
        </w:rPr>
        <w:t>五、</w:t>
      </w:r>
      <w:r>
        <w:rPr>
          <w:rFonts w:hint="eastAsia" w:ascii="黑体" w:hAnsi="黑体" w:eastAsia="黑体"/>
          <w:sz w:val="32"/>
          <w:szCs w:val="32"/>
        </w:rPr>
        <w:t>存在的主要问题及改进情况</w:t>
      </w:r>
    </w:p>
    <w:p>
      <w:pPr>
        <w:pStyle w:val="8"/>
        <w:widowControl/>
        <w:spacing w:after="0" w:line="560" w:lineRule="exact"/>
        <w:ind w:firstLine="640" w:firstLineChars="200"/>
        <w:jc w:val="both"/>
        <w:rPr>
          <w:rFonts w:hint="eastAsia" w:ascii="Times New Roman" w:hAnsi="Times New Roman" w:eastAsia="仿宋_GB2312"/>
          <w:kern w:val="22"/>
          <w:sz w:val="32"/>
          <w:szCs w:val="32"/>
        </w:rPr>
      </w:pPr>
      <w:r>
        <w:rPr>
          <w:rFonts w:hint="eastAsia" w:ascii="Times New Roman" w:hAnsi="Times New Roman" w:eastAsia="仿宋_GB2312"/>
          <w:kern w:val="22"/>
          <w:sz w:val="32"/>
          <w:szCs w:val="32"/>
        </w:rPr>
        <w:t>（一）存在问题</w:t>
      </w:r>
    </w:p>
    <w:p>
      <w:pPr>
        <w:pStyle w:val="8"/>
        <w:widowControl/>
        <w:spacing w:after="0" w:line="560" w:lineRule="exact"/>
        <w:ind w:firstLine="640" w:firstLineChars="200"/>
        <w:jc w:val="both"/>
        <w:rPr>
          <w:rFonts w:hint="eastAsia" w:ascii="Times New Roman" w:hAnsi="Times New Roman" w:eastAsia="仿宋_GB2312"/>
          <w:kern w:val="22"/>
          <w:sz w:val="32"/>
          <w:szCs w:val="32"/>
        </w:rPr>
      </w:pPr>
      <w:r>
        <w:rPr>
          <w:rFonts w:hint="eastAsia" w:ascii="Times New Roman" w:hAnsi="Times New Roman" w:eastAsia="仿宋_GB2312"/>
          <w:kern w:val="22"/>
          <w:sz w:val="32"/>
          <w:szCs w:val="32"/>
        </w:rPr>
        <w:t>一是主动公开政府信息意识不强，缺乏工作积极性和主动性；二是政策解读工作机制还需完善；三是重点领域有待扩大公开</w:t>
      </w:r>
    </w:p>
    <w:p>
      <w:pPr>
        <w:pStyle w:val="8"/>
        <w:widowControl/>
        <w:spacing w:after="0" w:line="560" w:lineRule="exact"/>
        <w:ind w:firstLine="640" w:firstLineChars="200"/>
        <w:jc w:val="both"/>
        <w:rPr>
          <w:rFonts w:hint="eastAsia" w:ascii="Times New Roman" w:hAnsi="Times New Roman" w:eastAsia="仿宋_GB2312"/>
          <w:kern w:val="22"/>
          <w:sz w:val="32"/>
          <w:szCs w:val="32"/>
        </w:rPr>
      </w:pPr>
      <w:r>
        <w:rPr>
          <w:rFonts w:hint="eastAsia" w:ascii="Times New Roman" w:hAnsi="Times New Roman" w:eastAsia="仿宋_GB2312"/>
          <w:kern w:val="22"/>
          <w:sz w:val="32"/>
          <w:szCs w:val="32"/>
        </w:rPr>
        <w:t>（二）改进措施</w:t>
      </w:r>
    </w:p>
    <w:p>
      <w:pPr>
        <w:pStyle w:val="8"/>
        <w:widowControl/>
        <w:spacing w:after="0" w:line="560" w:lineRule="exact"/>
        <w:ind w:firstLine="640" w:firstLineChars="200"/>
        <w:jc w:val="both"/>
        <w:rPr>
          <w:rFonts w:hint="eastAsia" w:ascii="仿宋_GB2312" w:hAnsi="仿宋" w:eastAsia="仿宋_GB2312" w:cs="仿宋"/>
          <w:color w:val="000000" w:themeColor="text1"/>
          <w:kern w:val="0"/>
          <w:sz w:val="32"/>
          <w:szCs w:val="32"/>
          <w14:textFill>
            <w14:solidFill>
              <w14:schemeClr w14:val="tx1"/>
            </w14:solidFill>
          </w14:textFill>
        </w:rPr>
      </w:pPr>
      <w:r>
        <w:rPr>
          <w:rFonts w:hint="eastAsia" w:ascii="Times New Roman" w:hAnsi="Times New Roman" w:eastAsia="仿宋_GB2312"/>
          <w:kern w:val="22"/>
          <w:sz w:val="32"/>
          <w:szCs w:val="32"/>
        </w:rPr>
        <w:t>一是着力加强政府信息公开工作的培训和宣传。进一步增强机关工作人员，特别是政府信息公开工作人员关于信息公开工作规定及相关法律知识的教育培训，切实提高其依法公开政府信息的意识和能力。</w:t>
      </w:r>
    </w:p>
    <w:p>
      <w:pPr>
        <w:spacing w:line="560" w:lineRule="exact"/>
        <w:ind w:firstLine="640" w:firstLineChars="200"/>
        <w:jc w:val="left"/>
        <w:outlineLvl w:val="0"/>
        <w:rPr>
          <w:rFonts w:hint="eastAsia" w:ascii="仿宋_GB2312" w:hAnsi="仿宋" w:eastAsia="仿宋_GB2312" w:cs="仿宋"/>
          <w:color w:val="000000" w:themeColor="text1"/>
          <w:kern w:val="0"/>
          <w:sz w:val="32"/>
          <w:szCs w:val="32"/>
          <w14:textFill>
            <w14:solidFill>
              <w14:schemeClr w14:val="tx1"/>
            </w14:solidFill>
          </w14:textFill>
        </w:rPr>
      </w:pPr>
      <w:r>
        <w:rPr>
          <w:rFonts w:hint="eastAsia" w:ascii="仿宋_GB2312" w:hAnsi="仿宋" w:eastAsia="仿宋_GB2312" w:cs="仿宋"/>
          <w:color w:val="000000" w:themeColor="text1"/>
          <w:kern w:val="0"/>
          <w:sz w:val="32"/>
          <w:szCs w:val="32"/>
          <w14:textFill>
            <w14:solidFill>
              <w14:schemeClr w14:val="tx1"/>
            </w14:solidFill>
          </w14:textFill>
        </w:rPr>
        <w:t>二是认真落实政府信息公开标准规范，进一步完善信息公开相关工作制度，</w:t>
      </w:r>
      <w:r>
        <w:rPr>
          <w:rFonts w:hint="eastAsia" w:ascii="仿宋_GB2312" w:hAnsi="仿宋" w:eastAsia="仿宋_GB2312" w:cs="仿宋"/>
          <w:color w:val="000000" w:themeColor="text1"/>
          <w:kern w:val="0"/>
          <w:sz w:val="32"/>
          <w:szCs w:val="32"/>
          <w:lang w:val="en-US" w:eastAsia="zh-CN"/>
          <w14:textFill>
            <w14:solidFill>
              <w14:schemeClr w14:val="tx1"/>
            </w14:solidFill>
          </w14:textFill>
        </w:rPr>
        <w:t>建立政府信息公开工作问题台账，不断提高政府信息公开工作的准确度</w:t>
      </w:r>
      <w:r>
        <w:rPr>
          <w:rFonts w:hint="eastAsia" w:ascii="仿宋_GB2312" w:hAnsi="仿宋" w:eastAsia="仿宋_GB2312" w:cs="仿宋"/>
          <w:color w:val="000000" w:themeColor="text1"/>
          <w:kern w:val="0"/>
          <w:sz w:val="32"/>
          <w:szCs w:val="32"/>
          <w14:textFill>
            <w14:solidFill>
              <w14:schemeClr w14:val="tx1"/>
            </w14:solidFill>
          </w14:textFill>
        </w:rPr>
        <w:t>。</w:t>
      </w:r>
    </w:p>
    <w:p>
      <w:pPr>
        <w:spacing w:line="560" w:lineRule="exact"/>
        <w:ind w:firstLine="640" w:firstLineChars="200"/>
        <w:jc w:val="left"/>
        <w:outlineLvl w:val="0"/>
        <w:rPr>
          <w:rFonts w:ascii="仿宋_GB2312" w:hAnsi="仿宋" w:eastAsia="仿宋_GB2312" w:cs="仿宋"/>
          <w:color w:val="000000" w:themeColor="text1"/>
          <w:kern w:val="0"/>
          <w:sz w:val="32"/>
          <w:szCs w:val="32"/>
          <w14:textFill>
            <w14:solidFill>
              <w14:schemeClr w14:val="tx1"/>
            </w14:solidFill>
          </w14:textFill>
        </w:rPr>
      </w:pPr>
      <w:r>
        <w:rPr>
          <w:rFonts w:hint="eastAsia" w:ascii="仿宋_GB2312" w:hAnsi="仿宋" w:eastAsia="仿宋_GB2312" w:cs="仿宋"/>
          <w:color w:val="000000" w:themeColor="text1"/>
          <w:kern w:val="0"/>
          <w:sz w:val="32"/>
          <w:szCs w:val="32"/>
          <w14:textFill>
            <w14:solidFill>
              <w14:schemeClr w14:val="tx1"/>
            </w14:solidFill>
          </w14:textFill>
        </w:rPr>
        <w:t>三是着力加大重点领域信息公开的工作力度。以“公开为民”理念，多渠道主动公开各领域的政府信息，深入推进重点领域政府信息公开，简化依申请公开工作流程，促进权责清单的全面落实，及时回应社会关切。</w:t>
      </w:r>
    </w:p>
    <w:p>
      <w:pPr>
        <w:spacing w:line="560" w:lineRule="exact"/>
        <w:ind w:firstLine="640" w:firstLineChars="200"/>
        <w:jc w:val="left"/>
        <w:outlineLvl w:val="0"/>
        <w:rPr>
          <w:rFonts w:ascii="仿宋_GB2312" w:hAnsi="仿宋" w:eastAsia="仿宋_GB2312" w:cs="仿宋"/>
          <w:color w:val="000000" w:themeColor="text1"/>
          <w:sz w:val="32"/>
          <w:szCs w:val="32"/>
          <w14:textFill>
            <w14:solidFill>
              <w14:schemeClr w14:val="tx1"/>
            </w14:solidFill>
          </w14:textFill>
        </w:rPr>
      </w:pPr>
    </w:p>
    <w:p>
      <w:pPr>
        <w:spacing w:line="560" w:lineRule="exact"/>
        <w:ind w:firstLine="640" w:firstLineChars="200"/>
        <w:jc w:val="left"/>
        <w:outlineLvl w:val="0"/>
        <w:rPr>
          <w:rFonts w:ascii="黑体" w:hAnsi="黑体" w:eastAsia="黑体"/>
          <w:sz w:val="32"/>
          <w:szCs w:val="32"/>
        </w:rPr>
      </w:pPr>
      <w:r>
        <w:rPr>
          <w:rFonts w:hint="eastAsia" w:ascii="黑体" w:hAnsi="黑体" w:eastAsia="黑体"/>
          <w:sz w:val="32"/>
          <w:szCs w:val="32"/>
        </w:rPr>
        <w:t>六、其他需要报告的事项</w:t>
      </w:r>
    </w:p>
    <w:p>
      <w:pPr>
        <w:spacing w:line="560" w:lineRule="exact"/>
        <w:ind w:firstLine="576" w:firstLineChars="180"/>
        <w:rPr>
          <w:rFonts w:ascii="仿宋_GB2312" w:eastAsia="仿宋_GB2312"/>
          <w:sz w:val="32"/>
          <w:szCs w:val="32"/>
        </w:rPr>
      </w:pPr>
      <w:r>
        <w:rPr>
          <w:rFonts w:hint="eastAsia" w:ascii="仿宋_GB2312" w:eastAsia="仿宋_GB2312"/>
          <w:sz w:val="32"/>
          <w:szCs w:val="32"/>
        </w:rPr>
        <w:t>无。</w:t>
      </w:r>
    </w:p>
    <w:p>
      <w:pPr>
        <w:pStyle w:val="8"/>
        <w:widowControl/>
        <w:spacing w:after="0" w:line="560"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p>
    <w:p>
      <w:pPr>
        <w:pStyle w:val="8"/>
        <w:widowControl/>
        <w:spacing w:after="0" w:line="560"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p>
    <w:p>
      <w:pPr>
        <w:pStyle w:val="8"/>
        <w:widowControl/>
        <w:spacing w:after="0" w:line="560" w:lineRule="exact"/>
        <w:ind w:firstLine="640" w:firstLineChars="200"/>
        <w:jc w:val="center"/>
        <w:rPr>
          <w:rFonts w:ascii="Times New Roman" w:hAnsi="Times New Roman" w:eastAsia="仿宋_GB2312"/>
          <w:kern w:val="22"/>
          <w:sz w:val="32"/>
          <w:szCs w:val="32"/>
        </w:rPr>
      </w:pPr>
    </w:p>
    <w:p>
      <w:pPr>
        <w:pStyle w:val="8"/>
        <w:widowControl/>
        <w:spacing w:after="0" w:line="560" w:lineRule="exact"/>
        <w:jc w:val="right"/>
        <w:rPr>
          <w:rFonts w:ascii="仿宋_GB2312" w:hAnsi="仿宋" w:eastAsia="仿宋_GB2312" w:cs="仿宋"/>
          <w:color w:val="000000" w:themeColor="text1"/>
          <w:kern w:val="2"/>
          <w:sz w:val="32"/>
          <w:szCs w:val="32"/>
          <w14:textFill>
            <w14:solidFill>
              <w14:schemeClr w14:val="tx1"/>
            </w14:solidFill>
          </w14:textFill>
        </w:rPr>
      </w:pPr>
      <w:r>
        <w:rPr>
          <w:rFonts w:hint="eastAsia" w:ascii="仿宋_GB2312" w:hAnsi="仿宋" w:eastAsia="仿宋_GB2312" w:cs="仿宋"/>
          <w:color w:val="000000" w:themeColor="text1"/>
          <w:kern w:val="2"/>
          <w:sz w:val="32"/>
          <w:szCs w:val="32"/>
          <w14:textFill>
            <w14:solidFill>
              <w14:schemeClr w14:val="tx1"/>
            </w14:solidFill>
          </w14:textFill>
        </w:rPr>
        <w:t>高青县人民政府办公室</w:t>
      </w:r>
    </w:p>
    <w:p>
      <w:pPr>
        <w:pStyle w:val="8"/>
        <w:widowControl/>
        <w:spacing w:after="0" w:line="560" w:lineRule="exact"/>
        <w:jc w:val="right"/>
        <w:rPr>
          <w:rFonts w:ascii="仿宋_GB2312" w:hAnsi="仿宋" w:eastAsia="仿宋_GB2312" w:cs="仿宋"/>
          <w:color w:val="000000" w:themeColor="text1"/>
          <w:kern w:val="2"/>
          <w:sz w:val="32"/>
          <w:szCs w:val="32"/>
          <w14:textFill>
            <w14:solidFill>
              <w14:schemeClr w14:val="tx1"/>
            </w14:solidFill>
          </w14:textFill>
        </w:rPr>
      </w:pPr>
      <w:r>
        <w:rPr>
          <w:rFonts w:hint="eastAsia" w:ascii="仿宋_GB2312" w:hAnsi="仿宋" w:eastAsia="仿宋_GB2312" w:cs="仿宋"/>
          <w:color w:val="000000" w:themeColor="text1"/>
          <w:kern w:val="2"/>
          <w:sz w:val="32"/>
          <w:szCs w:val="32"/>
          <w14:textFill>
            <w14:solidFill>
              <w14:schemeClr w14:val="tx1"/>
            </w14:solidFill>
          </w14:textFill>
        </w:rPr>
        <w:t>2020年1月</w:t>
      </w:r>
      <w:r>
        <w:rPr>
          <w:rFonts w:hint="eastAsia" w:ascii="仿宋_GB2312" w:hAnsi="仿宋" w:eastAsia="仿宋_GB2312" w:cs="仿宋"/>
          <w:color w:val="000000" w:themeColor="text1"/>
          <w:kern w:val="2"/>
          <w:sz w:val="32"/>
          <w:szCs w:val="32"/>
          <w:lang w:val="en-US" w:eastAsia="zh-CN"/>
          <w14:textFill>
            <w14:solidFill>
              <w14:schemeClr w14:val="tx1"/>
            </w14:solidFill>
          </w14:textFill>
        </w:rPr>
        <w:t>23</w:t>
      </w:r>
      <w:r>
        <w:rPr>
          <w:rFonts w:hint="eastAsia" w:ascii="仿宋_GB2312" w:hAnsi="仿宋" w:eastAsia="仿宋_GB2312" w:cs="仿宋"/>
          <w:color w:val="000000" w:themeColor="text1"/>
          <w:kern w:val="2"/>
          <w:sz w:val="32"/>
          <w:szCs w:val="32"/>
          <w14:textFill>
            <w14:solidFill>
              <w14:schemeClr w14:val="tx1"/>
            </w14:solidFill>
          </w14:textFill>
        </w:rPr>
        <w:t>日</w:t>
      </w:r>
    </w:p>
    <w:p>
      <w:pPr>
        <w:pStyle w:val="8"/>
        <w:widowControl/>
        <w:spacing w:after="0" w:line="560"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070707"/>
      <w:docPartObj>
        <w:docPartGallery w:val="autotext"/>
      </w:docPartObj>
    </w:sdtPr>
    <w:sdtContent>
      <w:p>
        <w:pPr>
          <w:pStyle w:val="5"/>
          <w:jc w:val="center"/>
        </w:pPr>
        <w:r>
          <w:fldChar w:fldCharType="begin"/>
        </w:r>
        <w:r>
          <w:instrText xml:space="preserve">PAGE   \* MERGEFORMAT</w:instrText>
        </w:r>
        <w:r>
          <w:fldChar w:fldCharType="separate"/>
        </w:r>
        <w:r>
          <w:rPr>
            <w:lang w:val="zh-CN"/>
          </w:rPr>
          <w:t>9</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57"/>
    <w:rsid w:val="00004CF5"/>
    <w:rsid w:val="0000725E"/>
    <w:rsid w:val="00010331"/>
    <w:rsid w:val="00024E42"/>
    <w:rsid w:val="000345B4"/>
    <w:rsid w:val="00035216"/>
    <w:rsid w:val="00051D91"/>
    <w:rsid w:val="00061B07"/>
    <w:rsid w:val="0006501F"/>
    <w:rsid w:val="00065C69"/>
    <w:rsid w:val="000672CE"/>
    <w:rsid w:val="00093F81"/>
    <w:rsid w:val="00094B75"/>
    <w:rsid w:val="000A057B"/>
    <w:rsid w:val="000B000A"/>
    <w:rsid w:val="000C43E2"/>
    <w:rsid w:val="000D1696"/>
    <w:rsid w:val="000D2527"/>
    <w:rsid w:val="000D3D1E"/>
    <w:rsid w:val="000D502C"/>
    <w:rsid w:val="000E3958"/>
    <w:rsid w:val="000F383D"/>
    <w:rsid w:val="000F7B6C"/>
    <w:rsid w:val="00104B97"/>
    <w:rsid w:val="00115736"/>
    <w:rsid w:val="001205A9"/>
    <w:rsid w:val="001215E4"/>
    <w:rsid w:val="001328B3"/>
    <w:rsid w:val="00136EBD"/>
    <w:rsid w:val="0015335B"/>
    <w:rsid w:val="001551B9"/>
    <w:rsid w:val="00156800"/>
    <w:rsid w:val="00156AFE"/>
    <w:rsid w:val="0015752F"/>
    <w:rsid w:val="00164C2C"/>
    <w:rsid w:val="00165287"/>
    <w:rsid w:val="00177AFC"/>
    <w:rsid w:val="00187E46"/>
    <w:rsid w:val="0019292B"/>
    <w:rsid w:val="00192EAC"/>
    <w:rsid w:val="00195276"/>
    <w:rsid w:val="00195C7C"/>
    <w:rsid w:val="001A052A"/>
    <w:rsid w:val="001A4452"/>
    <w:rsid w:val="001B463C"/>
    <w:rsid w:val="001C2DCD"/>
    <w:rsid w:val="001C6CB8"/>
    <w:rsid w:val="001D01BA"/>
    <w:rsid w:val="001E256B"/>
    <w:rsid w:val="001E3D4C"/>
    <w:rsid w:val="001E7B38"/>
    <w:rsid w:val="001F1D4F"/>
    <w:rsid w:val="001F3CA4"/>
    <w:rsid w:val="001F3D15"/>
    <w:rsid w:val="001F53D4"/>
    <w:rsid w:val="00203EC3"/>
    <w:rsid w:val="00213531"/>
    <w:rsid w:val="00213CFE"/>
    <w:rsid w:val="00216B90"/>
    <w:rsid w:val="00221CC4"/>
    <w:rsid w:val="00227902"/>
    <w:rsid w:val="00234602"/>
    <w:rsid w:val="00244E3E"/>
    <w:rsid w:val="00263708"/>
    <w:rsid w:val="00263B33"/>
    <w:rsid w:val="002834ED"/>
    <w:rsid w:val="00286C8A"/>
    <w:rsid w:val="002A647C"/>
    <w:rsid w:val="002B625C"/>
    <w:rsid w:val="002C58DB"/>
    <w:rsid w:val="002D6EBB"/>
    <w:rsid w:val="002D74A7"/>
    <w:rsid w:val="002D7DB8"/>
    <w:rsid w:val="002E5D54"/>
    <w:rsid w:val="002F23E9"/>
    <w:rsid w:val="0030230A"/>
    <w:rsid w:val="0031159C"/>
    <w:rsid w:val="00326584"/>
    <w:rsid w:val="0033231B"/>
    <w:rsid w:val="003441BE"/>
    <w:rsid w:val="00346C4D"/>
    <w:rsid w:val="00361762"/>
    <w:rsid w:val="00363DDF"/>
    <w:rsid w:val="00370E69"/>
    <w:rsid w:val="00375878"/>
    <w:rsid w:val="00380933"/>
    <w:rsid w:val="0039205B"/>
    <w:rsid w:val="003938A3"/>
    <w:rsid w:val="003A230F"/>
    <w:rsid w:val="003A3153"/>
    <w:rsid w:val="003A473F"/>
    <w:rsid w:val="003A57D1"/>
    <w:rsid w:val="003B4B73"/>
    <w:rsid w:val="003C27DE"/>
    <w:rsid w:val="003C3846"/>
    <w:rsid w:val="003E2D20"/>
    <w:rsid w:val="003F52B2"/>
    <w:rsid w:val="003F6FE9"/>
    <w:rsid w:val="00406346"/>
    <w:rsid w:val="004076B3"/>
    <w:rsid w:val="004109E8"/>
    <w:rsid w:val="00410A4A"/>
    <w:rsid w:val="0041443C"/>
    <w:rsid w:val="004155DE"/>
    <w:rsid w:val="00436EA0"/>
    <w:rsid w:val="004373DC"/>
    <w:rsid w:val="004449B9"/>
    <w:rsid w:val="004479E3"/>
    <w:rsid w:val="00450790"/>
    <w:rsid w:val="004518C4"/>
    <w:rsid w:val="0045219A"/>
    <w:rsid w:val="0045733C"/>
    <w:rsid w:val="00462BD1"/>
    <w:rsid w:val="00464149"/>
    <w:rsid w:val="00470E57"/>
    <w:rsid w:val="00473B69"/>
    <w:rsid w:val="0048058E"/>
    <w:rsid w:val="0048124A"/>
    <w:rsid w:val="00481D4A"/>
    <w:rsid w:val="004A2D10"/>
    <w:rsid w:val="004C0559"/>
    <w:rsid w:val="004D3C26"/>
    <w:rsid w:val="004D460A"/>
    <w:rsid w:val="004D50F5"/>
    <w:rsid w:val="004E0762"/>
    <w:rsid w:val="004E1E7F"/>
    <w:rsid w:val="004E30D9"/>
    <w:rsid w:val="004F0C56"/>
    <w:rsid w:val="004F62DB"/>
    <w:rsid w:val="004F721C"/>
    <w:rsid w:val="00505A1E"/>
    <w:rsid w:val="005064BA"/>
    <w:rsid w:val="00513D53"/>
    <w:rsid w:val="00514EF2"/>
    <w:rsid w:val="0051560E"/>
    <w:rsid w:val="005171BD"/>
    <w:rsid w:val="00530324"/>
    <w:rsid w:val="005354E1"/>
    <w:rsid w:val="005405CC"/>
    <w:rsid w:val="005419F2"/>
    <w:rsid w:val="00546499"/>
    <w:rsid w:val="0054791A"/>
    <w:rsid w:val="00555BD0"/>
    <w:rsid w:val="0058712D"/>
    <w:rsid w:val="00592243"/>
    <w:rsid w:val="005930D6"/>
    <w:rsid w:val="005B51C5"/>
    <w:rsid w:val="005B76E3"/>
    <w:rsid w:val="005C1AEC"/>
    <w:rsid w:val="005C79C4"/>
    <w:rsid w:val="005F2577"/>
    <w:rsid w:val="005F3E26"/>
    <w:rsid w:val="00605185"/>
    <w:rsid w:val="0062262B"/>
    <w:rsid w:val="00622752"/>
    <w:rsid w:val="006373B2"/>
    <w:rsid w:val="00637DD1"/>
    <w:rsid w:val="00637F0D"/>
    <w:rsid w:val="006457E7"/>
    <w:rsid w:val="00650011"/>
    <w:rsid w:val="00653E08"/>
    <w:rsid w:val="006642C7"/>
    <w:rsid w:val="0066520B"/>
    <w:rsid w:val="00673AB3"/>
    <w:rsid w:val="006854F7"/>
    <w:rsid w:val="006933BA"/>
    <w:rsid w:val="006B416F"/>
    <w:rsid w:val="006B7628"/>
    <w:rsid w:val="006C119E"/>
    <w:rsid w:val="006C3A06"/>
    <w:rsid w:val="006D763F"/>
    <w:rsid w:val="006E0DFF"/>
    <w:rsid w:val="006F1821"/>
    <w:rsid w:val="006F1CA4"/>
    <w:rsid w:val="006F1D2B"/>
    <w:rsid w:val="006F770B"/>
    <w:rsid w:val="00712FC4"/>
    <w:rsid w:val="0071441F"/>
    <w:rsid w:val="00732FAD"/>
    <w:rsid w:val="0073505F"/>
    <w:rsid w:val="0073526E"/>
    <w:rsid w:val="007522A8"/>
    <w:rsid w:val="0075482D"/>
    <w:rsid w:val="00760D74"/>
    <w:rsid w:val="00761DD7"/>
    <w:rsid w:val="00762FB6"/>
    <w:rsid w:val="00766CAF"/>
    <w:rsid w:val="00773F1C"/>
    <w:rsid w:val="00776A6F"/>
    <w:rsid w:val="007A2408"/>
    <w:rsid w:val="007C3766"/>
    <w:rsid w:val="007D53E3"/>
    <w:rsid w:val="007D5E52"/>
    <w:rsid w:val="007E10E9"/>
    <w:rsid w:val="007F701A"/>
    <w:rsid w:val="008031F8"/>
    <w:rsid w:val="00806C7A"/>
    <w:rsid w:val="008074D5"/>
    <w:rsid w:val="00807FE9"/>
    <w:rsid w:val="008224B6"/>
    <w:rsid w:val="008226FB"/>
    <w:rsid w:val="00826BE4"/>
    <w:rsid w:val="00831B01"/>
    <w:rsid w:val="00841764"/>
    <w:rsid w:val="00843B00"/>
    <w:rsid w:val="00845A36"/>
    <w:rsid w:val="00850679"/>
    <w:rsid w:val="008560C3"/>
    <w:rsid w:val="00890E5B"/>
    <w:rsid w:val="008A1F1B"/>
    <w:rsid w:val="008A69B9"/>
    <w:rsid w:val="008A7057"/>
    <w:rsid w:val="008B1273"/>
    <w:rsid w:val="008C3881"/>
    <w:rsid w:val="008C7119"/>
    <w:rsid w:val="008D04B4"/>
    <w:rsid w:val="008D26C7"/>
    <w:rsid w:val="008D492B"/>
    <w:rsid w:val="008D51E4"/>
    <w:rsid w:val="008D6E8E"/>
    <w:rsid w:val="008E74CC"/>
    <w:rsid w:val="008E7927"/>
    <w:rsid w:val="008F15A5"/>
    <w:rsid w:val="008F7A5A"/>
    <w:rsid w:val="00904CA4"/>
    <w:rsid w:val="009102B2"/>
    <w:rsid w:val="0091387B"/>
    <w:rsid w:val="009160F6"/>
    <w:rsid w:val="009231FA"/>
    <w:rsid w:val="009413F6"/>
    <w:rsid w:val="009573F0"/>
    <w:rsid w:val="00961F0F"/>
    <w:rsid w:val="00973EB1"/>
    <w:rsid w:val="00976755"/>
    <w:rsid w:val="00981209"/>
    <w:rsid w:val="00996BFB"/>
    <w:rsid w:val="00997735"/>
    <w:rsid w:val="009A72A5"/>
    <w:rsid w:val="009B314C"/>
    <w:rsid w:val="009B6A99"/>
    <w:rsid w:val="009C1854"/>
    <w:rsid w:val="009C7FFB"/>
    <w:rsid w:val="009D23D6"/>
    <w:rsid w:val="009D399F"/>
    <w:rsid w:val="009D4EF4"/>
    <w:rsid w:val="009E6762"/>
    <w:rsid w:val="009F78F1"/>
    <w:rsid w:val="009F7AC8"/>
    <w:rsid w:val="00A00FA5"/>
    <w:rsid w:val="00A17F65"/>
    <w:rsid w:val="00A254D8"/>
    <w:rsid w:val="00A313A7"/>
    <w:rsid w:val="00A43397"/>
    <w:rsid w:val="00A4468D"/>
    <w:rsid w:val="00A77CA1"/>
    <w:rsid w:val="00A81B6C"/>
    <w:rsid w:val="00A9180A"/>
    <w:rsid w:val="00AA1919"/>
    <w:rsid w:val="00AA2CFC"/>
    <w:rsid w:val="00AB176E"/>
    <w:rsid w:val="00AB4557"/>
    <w:rsid w:val="00AE0624"/>
    <w:rsid w:val="00AE06D9"/>
    <w:rsid w:val="00AE4342"/>
    <w:rsid w:val="00AF0A0B"/>
    <w:rsid w:val="00AF6913"/>
    <w:rsid w:val="00B03267"/>
    <w:rsid w:val="00B11FB3"/>
    <w:rsid w:val="00B20805"/>
    <w:rsid w:val="00B23B66"/>
    <w:rsid w:val="00B25577"/>
    <w:rsid w:val="00B400F3"/>
    <w:rsid w:val="00B4577F"/>
    <w:rsid w:val="00B52341"/>
    <w:rsid w:val="00B53A4F"/>
    <w:rsid w:val="00B65017"/>
    <w:rsid w:val="00B731B9"/>
    <w:rsid w:val="00B76FE3"/>
    <w:rsid w:val="00BA1897"/>
    <w:rsid w:val="00BA3E56"/>
    <w:rsid w:val="00BB08FE"/>
    <w:rsid w:val="00BD2243"/>
    <w:rsid w:val="00BD7155"/>
    <w:rsid w:val="00BE00D7"/>
    <w:rsid w:val="00BE0203"/>
    <w:rsid w:val="00BE509B"/>
    <w:rsid w:val="00BE618C"/>
    <w:rsid w:val="00BE6B75"/>
    <w:rsid w:val="00C00A2D"/>
    <w:rsid w:val="00C02A79"/>
    <w:rsid w:val="00C048E7"/>
    <w:rsid w:val="00C0791E"/>
    <w:rsid w:val="00C2096B"/>
    <w:rsid w:val="00C24168"/>
    <w:rsid w:val="00C27137"/>
    <w:rsid w:val="00C32825"/>
    <w:rsid w:val="00C34FCB"/>
    <w:rsid w:val="00C35E2F"/>
    <w:rsid w:val="00C45260"/>
    <w:rsid w:val="00C6017A"/>
    <w:rsid w:val="00C727B3"/>
    <w:rsid w:val="00C76D2E"/>
    <w:rsid w:val="00C81116"/>
    <w:rsid w:val="00C91587"/>
    <w:rsid w:val="00C95677"/>
    <w:rsid w:val="00CA1054"/>
    <w:rsid w:val="00CA1A71"/>
    <w:rsid w:val="00CA1FCF"/>
    <w:rsid w:val="00CA3057"/>
    <w:rsid w:val="00CB1438"/>
    <w:rsid w:val="00CB2E2A"/>
    <w:rsid w:val="00CB7F25"/>
    <w:rsid w:val="00CC1793"/>
    <w:rsid w:val="00CC518B"/>
    <w:rsid w:val="00CE03CA"/>
    <w:rsid w:val="00CE2166"/>
    <w:rsid w:val="00D017A8"/>
    <w:rsid w:val="00D22310"/>
    <w:rsid w:val="00D23448"/>
    <w:rsid w:val="00D24292"/>
    <w:rsid w:val="00D33970"/>
    <w:rsid w:val="00D40D23"/>
    <w:rsid w:val="00D45D0C"/>
    <w:rsid w:val="00D54B8B"/>
    <w:rsid w:val="00D62C9A"/>
    <w:rsid w:val="00D6313B"/>
    <w:rsid w:val="00D63AE0"/>
    <w:rsid w:val="00D744EE"/>
    <w:rsid w:val="00D75309"/>
    <w:rsid w:val="00D75948"/>
    <w:rsid w:val="00D77BF0"/>
    <w:rsid w:val="00DA48B9"/>
    <w:rsid w:val="00DB58B6"/>
    <w:rsid w:val="00DC10F2"/>
    <w:rsid w:val="00DC7B85"/>
    <w:rsid w:val="00DD059C"/>
    <w:rsid w:val="00DD3FEE"/>
    <w:rsid w:val="00DD499D"/>
    <w:rsid w:val="00DE1483"/>
    <w:rsid w:val="00DE5064"/>
    <w:rsid w:val="00DE7F16"/>
    <w:rsid w:val="00DF2952"/>
    <w:rsid w:val="00DF3350"/>
    <w:rsid w:val="00E00C8D"/>
    <w:rsid w:val="00E06EF1"/>
    <w:rsid w:val="00E12972"/>
    <w:rsid w:val="00E151D4"/>
    <w:rsid w:val="00E21966"/>
    <w:rsid w:val="00E322B9"/>
    <w:rsid w:val="00E43625"/>
    <w:rsid w:val="00E5216B"/>
    <w:rsid w:val="00E653F7"/>
    <w:rsid w:val="00E66665"/>
    <w:rsid w:val="00E66F54"/>
    <w:rsid w:val="00EA387C"/>
    <w:rsid w:val="00EB5170"/>
    <w:rsid w:val="00EC0864"/>
    <w:rsid w:val="00ED48D7"/>
    <w:rsid w:val="00ED6409"/>
    <w:rsid w:val="00EE2917"/>
    <w:rsid w:val="00EE6BCA"/>
    <w:rsid w:val="00EE7323"/>
    <w:rsid w:val="00EE7AD5"/>
    <w:rsid w:val="00F151FB"/>
    <w:rsid w:val="00F2143F"/>
    <w:rsid w:val="00F26C6E"/>
    <w:rsid w:val="00F40E98"/>
    <w:rsid w:val="00F43D52"/>
    <w:rsid w:val="00F462FC"/>
    <w:rsid w:val="00F537A3"/>
    <w:rsid w:val="00F65EEC"/>
    <w:rsid w:val="00F75B1D"/>
    <w:rsid w:val="00F84453"/>
    <w:rsid w:val="00F939D0"/>
    <w:rsid w:val="00FA50B3"/>
    <w:rsid w:val="00FB073B"/>
    <w:rsid w:val="00FB5EF6"/>
    <w:rsid w:val="00FC101F"/>
    <w:rsid w:val="00FC2F58"/>
    <w:rsid w:val="00FC4EF6"/>
    <w:rsid w:val="00FC53FA"/>
    <w:rsid w:val="00FD2FA1"/>
    <w:rsid w:val="00FD4423"/>
    <w:rsid w:val="00FD4664"/>
    <w:rsid w:val="00FD78B7"/>
    <w:rsid w:val="00FE0A2A"/>
    <w:rsid w:val="00FE0F1E"/>
    <w:rsid w:val="00FE729E"/>
    <w:rsid w:val="00FF041C"/>
    <w:rsid w:val="05667AE6"/>
    <w:rsid w:val="0F924AF7"/>
    <w:rsid w:val="2869003D"/>
    <w:rsid w:val="2E5146DA"/>
    <w:rsid w:val="3E63135C"/>
    <w:rsid w:val="4F0238D8"/>
    <w:rsid w:val="56EE32C2"/>
    <w:rsid w:val="7A1726C8"/>
    <w:rsid w:val="7F693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9"/>
    <w:pPr>
      <w:keepNext/>
      <w:keepLines/>
      <w:spacing w:before="260" w:after="260" w:line="416" w:lineRule="auto"/>
      <w:outlineLvl w:val="2"/>
    </w:pPr>
    <w:rPr>
      <w:rFonts w:ascii="??" w:hAnsi="??" w:cs="??"/>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rPr>
      <w:rFonts w:ascii="Times New Roman" w:hAnsi="Times New Roman" w:eastAsia="仿宋_GB2312" w:cs="仿宋_GB2312"/>
      <w:bCs/>
      <w:sz w:val="32"/>
      <w:szCs w:val="32"/>
    </w:rPr>
  </w:style>
  <w:style w:type="paragraph" w:styleId="4">
    <w:name w:val="Balloon Text"/>
    <w:basedOn w:val="1"/>
    <w:link w:val="16"/>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footnote text"/>
    <w:basedOn w:val="1"/>
    <w:link w:val="17"/>
    <w:qFormat/>
    <w:uiPriority w:val="99"/>
    <w:pPr>
      <w:snapToGrid w:val="0"/>
      <w:jc w:val="left"/>
    </w:pPr>
    <w:rPr>
      <w:sz w:val="18"/>
      <w:szCs w:val="18"/>
    </w:rPr>
  </w:style>
  <w:style w:type="paragraph" w:styleId="8">
    <w:name w:val="Normal (Web)"/>
    <w:basedOn w:val="1"/>
    <w:qFormat/>
    <w:uiPriority w:val="0"/>
    <w:pPr>
      <w:spacing w:after="150"/>
      <w:jc w:val="left"/>
    </w:pPr>
    <w:rPr>
      <w:kern w:val="0"/>
      <w:sz w:val="24"/>
    </w:r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character" w:customStyle="1" w:styleId="14">
    <w:name w:val="标题 3 Char"/>
    <w:basedOn w:val="11"/>
    <w:link w:val="2"/>
    <w:qFormat/>
    <w:uiPriority w:val="99"/>
    <w:rPr>
      <w:rFonts w:ascii="??" w:hAnsi="??" w:eastAsia="宋体" w:cs="??"/>
      <w:b/>
      <w:bCs/>
      <w:sz w:val="32"/>
      <w:szCs w:val="32"/>
    </w:rPr>
  </w:style>
  <w:style w:type="paragraph" w:customStyle="1" w:styleId="15">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
    <w:name w:val="批注框文本 Char"/>
    <w:basedOn w:val="11"/>
    <w:link w:val="4"/>
    <w:semiHidden/>
    <w:qFormat/>
    <w:uiPriority w:val="99"/>
    <w:rPr>
      <w:rFonts w:ascii="Calibri" w:hAnsi="Calibri" w:eastAsia="宋体" w:cs="Times New Roman"/>
      <w:sz w:val="18"/>
      <w:szCs w:val="18"/>
    </w:rPr>
  </w:style>
  <w:style w:type="character" w:customStyle="1" w:styleId="17">
    <w:name w:val="脚注文本 Char"/>
    <w:basedOn w:val="11"/>
    <w:link w:val="7"/>
    <w:qFormat/>
    <w:uiPriority w:val="99"/>
    <w:rPr>
      <w:rFonts w:ascii="Calibri" w:hAnsi="Calibri" w:eastAsia="宋体" w:cs="Times New Roman"/>
      <w:sz w:val="18"/>
      <w:szCs w:val="18"/>
    </w:rPr>
  </w:style>
  <w:style w:type="character" w:customStyle="1" w:styleId="18">
    <w:name w:val="正文文本 Char"/>
    <w:basedOn w:val="11"/>
    <w:link w:val="3"/>
    <w:qFormat/>
    <w:uiPriority w:val="0"/>
    <w:rPr>
      <w:rFonts w:ascii="Times New Roman" w:hAnsi="Times New Roman" w:eastAsia="仿宋_GB2312" w:cs="仿宋_GB2312"/>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18B3B-50AB-4932-8CD6-37496189E861}">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10</Pages>
  <Words>3444</Words>
  <Characters>3647</Characters>
  <Lines>25</Lines>
  <Paragraphs>7</Paragraphs>
  <TotalTime>8</TotalTime>
  <ScaleCrop>false</ScaleCrop>
  <LinksUpToDate>false</LinksUpToDate>
  <CharactersWithSpaces>3650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2019-10-14T08:08:00Z</dcterms:created>
  <dc:creator>lb</dc:creator>
  <cp:lastModifiedBy>lenovo</cp:lastModifiedBy>
  <cp:lastPrinted>2020-06-05T08:04:00Z</cp:lastPrinted>
  <dcterms:modified xsi:type="dcterms:W3CDTF">2021-01-28T06:42:08Z</dcterms:modified>
  <cp:revision>330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