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FEC" w:rsidRDefault="00A50D12">
      <w:pPr>
        <w:autoSpaceDE/>
        <w:autoSpaceDN/>
        <w:snapToGrid/>
        <w:spacing w:line="560" w:lineRule="exact"/>
        <w:ind w:firstLine="0"/>
        <w:jc w:val="center"/>
        <w:rPr>
          <w:rFonts w:eastAsia="方正小标宋简体"/>
          <w:snapToGrid/>
          <w:kern w:val="2"/>
          <w:sz w:val="44"/>
          <w:szCs w:val="44"/>
        </w:rPr>
      </w:pPr>
      <w:r>
        <w:rPr>
          <w:rFonts w:eastAsia="方正小标宋简体"/>
          <w:snapToGrid/>
          <w:kern w:val="2"/>
          <w:sz w:val="44"/>
          <w:szCs w:val="44"/>
        </w:rPr>
        <w:t>高青</w:t>
      </w:r>
      <w:proofErr w:type="gramStart"/>
      <w:r>
        <w:rPr>
          <w:rFonts w:eastAsia="方正小标宋简体"/>
          <w:snapToGrid/>
          <w:kern w:val="2"/>
          <w:sz w:val="44"/>
          <w:szCs w:val="44"/>
        </w:rPr>
        <w:t>县芦湖街道办事处</w:t>
      </w:r>
      <w:proofErr w:type="gramEnd"/>
    </w:p>
    <w:p w:rsidR="00404FEC" w:rsidRDefault="00A50D12">
      <w:pPr>
        <w:autoSpaceDE/>
        <w:autoSpaceDN/>
        <w:snapToGrid/>
        <w:spacing w:line="560" w:lineRule="exact"/>
        <w:ind w:firstLine="0"/>
        <w:jc w:val="center"/>
        <w:rPr>
          <w:rFonts w:eastAsia="方正小标宋简体"/>
          <w:snapToGrid/>
          <w:kern w:val="2"/>
          <w:sz w:val="44"/>
          <w:szCs w:val="44"/>
        </w:rPr>
      </w:pPr>
      <w:r>
        <w:rPr>
          <w:rFonts w:eastAsia="方正小标宋简体"/>
          <w:snapToGrid/>
          <w:kern w:val="2"/>
          <w:sz w:val="44"/>
          <w:szCs w:val="44"/>
        </w:rPr>
        <w:t>2024</w:t>
      </w:r>
      <w:r>
        <w:rPr>
          <w:rFonts w:eastAsia="方正小标宋简体"/>
          <w:snapToGrid/>
          <w:kern w:val="2"/>
          <w:sz w:val="44"/>
          <w:szCs w:val="44"/>
        </w:rPr>
        <w:t>年政府信息公开工作年度报告</w:t>
      </w:r>
    </w:p>
    <w:p w:rsidR="00404FEC" w:rsidRDefault="00404FEC">
      <w:pPr>
        <w:autoSpaceDE/>
        <w:autoSpaceDN/>
        <w:snapToGrid/>
        <w:spacing w:line="560" w:lineRule="exact"/>
        <w:ind w:firstLine="0"/>
        <w:jc w:val="center"/>
        <w:rPr>
          <w:rFonts w:eastAsia="方正小标宋简体"/>
          <w:snapToGrid/>
          <w:kern w:val="2"/>
          <w:sz w:val="44"/>
          <w:szCs w:val="44"/>
        </w:rPr>
      </w:pPr>
    </w:p>
    <w:p w:rsidR="00404FEC" w:rsidRDefault="00A50D12">
      <w:pPr>
        <w:spacing w:line="560" w:lineRule="exact"/>
        <w:ind w:firstLineChars="200" w:firstLine="640"/>
        <w:rPr>
          <w:rFonts w:eastAsia="仿宋_GB2312"/>
        </w:rPr>
      </w:pPr>
      <w:r>
        <w:rPr>
          <w:rFonts w:eastAsia="仿宋_GB2312"/>
        </w:rPr>
        <w:t>本报告根据《中华人民共和国政府信息公开条例》（国务院令第</w:t>
      </w:r>
      <w:r>
        <w:rPr>
          <w:rFonts w:eastAsia="仿宋_GB2312"/>
        </w:rPr>
        <w:t>711</w:t>
      </w:r>
      <w:r>
        <w:rPr>
          <w:rFonts w:eastAsia="仿宋_GB2312"/>
        </w:rPr>
        <w:t>号，以下简称《条例》）</w:t>
      </w:r>
      <w:r>
        <w:rPr>
          <w:rFonts w:eastAsia="仿宋_GB2312"/>
          <w:szCs w:val="32"/>
        </w:rPr>
        <w:t>和《国务院办公厅政府信息与政务公开办公室关于印发</w:t>
      </w:r>
      <w:r>
        <w:rPr>
          <w:rFonts w:eastAsia="仿宋_GB2312"/>
          <w:szCs w:val="32"/>
        </w:rPr>
        <w:t>&lt;</w:t>
      </w:r>
      <w:r>
        <w:rPr>
          <w:rFonts w:eastAsia="仿宋_GB2312"/>
          <w:szCs w:val="32"/>
        </w:rPr>
        <w:t>中华人民共和国政府信息公开工作年度报告格式</w:t>
      </w:r>
      <w:r>
        <w:rPr>
          <w:rFonts w:eastAsia="仿宋_GB2312"/>
          <w:szCs w:val="32"/>
        </w:rPr>
        <w:t>&gt;</w:t>
      </w:r>
      <w:r>
        <w:rPr>
          <w:rFonts w:eastAsia="仿宋_GB2312"/>
          <w:szCs w:val="32"/>
        </w:rPr>
        <w:t>的通知》（国办公开办函〔</w:t>
      </w:r>
      <w:r>
        <w:rPr>
          <w:rFonts w:eastAsia="仿宋_GB2312"/>
          <w:szCs w:val="32"/>
        </w:rPr>
        <w:t>2021</w:t>
      </w:r>
      <w:r>
        <w:rPr>
          <w:rFonts w:eastAsia="仿宋_GB2312"/>
          <w:szCs w:val="32"/>
        </w:rPr>
        <w:t>〕</w:t>
      </w:r>
      <w:r>
        <w:rPr>
          <w:rFonts w:eastAsia="仿宋_GB2312"/>
          <w:szCs w:val="32"/>
        </w:rPr>
        <w:t>30</w:t>
      </w:r>
      <w:r>
        <w:rPr>
          <w:rFonts w:eastAsia="仿宋_GB2312"/>
          <w:szCs w:val="32"/>
        </w:rPr>
        <w:t>号）相关要求编制</w:t>
      </w:r>
      <w:r>
        <w:rPr>
          <w:rFonts w:eastAsia="仿宋_GB2312"/>
        </w:rPr>
        <w:t>。报告全文</w:t>
      </w:r>
      <w:proofErr w:type="gramStart"/>
      <w:r>
        <w:rPr>
          <w:rFonts w:eastAsia="仿宋_GB2312"/>
        </w:rPr>
        <w:t>分总体</w:t>
      </w:r>
      <w:proofErr w:type="gramEnd"/>
      <w:r>
        <w:rPr>
          <w:rFonts w:eastAsia="仿宋_GB2312"/>
        </w:rPr>
        <w:t>情况、主动公开政府信息情况、收到和处理政府信息公开申请情况、政府信息公开行政复议和行政诉讼情况、存在的主要问题及改进情况、其他需要报告的事项六个部分。</w:t>
      </w:r>
    </w:p>
    <w:p w:rsidR="00404FEC" w:rsidRDefault="00A50D12">
      <w:pPr>
        <w:spacing w:line="560" w:lineRule="exact"/>
        <w:ind w:firstLineChars="200" w:firstLine="640"/>
        <w:rPr>
          <w:rFonts w:eastAsia="仿宋_GB2312"/>
        </w:rPr>
      </w:pPr>
      <w:r>
        <w:rPr>
          <w:rFonts w:eastAsia="仿宋_GB2312"/>
        </w:rPr>
        <w:t>报告中所列数据统计期限自</w:t>
      </w:r>
      <w:r>
        <w:rPr>
          <w:rFonts w:eastAsia="仿宋_GB2312"/>
        </w:rPr>
        <w:t>2024</w:t>
      </w:r>
      <w:r>
        <w:rPr>
          <w:rFonts w:eastAsia="仿宋_GB2312"/>
        </w:rPr>
        <w:t>年</w:t>
      </w:r>
      <w:r>
        <w:rPr>
          <w:rFonts w:eastAsia="仿宋_GB2312"/>
        </w:rPr>
        <w:t>1</w:t>
      </w:r>
      <w:r>
        <w:rPr>
          <w:rFonts w:eastAsia="仿宋_GB2312"/>
        </w:rPr>
        <w:t>月</w:t>
      </w:r>
      <w:r>
        <w:rPr>
          <w:rFonts w:eastAsia="仿宋_GB2312"/>
        </w:rPr>
        <w:t>1</w:t>
      </w:r>
      <w:r>
        <w:rPr>
          <w:rFonts w:eastAsia="仿宋_GB2312"/>
        </w:rPr>
        <w:t>日始，至</w:t>
      </w:r>
      <w:r>
        <w:rPr>
          <w:rFonts w:eastAsia="仿宋_GB2312"/>
        </w:rPr>
        <w:t>2024</w:t>
      </w:r>
      <w:r>
        <w:rPr>
          <w:rFonts w:eastAsia="仿宋_GB2312"/>
        </w:rPr>
        <w:t>年</w:t>
      </w:r>
      <w:r>
        <w:rPr>
          <w:rFonts w:eastAsia="仿宋_GB2312"/>
        </w:rPr>
        <w:t>12</w:t>
      </w:r>
      <w:r>
        <w:rPr>
          <w:rFonts w:eastAsia="仿宋_GB2312"/>
        </w:rPr>
        <w:t>月</w:t>
      </w:r>
      <w:r>
        <w:rPr>
          <w:rFonts w:eastAsia="仿宋_GB2312"/>
        </w:rPr>
        <w:t>31</w:t>
      </w:r>
      <w:r>
        <w:rPr>
          <w:rFonts w:eastAsia="仿宋_GB2312"/>
        </w:rPr>
        <w:t>日止。报告电子版可在高青县人民政府门户网站（</w:t>
      </w:r>
      <w:r>
        <w:rPr>
          <w:rFonts w:eastAsia="仿宋_GB2312"/>
        </w:rPr>
        <w:t>www.gaoqing.gov.cn</w:t>
      </w:r>
      <w:r>
        <w:rPr>
          <w:rFonts w:eastAsia="仿宋_GB2312"/>
        </w:rPr>
        <w:t>）查阅和下载。如对报告内容有疑问，请与高青</w:t>
      </w:r>
      <w:proofErr w:type="gramStart"/>
      <w:r>
        <w:rPr>
          <w:rFonts w:eastAsia="仿宋_GB2312"/>
        </w:rPr>
        <w:t>县芦湖街道办事处党政办公室</w:t>
      </w:r>
      <w:proofErr w:type="gramEnd"/>
      <w:r>
        <w:rPr>
          <w:rFonts w:eastAsia="仿宋_GB2312"/>
        </w:rPr>
        <w:t>联系（地址：山东省淄博市高青县清河路</w:t>
      </w:r>
      <w:r>
        <w:rPr>
          <w:rFonts w:eastAsia="仿宋_GB2312"/>
        </w:rPr>
        <w:t>9</w:t>
      </w:r>
      <w:r>
        <w:rPr>
          <w:rFonts w:eastAsia="仿宋_GB2312"/>
        </w:rPr>
        <w:t>号；邮编：</w:t>
      </w:r>
      <w:r>
        <w:rPr>
          <w:rFonts w:eastAsia="仿宋_GB2312"/>
        </w:rPr>
        <w:t>256300</w:t>
      </w:r>
      <w:r>
        <w:rPr>
          <w:rFonts w:eastAsia="仿宋_GB2312"/>
        </w:rPr>
        <w:t>；电话：</w:t>
      </w:r>
      <w:r>
        <w:rPr>
          <w:rFonts w:eastAsia="仿宋_GB2312"/>
        </w:rPr>
        <w:t>0533-6951755</w:t>
      </w:r>
      <w:r>
        <w:rPr>
          <w:rFonts w:eastAsia="仿宋_GB2312"/>
        </w:rPr>
        <w:t>；邮箱：</w:t>
      </w:r>
      <w:r>
        <w:rPr>
          <w:rFonts w:eastAsia="仿宋_GB2312"/>
        </w:rPr>
        <w:t>gqxlhjd@zb.shandong.cn</w:t>
      </w:r>
      <w:r>
        <w:rPr>
          <w:rFonts w:eastAsia="仿宋_GB2312"/>
        </w:rPr>
        <w:t>）。</w:t>
      </w:r>
    </w:p>
    <w:p w:rsidR="00404FEC" w:rsidRDefault="00A50D12">
      <w:pPr>
        <w:spacing w:line="560" w:lineRule="exact"/>
        <w:ind w:firstLineChars="200" w:firstLine="640"/>
        <w:rPr>
          <w:rFonts w:eastAsia="黑体"/>
          <w:szCs w:val="32"/>
        </w:rPr>
      </w:pPr>
      <w:r>
        <w:rPr>
          <w:rFonts w:eastAsia="黑体"/>
          <w:szCs w:val="32"/>
        </w:rPr>
        <w:t>一、总体情况</w:t>
      </w:r>
    </w:p>
    <w:p w:rsidR="00404FEC" w:rsidRDefault="00A50D12">
      <w:pPr>
        <w:spacing w:line="560" w:lineRule="exact"/>
        <w:ind w:firstLineChars="200" w:firstLine="640"/>
        <w:rPr>
          <w:rFonts w:eastAsia="仿宋_GB2312"/>
          <w:szCs w:val="32"/>
        </w:rPr>
      </w:pPr>
      <w:r>
        <w:rPr>
          <w:rFonts w:eastAsia="仿宋_GB2312"/>
          <w:szCs w:val="32"/>
        </w:rPr>
        <w:t>2024</w:t>
      </w:r>
      <w:r>
        <w:rPr>
          <w:rFonts w:eastAsia="仿宋_GB2312"/>
          <w:szCs w:val="32"/>
        </w:rPr>
        <w:t>年，高青</w:t>
      </w:r>
      <w:proofErr w:type="gramStart"/>
      <w:r>
        <w:rPr>
          <w:rFonts w:eastAsia="仿宋_GB2312"/>
          <w:szCs w:val="32"/>
        </w:rPr>
        <w:t>县芦湖街道</w:t>
      </w:r>
      <w:proofErr w:type="gramEnd"/>
      <w:r>
        <w:rPr>
          <w:rFonts w:eastAsia="仿宋_GB2312"/>
          <w:szCs w:val="32"/>
        </w:rPr>
        <w:t>坚持以习近平新时代中国特色社会主义思想为指导，全面贯彻党的二十大和二十届三中全会精神，认真落实国家和省市县政务公开工作部署，进一步提升政务公开质效，推动政务公开工作持续深入开展。</w:t>
      </w:r>
    </w:p>
    <w:p w:rsidR="00404FEC" w:rsidRDefault="00A50D12">
      <w:pPr>
        <w:spacing w:line="560" w:lineRule="exact"/>
        <w:rPr>
          <w:rFonts w:eastAsia="楷体_GB2312"/>
        </w:rPr>
      </w:pPr>
      <w:r>
        <w:rPr>
          <w:rFonts w:eastAsia="楷体_GB2312"/>
        </w:rPr>
        <w:t>（一）主动公开</w:t>
      </w:r>
    </w:p>
    <w:p w:rsidR="00404FEC" w:rsidRDefault="00A50D12">
      <w:pPr>
        <w:spacing w:line="560" w:lineRule="exact"/>
        <w:rPr>
          <w:rFonts w:eastAsia="仿宋_GB2312"/>
        </w:rPr>
      </w:pPr>
      <w:r>
        <w:rPr>
          <w:rFonts w:eastAsia="仿宋_GB2312" w:hint="eastAsia"/>
          <w:noProof/>
        </w:rPr>
        <w:lastRenderedPageBreak/>
        <w:drawing>
          <wp:anchor distT="0" distB="0" distL="114300" distR="114300" simplePos="0" relativeHeight="251659264" behindDoc="0" locked="0" layoutInCell="1" allowOverlap="1">
            <wp:simplePos x="0" y="0"/>
            <wp:positionH relativeFrom="column">
              <wp:posOffset>205105</wp:posOffset>
            </wp:positionH>
            <wp:positionV relativeFrom="paragraph">
              <wp:posOffset>3924300</wp:posOffset>
            </wp:positionV>
            <wp:extent cx="5256530" cy="2988310"/>
            <wp:effectExtent l="5080" t="4445" r="15240" b="1714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eastAsia="仿宋_GB2312"/>
        </w:rPr>
        <w:t>健全政务公开问题反馈整改机制</w:t>
      </w:r>
      <w:r>
        <w:rPr>
          <w:rFonts w:eastAsia="仿宋_GB2312"/>
          <w:szCs w:val="32"/>
        </w:rPr>
        <w:t>，定期开展检查并做好问题整改落实。制定《</w:t>
      </w:r>
      <w:r>
        <w:rPr>
          <w:rFonts w:eastAsia="仿宋_GB2312"/>
          <w:szCs w:val="32"/>
        </w:rPr>
        <w:t>2024</w:t>
      </w:r>
      <w:r>
        <w:rPr>
          <w:rFonts w:eastAsia="仿宋_GB2312"/>
          <w:szCs w:val="32"/>
        </w:rPr>
        <w:t>年高青县芦湖街道政务公开工作实施方案》，</w:t>
      </w:r>
      <w:r>
        <w:rPr>
          <w:rFonts w:eastAsia="仿宋_GB2312"/>
        </w:rPr>
        <w:t>围绕社会救助、教育卫生、就业等群众关注的重点领域，及时公开困难群众救助保障标准、义务教育学校招生政策、就业岗位招聘等信息。</w:t>
      </w:r>
      <w:r>
        <w:rPr>
          <w:rFonts w:eastAsia="仿宋_GB2312"/>
          <w:szCs w:val="32"/>
        </w:rPr>
        <w:t>2024</w:t>
      </w:r>
      <w:r>
        <w:rPr>
          <w:rFonts w:eastAsia="仿宋_GB2312"/>
          <w:szCs w:val="32"/>
        </w:rPr>
        <w:t>年主动公开政府信息</w:t>
      </w:r>
      <w:r>
        <w:rPr>
          <w:rFonts w:eastAsia="仿宋_GB2312"/>
          <w:szCs w:val="32"/>
        </w:rPr>
        <w:t>665</w:t>
      </w:r>
      <w:r>
        <w:rPr>
          <w:rFonts w:eastAsia="仿宋_GB2312"/>
          <w:szCs w:val="32"/>
        </w:rPr>
        <w:t>条，较</w:t>
      </w:r>
      <w:r>
        <w:rPr>
          <w:rFonts w:eastAsia="仿宋_GB2312"/>
          <w:szCs w:val="32"/>
        </w:rPr>
        <w:t>2023</w:t>
      </w:r>
      <w:r>
        <w:rPr>
          <w:rFonts w:eastAsia="仿宋_GB2312"/>
          <w:szCs w:val="32"/>
        </w:rPr>
        <w:t>年增加</w:t>
      </w:r>
      <w:r>
        <w:rPr>
          <w:rFonts w:eastAsia="仿宋_GB2312"/>
          <w:szCs w:val="32"/>
        </w:rPr>
        <w:t>70</w:t>
      </w:r>
      <w:r>
        <w:rPr>
          <w:rFonts w:eastAsia="仿宋_GB2312"/>
          <w:szCs w:val="32"/>
        </w:rPr>
        <w:t>条，增幅</w:t>
      </w:r>
      <w:r>
        <w:rPr>
          <w:rFonts w:eastAsia="仿宋_GB2312"/>
          <w:szCs w:val="32"/>
        </w:rPr>
        <w:t>11.8%</w:t>
      </w:r>
      <w:r>
        <w:rPr>
          <w:rFonts w:eastAsia="仿宋_GB2312"/>
          <w:szCs w:val="32"/>
        </w:rPr>
        <w:t>，其中政府网站公开信息</w:t>
      </w:r>
      <w:r>
        <w:rPr>
          <w:rFonts w:eastAsia="仿宋_GB2312"/>
          <w:szCs w:val="32"/>
        </w:rPr>
        <w:t>100</w:t>
      </w:r>
      <w:r>
        <w:rPr>
          <w:rFonts w:eastAsia="仿宋_GB2312"/>
          <w:szCs w:val="32"/>
        </w:rPr>
        <w:t>余条，政务新媒体公开信息</w:t>
      </w:r>
      <w:r>
        <w:rPr>
          <w:rFonts w:eastAsia="仿宋_GB2312"/>
          <w:szCs w:val="32"/>
        </w:rPr>
        <w:t>479</w:t>
      </w:r>
      <w:r>
        <w:rPr>
          <w:rFonts w:eastAsia="仿宋_GB2312"/>
          <w:szCs w:val="32"/>
        </w:rPr>
        <w:t>条。</w:t>
      </w:r>
      <w:r>
        <w:rPr>
          <w:rFonts w:eastAsia="仿宋_GB2312"/>
        </w:rPr>
        <w:t>加大政策解读力度，以图文解读的形式发布解读材料</w:t>
      </w:r>
      <w:r>
        <w:rPr>
          <w:rFonts w:eastAsia="仿宋_GB2312"/>
        </w:rPr>
        <w:t>2</w:t>
      </w:r>
      <w:r>
        <w:rPr>
          <w:rFonts w:eastAsia="仿宋_GB2312"/>
        </w:rPr>
        <w:t>篇。及时回应群众关切，办理</w:t>
      </w:r>
      <w:r>
        <w:rPr>
          <w:rFonts w:eastAsia="仿宋_GB2312"/>
          <w:szCs w:val="32"/>
        </w:rPr>
        <w:t>12345</w:t>
      </w:r>
      <w:r>
        <w:rPr>
          <w:rFonts w:eastAsia="仿宋_GB2312"/>
          <w:szCs w:val="32"/>
        </w:rPr>
        <w:t>热线</w:t>
      </w:r>
      <w:r>
        <w:rPr>
          <w:rFonts w:eastAsia="仿宋_GB2312"/>
          <w:szCs w:val="32"/>
        </w:rPr>
        <w:t>1140</w:t>
      </w:r>
      <w:r>
        <w:rPr>
          <w:rFonts w:eastAsia="仿宋_GB2312"/>
          <w:szCs w:val="32"/>
        </w:rPr>
        <w:t>条</w:t>
      </w:r>
      <w:r>
        <w:rPr>
          <w:rFonts w:eastAsia="仿宋_GB2312"/>
          <w:kern w:val="2"/>
          <w:szCs w:val="32"/>
          <w14:ligatures w14:val="standardContextual"/>
        </w:rPr>
        <w:t>；</w:t>
      </w:r>
      <w:r>
        <w:rPr>
          <w:rFonts w:eastAsia="仿宋_GB2312"/>
        </w:rPr>
        <w:t>围绕经济运行、城市文化社区、农业发展等方面召开新闻发布会</w:t>
      </w:r>
      <w:r>
        <w:rPr>
          <w:rFonts w:eastAsia="仿宋_GB2312"/>
        </w:rPr>
        <w:t>1</w:t>
      </w:r>
      <w:r>
        <w:rPr>
          <w:rFonts w:eastAsia="仿宋_GB2312"/>
        </w:rPr>
        <w:t>次；在便民服务中心开展</w:t>
      </w:r>
      <w:r>
        <w:rPr>
          <w:rFonts w:eastAsia="仿宋_GB2312"/>
        </w:rPr>
        <w:t>“</w:t>
      </w:r>
      <w:r>
        <w:rPr>
          <w:rFonts w:eastAsia="仿宋_GB2312"/>
        </w:rPr>
        <w:t>政府开放日</w:t>
      </w:r>
      <w:r>
        <w:rPr>
          <w:rFonts w:eastAsia="仿宋_GB2312"/>
        </w:rPr>
        <w:t>”</w:t>
      </w:r>
      <w:r>
        <w:rPr>
          <w:rFonts w:eastAsia="仿宋_GB2312"/>
        </w:rPr>
        <w:t>活动</w:t>
      </w:r>
      <w:r>
        <w:rPr>
          <w:rFonts w:eastAsia="仿宋_GB2312"/>
        </w:rPr>
        <w:t>1</w:t>
      </w:r>
      <w:r>
        <w:rPr>
          <w:rFonts w:eastAsia="仿宋_GB2312"/>
        </w:rPr>
        <w:t>次，邀请群众体验政务服务事项，并进行座谈交流。</w:t>
      </w:r>
    </w:p>
    <w:p w:rsidR="00404FEC" w:rsidRDefault="00A50D12">
      <w:pPr>
        <w:spacing w:line="560" w:lineRule="exact"/>
        <w:jc w:val="left"/>
        <w:rPr>
          <w:rFonts w:eastAsia="楷体_GB2312"/>
        </w:rPr>
      </w:pPr>
      <w:r>
        <w:rPr>
          <w:rFonts w:eastAsia="楷体_GB2312"/>
        </w:rPr>
        <w:t>（二）依申请公开</w:t>
      </w:r>
    </w:p>
    <w:p w:rsidR="00404FEC" w:rsidRDefault="00A50D12">
      <w:pPr>
        <w:spacing w:line="560" w:lineRule="exact"/>
        <w:rPr>
          <w:rFonts w:eastAsia="仿宋_GB2312"/>
        </w:rPr>
      </w:pPr>
      <w:r>
        <w:rPr>
          <w:rFonts w:eastAsia="仿宋_GB2312"/>
          <w:szCs w:val="32"/>
        </w:rPr>
        <w:t>建立依申请公开全流程管理制度，对接收到的政府信息公开申请根据时间节点推进事项处理并撰写答复函，处理完毕后进行</w:t>
      </w:r>
      <w:r>
        <w:rPr>
          <w:rFonts w:eastAsia="仿宋_GB2312"/>
          <w:szCs w:val="32"/>
        </w:rPr>
        <w:lastRenderedPageBreak/>
        <w:t>归档，保存相关文件和记录，确保信息的完整性和</w:t>
      </w:r>
      <w:proofErr w:type="gramStart"/>
      <w:r>
        <w:rPr>
          <w:rFonts w:eastAsia="仿宋_GB2312"/>
          <w:szCs w:val="32"/>
        </w:rPr>
        <w:t>可</w:t>
      </w:r>
      <w:proofErr w:type="gramEnd"/>
      <w:r>
        <w:rPr>
          <w:rFonts w:eastAsia="仿宋_GB2312"/>
          <w:szCs w:val="32"/>
        </w:rPr>
        <w:t>追溯性。</w:t>
      </w:r>
      <w:r>
        <w:rPr>
          <w:rFonts w:eastAsia="仿宋_GB2312"/>
          <w:szCs w:val="32"/>
        </w:rPr>
        <w:t>2024</w:t>
      </w:r>
      <w:r>
        <w:rPr>
          <w:rFonts w:eastAsia="仿宋_GB2312"/>
          <w:szCs w:val="32"/>
        </w:rPr>
        <w:t>年共收到政府信息公开申请</w:t>
      </w:r>
      <w:r>
        <w:rPr>
          <w:rFonts w:eastAsia="仿宋_GB2312"/>
          <w:szCs w:val="32"/>
        </w:rPr>
        <w:t>6</w:t>
      </w:r>
      <w:r>
        <w:rPr>
          <w:rFonts w:eastAsia="仿宋_GB2312"/>
          <w:szCs w:val="32"/>
        </w:rPr>
        <w:t>件，比上年度增加</w:t>
      </w:r>
      <w:r>
        <w:rPr>
          <w:rFonts w:eastAsia="仿宋_GB2312"/>
          <w:szCs w:val="32"/>
        </w:rPr>
        <w:t>2</w:t>
      </w:r>
      <w:r>
        <w:rPr>
          <w:rFonts w:eastAsia="仿宋_GB2312"/>
          <w:szCs w:val="32"/>
        </w:rPr>
        <w:t>件，申请内容主要涉及</w:t>
      </w:r>
      <w:r>
        <w:rPr>
          <w:rFonts w:eastAsia="仿宋_GB2312"/>
        </w:rPr>
        <w:t>棚户区改造</w:t>
      </w:r>
      <w:r>
        <w:rPr>
          <w:rFonts w:eastAsia="仿宋_GB2312"/>
          <w:szCs w:val="32"/>
        </w:rPr>
        <w:t>领域。</w:t>
      </w:r>
      <w:proofErr w:type="gramStart"/>
      <w:r>
        <w:rPr>
          <w:rFonts w:eastAsia="仿宋_GB2312"/>
          <w:szCs w:val="32"/>
        </w:rPr>
        <w:t>作出</w:t>
      </w:r>
      <w:proofErr w:type="gramEnd"/>
      <w:r>
        <w:rPr>
          <w:rFonts w:eastAsia="仿宋_GB2312"/>
          <w:szCs w:val="32"/>
        </w:rPr>
        <w:t>政府信息公开申请答复</w:t>
      </w:r>
      <w:r>
        <w:rPr>
          <w:rFonts w:eastAsia="仿宋_GB2312"/>
          <w:szCs w:val="32"/>
        </w:rPr>
        <w:t>4</w:t>
      </w:r>
      <w:r>
        <w:rPr>
          <w:rFonts w:eastAsia="仿宋_GB2312"/>
          <w:szCs w:val="32"/>
        </w:rPr>
        <w:t>件，其中予以公开</w:t>
      </w:r>
      <w:r>
        <w:rPr>
          <w:rFonts w:eastAsia="仿宋_GB2312"/>
          <w:szCs w:val="32"/>
        </w:rPr>
        <w:t>1</w:t>
      </w:r>
      <w:r>
        <w:rPr>
          <w:rFonts w:eastAsia="仿宋_GB2312"/>
          <w:szCs w:val="32"/>
        </w:rPr>
        <w:t>件、无法提供</w:t>
      </w:r>
      <w:r>
        <w:rPr>
          <w:rFonts w:eastAsia="仿宋_GB2312"/>
          <w:szCs w:val="32"/>
        </w:rPr>
        <w:t>3</w:t>
      </w:r>
      <w:r>
        <w:rPr>
          <w:rFonts w:eastAsia="仿宋_GB2312"/>
          <w:szCs w:val="32"/>
        </w:rPr>
        <w:t>件；结转下年度继续办理</w:t>
      </w:r>
      <w:r>
        <w:rPr>
          <w:rFonts w:eastAsia="仿宋_GB2312"/>
          <w:szCs w:val="32"/>
        </w:rPr>
        <w:t>2</w:t>
      </w:r>
      <w:r>
        <w:rPr>
          <w:rFonts w:eastAsia="仿宋_GB2312"/>
          <w:szCs w:val="32"/>
        </w:rPr>
        <w:t>件。未因政府信息公开被申请行政复议、提起行政诉讼。</w:t>
      </w:r>
    </w:p>
    <w:p w:rsidR="00404FEC" w:rsidRDefault="00A50D12">
      <w:pPr>
        <w:spacing w:line="560" w:lineRule="exact"/>
        <w:jc w:val="left"/>
        <w:rPr>
          <w:rFonts w:eastAsia="楷体_GB2312"/>
        </w:rPr>
      </w:pPr>
      <w:r>
        <w:rPr>
          <w:rFonts w:eastAsia="楷体_GB2312"/>
        </w:rPr>
        <w:t>（三）政府信息管理</w:t>
      </w:r>
    </w:p>
    <w:p w:rsidR="00404FEC" w:rsidRDefault="00A50D12">
      <w:pPr>
        <w:spacing w:line="560" w:lineRule="exact"/>
        <w:jc w:val="left"/>
        <w:rPr>
          <w:rFonts w:eastAsia="仿宋_GB2312"/>
          <w:szCs w:val="32"/>
        </w:rPr>
      </w:pPr>
      <w:r>
        <w:rPr>
          <w:rFonts w:eastAsia="仿宋_GB2312"/>
          <w:szCs w:val="32"/>
        </w:rPr>
        <w:t>编制主动公开事项目录，依据相关法律条文编制主动公开事项</w:t>
      </w:r>
      <w:r>
        <w:rPr>
          <w:rFonts w:eastAsia="仿宋_GB2312"/>
          <w:szCs w:val="32"/>
        </w:rPr>
        <w:t>28</w:t>
      </w:r>
      <w:r>
        <w:rPr>
          <w:rFonts w:eastAsia="仿宋_GB2312"/>
          <w:szCs w:val="32"/>
        </w:rPr>
        <w:t>项。根据街道领导班子调动、分工调整等动态进行领导信息、领导分工的更新发布，定期清理已失效的政府信息。建立政府信息公开保密审查制度，定期组织保密知识培训，提高全员保密意识，保证涉密信息</w:t>
      </w:r>
      <w:proofErr w:type="gramStart"/>
      <w:r>
        <w:rPr>
          <w:rFonts w:eastAsia="仿宋_GB2312"/>
          <w:szCs w:val="32"/>
        </w:rPr>
        <w:t>不</w:t>
      </w:r>
      <w:proofErr w:type="gramEnd"/>
      <w:r>
        <w:rPr>
          <w:rFonts w:eastAsia="仿宋_GB2312"/>
          <w:szCs w:val="32"/>
        </w:rPr>
        <w:t>上网。</w:t>
      </w:r>
    </w:p>
    <w:p w:rsidR="00404FEC" w:rsidRDefault="00A50D12">
      <w:pPr>
        <w:spacing w:line="560" w:lineRule="exact"/>
        <w:jc w:val="left"/>
        <w:rPr>
          <w:rFonts w:eastAsia="楷体_GB2312"/>
        </w:rPr>
      </w:pPr>
      <w:r>
        <w:rPr>
          <w:rFonts w:eastAsia="楷体_GB2312"/>
        </w:rPr>
        <w:t>（四）政府信息公开平台建设</w:t>
      </w:r>
    </w:p>
    <w:p w:rsidR="00404FEC" w:rsidRDefault="00A50D12">
      <w:pPr>
        <w:spacing w:line="560" w:lineRule="exact"/>
        <w:jc w:val="left"/>
        <w:rPr>
          <w:rFonts w:eastAsia="仿宋_GB2312"/>
        </w:rPr>
      </w:pPr>
      <w:r>
        <w:rPr>
          <w:rFonts w:eastAsia="仿宋_GB2312"/>
        </w:rPr>
        <w:t>加大政府网站同类栏目整改力度，对功能相近或内容重复的栏目进行合并。做好政务新媒体</w:t>
      </w:r>
      <w:r>
        <w:rPr>
          <w:rFonts w:eastAsia="仿宋_GB2312"/>
        </w:rPr>
        <w:t>“</w:t>
      </w:r>
      <w:r>
        <w:rPr>
          <w:rFonts w:eastAsia="仿宋_GB2312"/>
        </w:rPr>
        <w:t>瘦身提质</w:t>
      </w:r>
      <w:r>
        <w:rPr>
          <w:rFonts w:eastAsia="仿宋_GB2312"/>
        </w:rPr>
        <w:t>”</w:t>
      </w:r>
      <w:r>
        <w:rPr>
          <w:rFonts w:eastAsia="仿宋_GB2312"/>
        </w:rPr>
        <w:t>工作，注销政务新媒体</w:t>
      </w:r>
      <w:r>
        <w:rPr>
          <w:rFonts w:eastAsia="仿宋_GB2312"/>
        </w:rPr>
        <w:t>“</w:t>
      </w:r>
      <w:r>
        <w:rPr>
          <w:rFonts w:eastAsia="仿宋_GB2312"/>
        </w:rPr>
        <w:t>高青县芦湖街道办事处</w:t>
      </w:r>
      <w:r>
        <w:rPr>
          <w:rFonts w:eastAsia="仿宋_GB2312"/>
        </w:rPr>
        <w:t>”</w:t>
      </w:r>
      <w:proofErr w:type="gramStart"/>
      <w:r>
        <w:rPr>
          <w:rFonts w:eastAsia="仿宋_GB2312"/>
        </w:rPr>
        <w:t>微信公众号</w:t>
      </w:r>
      <w:proofErr w:type="gramEnd"/>
      <w:r>
        <w:rPr>
          <w:rFonts w:eastAsia="仿宋_GB2312"/>
        </w:rPr>
        <w:t>。优化政务公开专区建设，制定《政务公开专区服务指南》，划分功能区</w:t>
      </w:r>
      <w:r>
        <w:rPr>
          <w:rFonts w:eastAsia="仿宋_GB2312"/>
        </w:rPr>
        <w:t>4</w:t>
      </w:r>
      <w:r>
        <w:rPr>
          <w:rFonts w:eastAsia="仿宋_GB2312"/>
        </w:rPr>
        <w:t>个。</w:t>
      </w:r>
    </w:p>
    <w:p w:rsidR="00404FEC" w:rsidRDefault="00A50D12">
      <w:pPr>
        <w:spacing w:line="560" w:lineRule="exact"/>
        <w:jc w:val="left"/>
        <w:rPr>
          <w:rFonts w:eastAsia="楷体_GB2312"/>
        </w:rPr>
      </w:pPr>
      <w:r>
        <w:rPr>
          <w:rFonts w:eastAsia="楷体_GB2312"/>
        </w:rPr>
        <w:t>（五）监督保障</w:t>
      </w:r>
    </w:p>
    <w:p w:rsidR="00404FEC" w:rsidRDefault="00A50D12">
      <w:pPr>
        <w:spacing w:line="560" w:lineRule="exact"/>
        <w:ind w:firstLineChars="200" w:firstLine="640"/>
        <w:rPr>
          <w:rFonts w:eastAsia="仿宋_GB2312"/>
        </w:rPr>
      </w:pPr>
      <w:r>
        <w:rPr>
          <w:rFonts w:eastAsia="仿宋_GB2312"/>
        </w:rPr>
        <w:t>党政办公室牵头负责政务公开工作，配备专职工作人员</w:t>
      </w:r>
      <w:r>
        <w:rPr>
          <w:rFonts w:eastAsia="仿宋_GB2312"/>
        </w:rPr>
        <w:t>1</w:t>
      </w:r>
      <w:r>
        <w:rPr>
          <w:rFonts w:eastAsia="仿宋_GB2312"/>
        </w:rPr>
        <w:t>名，各科室、事业中心各配备兼职工作人员</w:t>
      </w:r>
      <w:r>
        <w:rPr>
          <w:rFonts w:eastAsia="仿宋_GB2312"/>
        </w:rPr>
        <w:t>1</w:t>
      </w:r>
      <w:r>
        <w:rPr>
          <w:rFonts w:eastAsia="仿宋_GB2312"/>
        </w:rPr>
        <w:t>名，共同负责政务公开工作的具体实施。制定政务公开培训计划，针对政府信息公开的概念和内涵、新时代政务公开的重点任务与监督保障等内容组织开展政务公开业务培训</w:t>
      </w:r>
      <w:r>
        <w:rPr>
          <w:rFonts w:eastAsia="仿宋_GB2312"/>
        </w:rPr>
        <w:t>2</w:t>
      </w:r>
      <w:r>
        <w:rPr>
          <w:rFonts w:eastAsia="仿宋_GB2312"/>
        </w:rPr>
        <w:t>次，全面提高政务公开工作人员业务能</w:t>
      </w:r>
      <w:r>
        <w:rPr>
          <w:rFonts w:eastAsia="仿宋_GB2312"/>
        </w:rPr>
        <w:lastRenderedPageBreak/>
        <w:t>力。</w:t>
      </w:r>
    </w:p>
    <w:p w:rsidR="003B00C2" w:rsidRDefault="003B00C2">
      <w:pPr>
        <w:spacing w:afterLines="50" w:after="156" w:line="600" w:lineRule="exact"/>
        <w:ind w:firstLineChars="200" w:firstLine="640"/>
        <w:rPr>
          <w:rFonts w:eastAsia="黑体"/>
          <w:szCs w:val="32"/>
        </w:rPr>
      </w:pPr>
    </w:p>
    <w:p w:rsidR="00404FEC" w:rsidRDefault="00A50D12">
      <w:pPr>
        <w:spacing w:afterLines="50" w:after="156" w:line="600" w:lineRule="exact"/>
        <w:ind w:firstLineChars="200" w:firstLine="640"/>
        <w:rPr>
          <w:rFonts w:eastAsia="黑体"/>
          <w:szCs w:val="32"/>
        </w:rPr>
      </w:pPr>
      <w:r>
        <w:rPr>
          <w:rFonts w:eastAsia="黑体"/>
          <w:szCs w:val="32"/>
        </w:rPr>
        <w:t>二、主动公开政府信息情况</w:t>
      </w:r>
    </w:p>
    <w:tbl>
      <w:tblPr>
        <w:tblStyle w:val="a6"/>
        <w:tblW w:w="0" w:type="auto"/>
        <w:jc w:val="center"/>
        <w:tblLook w:val="04A0" w:firstRow="1" w:lastRow="0" w:firstColumn="1" w:lastColumn="0" w:noHBand="0" w:noVBand="1"/>
      </w:tblPr>
      <w:tblGrid>
        <w:gridCol w:w="2589"/>
        <w:gridCol w:w="2130"/>
        <w:gridCol w:w="2131"/>
        <w:gridCol w:w="2131"/>
      </w:tblGrid>
      <w:tr w:rsidR="00404FEC">
        <w:trPr>
          <w:trHeight w:hRule="exact" w:val="567"/>
          <w:jc w:val="center"/>
        </w:trPr>
        <w:tc>
          <w:tcPr>
            <w:tcW w:w="8981" w:type="dxa"/>
            <w:gridSpan w:val="4"/>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第二十条第（一）项</w:t>
            </w:r>
          </w:p>
        </w:tc>
      </w:tr>
      <w:tr w:rsidR="00404FEC">
        <w:trPr>
          <w:trHeight w:hRule="exact" w:val="567"/>
          <w:jc w:val="center"/>
        </w:trPr>
        <w:tc>
          <w:tcPr>
            <w:tcW w:w="2589" w:type="dxa"/>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信息内容</w:t>
            </w:r>
          </w:p>
        </w:tc>
        <w:tc>
          <w:tcPr>
            <w:tcW w:w="2130" w:type="dxa"/>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本年制发件数</w:t>
            </w:r>
          </w:p>
        </w:tc>
        <w:tc>
          <w:tcPr>
            <w:tcW w:w="2131" w:type="dxa"/>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本年废止件数</w:t>
            </w:r>
          </w:p>
        </w:tc>
        <w:tc>
          <w:tcPr>
            <w:tcW w:w="2131" w:type="dxa"/>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现行有效件数</w:t>
            </w:r>
          </w:p>
        </w:tc>
      </w:tr>
      <w:tr w:rsidR="00404FEC">
        <w:trPr>
          <w:trHeight w:hRule="exact" w:val="567"/>
          <w:jc w:val="center"/>
        </w:trPr>
        <w:tc>
          <w:tcPr>
            <w:tcW w:w="2589" w:type="dxa"/>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规章</w:t>
            </w:r>
          </w:p>
        </w:tc>
        <w:tc>
          <w:tcPr>
            <w:tcW w:w="2130" w:type="dxa"/>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2131" w:type="dxa"/>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2131" w:type="dxa"/>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rsidR="00404FEC">
        <w:trPr>
          <w:trHeight w:hRule="exact" w:val="567"/>
          <w:jc w:val="center"/>
        </w:trPr>
        <w:tc>
          <w:tcPr>
            <w:tcW w:w="2589" w:type="dxa"/>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行政规范性文件</w:t>
            </w:r>
          </w:p>
        </w:tc>
        <w:tc>
          <w:tcPr>
            <w:tcW w:w="2130" w:type="dxa"/>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2131" w:type="dxa"/>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2131" w:type="dxa"/>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rsidR="00404FEC">
        <w:trPr>
          <w:trHeight w:hRule="exact" w:val="567"/>
          <w:jc w:val="center"/>
        </w:trPr>
        <w:tc>
          <w:tcPr>
            <w:tcW w:w="8981" w:type="dxa"/>
            <w:gridSpan w:val="4"/>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第二十条第（五）项</w:t>
            </w:r>
          </w:p>
        </w:tc>
      </w:tr>
      <w:tr w:rsidR="00404FEC">
        <w:trPr>
          <w:trHeight w:hRule="exact" w:val="567"/>
          <w:jc w:val="center"/>
        </w:trPr>
        <w:tc>
          <w:tcPr>
            <w:tcW w:w="2589" w:type="dxa"/>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信息内容</w:t>
            </w:r>
          </w:p>
        </w:tc>
        <w:tc>
          <w:tcPr>
            <w:tcW w:w="6392" w:type="dxa"/>
            <w:gridSpan w:val="3"/>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本年处理决定数量</w:t>
            </w:r>
          </w:p>
        </w:tc>
      </w:tr>
      <w:tr w:rsidR="00404FEC">
        <w:trPr>
          <w:trHeight w:hRule="exact" w:val="567"/>
          <w:jc w:val="center"/>
        </w:trPr>
        <w:tc>
          <w:tcPr>
            <w:tcW w:w="2589" w:type="dxa"/>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行政许可</w:t>
            </w:r>
          </w:p>
        </w:tc>
        <w:tc>
          <w:tcPr>
            <w:tcW w:w="6392" w:type="dxa"/>
            <w:gridSpan w:val="3"/>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rsidR="00404FEC">
        <w:trPr>
          <w:trHeight w:hRule="exact" w:val="567"/>
          <w:jc w:val="center"/>
        </w:trPr>
        <w:tc>
          <w:tcPr>
            <w:tcW w:w="8981" w:type="dxa"/>
            <w:gridSpan w:val="4"/>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第二十条第（六）项</w:t>
            </w:r>
          </w:p>
        </w:tc>
      </w:tr>
      <w:tr w:rsidR="00404FEC">
        <w:trPr>
          <w:trHeight w:hRule="exact" w:val="567"/>
          <w:jc w:val="center"/>
        </w:trPr>
        <w:tc>
          <w:tcPr>
            <w:tcW w:w="2589" w:type="dxa"/>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信息内容</w:t>
            </w:r>
          </w:p>
        </w:tc>
        <w:tc>
          <w:tcPr>
            <w:tcW w:w="6392" w:type="dxa"/>
            <w:gridSpan w:val="3"/>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本年处理决定数量</w:t>
            </w:r>
          </w:p>
        </w:tc>
      </w:tr>
      <w:tr w:rsidR="00404FEC">
        <w:trPr>
          <w:trHeight w:hRule="exact" w:val="567"/>
          <w:jc w:val="center"/>
        </w:trPr>
        <w:tc>
          <w:tcPr>
            <w:tcW w:w="2589" w:type="dxa"/>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行政处罚</w:t>
            </w:r>
          </w:p>
        </w:tc>
        <w:tc>
          <w:tcPr>
            <w:tcW w:w="6392" w:type="dxa"/>
            <w:gridSpan w:val="3"/>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rsidR="00404FEC">
        <w:trPr>
          <w:trHeight w:hRule="exact" w:val="567"/>
          <w:jc w:val="center"/>
        </w:trPr>
        <w:tc>
          <w:tcPr>
            <w:tcW w:w="2589" w:type="dxa"/>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行政强制</w:t>
            </w:r>
          </w:p>
        </w:tc>
        <w:tc>
          <w:tcPr>
            <w:tcW w:w="6392" w:type="dxa"/>
            <w:gridSpan w:val="3"/>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rsidR="00404FEC">
        <w:trPr>
          <w:trHeight w:hRule="exact" w:val="567"/>
          <w:jc w:val="center"/>
        </w:trPr>
        <w:tc>
          <w:tcPr>
            <w:tcW w:w="8981" w:type="dxa"/>
            <w:gridSpan w:val="4"/>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第二十条第（八）项</w:t>
            </w:r>
          </w:p>
        </w:tc>
      </w:tr>
      <w:tr w:rsidR="00404FEC">
        <w:trPr>
          <w:trHeight w:hRule="exact" w:val="567"/>
          <w:jc w:val="center"/>
        </w:trPr>
        <w:tc>
          <w:tcPr>
            <w:tcW w:w="2589" w:type="dxa"/>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信息内容</w:t>
            </w:r>
          </w:p>
        </w:tc>
        <w:tc>
          <w:tcPr>
            <w:tcW w:w="6392" w:type="dxa"/>
            <w:gridSpan w:val="3"/>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本年收费金额（单位：万元）</w:t>
            </w:r>
          </w:p>
        </w:tc>
      </w:tr>
      <w:tr w:rsidR="00404FEC">
        <w:trPr>
          <w:trHeight w:hRule="exact" w:val="567"/>
          <w:jc w:val="center"/>
        </w:trPr>
        <w:tc>
          <w:tcPr>
            <w:tcW w:w="2589" w:type="dxa"/>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行政事业性收费</w:t>
            </w:r>
          </w:p>
        </w:tc>
        <w:tc>
          <w:tcPr>
            <w:tcW w:w="6392" w:type="dxa"/>
            <w:gridSpan w:val="3"/>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bl>
    <w:p w:rsidR="00404FEC" w:rsidRDefault="00404FEC">
      <w:pPr>
        <w:spacing w:afterLines="50" w:after="156" w:line="600" w:lineRule="exact"/>
        <w:ind w:firstLineChars="200" w:firstLine="640"/>
        <w:rPr>
          <w:rFonts w:eastAsia="黑体"/>
          <w:szCs w:val="32"/>
        </w:rPr>
      </w:pPr>
    </w:p>
    <w:p w:rsidR="00404FEC" w:rsidRDefault="00404FEC">
      <w:pPr>
        <w:spacing w:afterLines="50" w:after="156" w:line="600" w:lineRule="exact"/>
        <w:ind w:firstLineChars="200" w:firstLine="640"/>
        <w:rPr>
          <w:rFonts w:eastAsia="黑体"/>
          <w:szCs w:val="32"/>
        </w:rPr>
      </w:pPr>
    </w:p>
    <w:p w:rsidR="00404FEC" w:rsidRDefault="00404FEC">
      <w:pPr>
        <w:spacing w:afterLines="50" w:after="156" w:line="600" w:lineRule="exact"/>
        <w:ind w:firstLineChars="200" w:firstLine="640"/>
        <w:rPr>
          <w:rFonts w:eastAsia="黑体"/>
          <w:szCs w:val="32"/>
        </w:rPr>
      </w:pPr>
    </w:p>
    <w:p w:rsidR="00404FEC" w:rsidRDefault="00A50D12">
      <w:pPr>
        <w:numPr>
          <w:ilvl w:val="0"/>
          <w:numId w:val="1"/>
        </w:numPr>
        <w:spacing w:afterLines="50" w:after="156" w:line="600" w:lineRule="exact"/>
        <w:ind w:firstLineChars="200" w:firstLine="640"/>
        <w:rPr>
          <w:rFonts w:eastAsia="黑体"/>
          <w:szCs w:val="32"/>
        </w:rPr>
      </w:pPr>
      <w:r>
        <w:rPr>
          <w:rFonts w:eastAsia="黑体"/>
          <w:szCs w:val="32"/>
        </w:rPr>
        <w:lastRenderedPageBreak/>
        <w:t>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404FEC">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404FEC" w:rsidRDefault="00A50D12">
            <w:pPr>
              <w:widowControl/>
              <w:autoSpaceDE/>
              <w:autoSpaceDN/>
              <w:snapToGrid/>
              <w:spacing w:line="240" w:lineRule="auto"/>
              <w:ind w:firstLine="0"/>
              <w:jc w:val="left"/>
              <w:rPr>
                <w:rFonts w:eastAsia="楷体"/>
                <w:snapToGrid/>
                <w:kern w:val="2"/>
                <w:sz w:val="20"/>
                <w:szCs w:val="24"/>
              </w:rPr>
            </w:pPr>
            <w:r>
              <w:rPr>
                <w:rFonts w:eastAsia="楷体"/>
                <w:snapToGrid/>
                <w:kern w:val="2"/>
                <w:sz w:val="20"/>
                <w:szCs w:val="24"/>
              </w:rPr>
              <w:t>（本列数据的勾</w:t>
            </w:r>
            <w:proofErr w:type="gramStart"/>
            <w:r>
              <w:rPr>
                <w:rFonts w:eastAsia="楷体"/>
                <w:snapToGrid/>
                <w:kern w:val="2"/>
                <w:sz w:val="20"/>
                <w:szCs w:val="24"/>
              </w:rPr>
              <w:t>稽</w:t>
            </w:r>
            <w:proofErr w:type="gramEnd"/>
            <w:r>
              <w:rPr>
                <w:rFonts w:eastAsia="楷体"/>
                <w:snapToGrid/>
                <w:kern w:val="2"/>
                <w:sz w:val="20"/>
                <w:szCs w:val="24"/>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申请人情况</w:t>
            </w:r>
          </w:p>
        </w:tc>
      </w:tr>
      <w:tr w:rsidR="00404FEC">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楷体"/>
                <w:snapToGrid/>
                <w:kern w:val="2"/>
                <w:sz w:val="20"/>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总计</w:t>
            </w:r>
          </w:p>
        </w:tc>
      </w:tr>
      <w:tr w:rsidR="00404FEC">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楷体"/>
                <w:snapToGrid/>
                <w:kern w:val="2"/>
                <w:sz w:val="20"/>
                <w:szCs w:val="24"/>
              </w:rPr>
            </w:pPr>
          </w:p>
        </w:tc>
        <w:tc>
          <w:tcPr>
            <w:tcW w:w="850" w:type="dxa"/>
            <w:vMerge/>
            <w:tcBorders>
              <w:top w:val="nil"/>
              <w:left w:val="nil"/>
              <w:bottom w:val="single" w:sz="8" w:space="0" w:color="auto"/>
              <w:right w:val="single" w:sz="8" w:space="0" w:color="auto"/>
            </w:tcBorders>
            <w:vAlign w:val="center"/>
          </w:tcPr>
          <w:p w:rsidR="00404FEC" w:rsidRDefault="00404FEC">
            <w:pPr>
              <w:widowControl/>
              <w:autoSpaceDE/>
              <w:autoSpaceDN/>
              <w:snapToGrid/>
              <w:spacing w:line="240" w:lineRule="auto"/>
              <w:ind w:firstLine="0"/>
              <w:jc w:val="center"/>
              <w:rPr>
                <w:rFonts w:eastAsia="楷体"/>
                <w:snapToGrid/>
                <w:kern w:val="2"/>
                <w:sz w:val="20"/>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商业</w:t>
            </w:r>
          </w:p>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科研</w:t>
            </w:r>
          </w:p>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其他</w:t>
            </w:r>
          </w:p>
        </w:tc>
        <w:tc>
          <w:tcPr>
            <w:tcW w:w="756" w:type="dxa"/>
            <w:vMerge/>
            <w:tcBorders>
              <w:top w:val="single" w:sz="8" w:space="0" w:color="auto"/>
              <w:left w:val="nil"/>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楷体"/>
                <w:snapToGrid/>
                <w:kern w:val="2"/>
                <w:sz w:val="20"/>
                <w:szCs w:val="24"/>
              </w:rPr>
            </w:pPr>
          </w:p>
        </w:tc>
      </w:tr>
      <w:tr w:rsidR="00404FEC">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6</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6</w:t>
            </w:r>
          </w:p>
        </w:tc>
      </w:tr>
      <w:tr w:rsidR="00404FEC">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rsidR="00404FEC">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1</w:t>
            </w:r>
          </w:p>
        </w:tc>
      </w:tr>
      <w:tr w:rsidR="00404FEC">
        <w:trPr>
          <w:jc w:val="center"/>
        </w:trPr>
        <w:tc>
          <w:tcPr>
            <w:tcW w:w="0" w:type="auto"/>
            <w:vMerge/>
            <w:tcBorders>
              <w:top w:val="nil"/>
              <w:left w:val="single" w:sz="8" w:space="0" w:color="auto"/>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（二）部分公开（区分处理的，只计这一情形，不计其他情形）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rsidR="00404FEC">
        <w:trPr>
          <w:jc w:val="center"/>
        </w:trPr>
        <w:tc>
          <w:tcPr>
            <w:tcW w:w="0" w:type="auto"/>
            <w:vMerge/>
            <w:tcBorders>
              <w:top w:val="nil"/>
              <w:left w:val="single" w:sz="8" w:space="0" w:color="auto"/>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1.</w:t>
            </w:r>
            <w:r>
              <w:rPr>
                <w:rFonts w:eastAsia="宋体"/>
                <w:snapToGrid/>
                <w:kern w:val="2"/>
                <w:sz w:val="20"/>
                <w:szCs w:val="24"/>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rsidR="00404FEC">
        <w:trPr>
          <w:jc w:val="center"/>
        </w:trPr>
        <w:tc>
          <w:tcPr>
            <w:tcW w:w="0" w:type="auto"/>
            <w:vMerge/>
            <w:tcBorders>
              <w:top w:val="nil"/>
              <w:left w:val="single" w:sz="8" w:space="0" w:color="auto"/>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0" w:type="auto"/>
            <w:vMerge/>
            <w:tcBorders>
              <w:top w:val="nil"/>
              <w:left w:val="nil"/>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2.</w:t>
            </w:r>
            <w:r>
              <w:rPr>
                <w:rFonts w:eastAsia="宋体"/>
                <w:snapToGrid/>
                <w:kern w:val="2"/>
                <w:sz w:val="20"/>
                <w:szCs w:val="24"/>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rsidR="00404FEC">
        <w:trPr>
          <w:jc w:val="center"/>
        </w:trPr>
        <w:tc>
          <w:tcPr>
            <w:tcW w:w="0" w:type="auto"/>
            <w:vMerge/>
            <w:tcBorders>
              <w:top w:val="nil"/>
              <w:left w:val="single" w:sz="8" w:space="0" w:color="auto"/>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0" w:type="auto"/>
            <w:vMerge/>
            <w:tcBorders>
              <w:top w:val="nil"/>
              <w:left w:val="nil"/>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3.</w:t>
            </w:r>
            <w:r>
              <w:rPr>
                <w:rFonts w:eastAsia="宋体"/>
                <w:snapToGrid/>
                <w:kern w:val="2"/>
                <w:sz w:val="20"/>
                <w:szCs w:val="24"/>
              </w:rPr>
              <w:t>危及</w:t>
            </w:r>
            <w:r>
              <w:rPr>
                <w:rFonts w:eastAsia="宋体"/>
                <w:snapToGrid/>
                <w:kern w:val="2"/>
                <w:sz w:val="20"/>
                <w:szCs w:val="24"/>
              </w:rPr>
              <w:t>“</w:t>
            </w:r>
            <w:r>
              <w:rPr>
                <w:rFonts w:eastAsia="宋体"/>
                <w:snapToGrid/>
                <w:kern w:val="2"/>
                <w:sz w:val="20"/>
                <w:szCs w:val="24"/>
              </w:rPr>
              <w:t>三安全</w:t>
            </w:r>
            <w:proofErr w:type="gramStart"/>
            <w:r>
              <w:rPr>
                <w:rFonts w:eastAsia="宋体"/>
                <w:snapToGrid/>
                <w:kern w:val="2"/>
                <w:sz w:val="20"/>
                <w:szCs w:val="24"/>
              </w:rPr>
              <w:t>一</w:t>
            </w:r>
            <w:proofErr w:type="gramEnd"/>
            <w:r>
              <w:rPr>
                <w:rFonts w:eastAsia="宋体"/>
                <w:snapToGrid/>
                <w:kern w:val="2"/>
                <w:sz w:val="20"/>
                <w:szCs w:val="24"/>
              </w:rPr>
              <w:t>稳定</w:t>
            </w:r>
            <w:r>
              <w:rPr>
                <w:rFonts w:eastAsia="宋体"/>
                <w:snapToGrid/>
                <w:kern w:val="2"/>
                <w:sz w:val="20"/>
                <w:szCs w:val="24"/>
              </w:rPr>
              <w:t>”</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rsidR="00404FEC">
        <w:trPr>
          <w:jc w:val="center"/>
        </w:trPr>
        <w:tc>
          <w:tcPr>
            <w:tcW w:w="0" w:type="auto"/>
            <w:vMerge/>
            <w:tcBorders>
              <w:top w:val="nil"/>
              <w:left w:val="single" w:sz="8" w:space="0" w:color="auto"/>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0" w:type="auto"/>
            <w:vMerge/>
            <w:tcBorders>
              <w:top w:val="nil"/>
              <w:left w:val="nil"/>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4.</w:t>
            </w:r>
            <w:r>
              <w:rPr>
                <w:rFonts w:eastAsia="宋体"/>
                <w:snapToGrid/>
                <w:kern w:val="2"/>
                <w:sz w:val="20"/>
                <w:szCs w:val="24"/>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rsidR="00404FEC">
        <w:trPr>
          <w:jc w:val="center"/>
        </w:trPr>
        <w:tc>
          <w:tcPr>
            <w:tcW w:w="0" w:type="auto"/>
            <w:vMerge/>
            <w:tcBorders>
              <w:top w:val="nil"/>
              <w:left w:val="single" w:sz="8" w:space="0" w:color="auto"/>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0" w:type="auto"/>
            <w:vMerge/>
            <w:tcBorders>
              <w:top w:val="nil"/>
              <w:left w:val="nil"/>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5.</w:t>
            </w:r>
            <w:r>
              <w:rPr>
                <w:rFonts w:eastAsia="宋体"/>
                <w:snapToGrid/>
                <w:kern w:val="2"/>
                <w:sz w:val="20"/>
                <w:szCs w:val="24"/>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rsidR="00404FEC">
        <w:trPr>
          <w:jc w:val="center"/>
        </w:trPr>
        <w:tc>
          <w:tcPr>
            <w:tcW w:w="0" w:type="auto"/>
            <w:vMerge/>
            <w:tcBorders>
              <w:top w:val="nil"/>
              <w:left w:val="single" w:sz="8" w:space="0" w:color="auto"/>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0" w:type="auto"/>
            <w:vMerge/>
            <w:tcBorders>
              <w:top w:val="nil"/>
              <w:left w:val="nil"/>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6.</w:t>
            </w:r>
            <w:r>
              <w:rPr>
                <w:rFonts w:eastAsia="宋体"/>
                <w:snapToGrid/>
                <w:kern w:val="2"/>
                <w:sz w:val="20"/>
                <w:szCs w:val="24"/>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rsidR="00404FEC">
        <w:trPr>
          <w:jc w:val="center"/>
        </w:trPr>
        <w:tc>
          <w:tcPr>
            <w:tcW w:w="0" w:type="auto"/>
            <w:vMerge/>
            <w:tcBorders>
              <w:top w:val="nil"/>
              <w:left w:val="single" w:sz="8" w:space="0" w:color="auto"/>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0" w:type="auto"/>
            <w:vMerge/>
            <w:tcBorders>
              <w:top w:val="nil"/>
              <w:left w:val="nil"/>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7.</w:t>
            </w:r>
            <w:r>
              <w:rPr>
                <w:rFonts w:eastAsia="宋体"/>
                <w:snapToGrid/>
                <w:kern w:val="2"/>
                <w:sz w:val="20"/>
                <w:szCs w:val="24"/>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rsidR="00404FEC">
        <w:trPr>
          <w:jc w:val="center"/>
        </w:trPr>
        <w:tc>
          <w:tcPr>
            <w:tcW w:w="0" w:type="auto"/>
            <w:vMerge/>
            <w:tcBorders>
              <w:top w:val="nil"/>
              <w:left w:val="single" w:sz="8" w:space="0" w:color="auto"/>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0" w:type="auto"/>
            <w:vMerge/>
            <w:tcBorders>
              <w:top w:val="nil"/>
              <w:left w:val="nil"/>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8.</w:t>
            </w:r>
            <w:r>
              <w:rPr>
                <w:rFonts w:eastAsia="宋体"/>
                <w:snapToGrid/>
                <w:kern w:val="2"/>
                <w:sz w:val="20"/>
                <w:szCs w:val="24"/>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rsidR="00404FEC">
        <w:trPr>
          <w:jc w:val="center"/>
        </w:trPr>
        <w:tc>
          <w:tcPr>
            <w:tcW w:w="0" w:type="auto"/>
            <w:vMerge/>
            <w:tcBorders>
              <w:top w:val="nil"/>
              <w:left w:val="single" w:sz="8" w:space="0" w:color="auto"/>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1.</w:t>
            </w:r>
            <w:r>
              <w:rPr>
                <w:rFonts w:eastAsia="宋体"/>
                <w:snapToGrid/>
                <w:kern w:val="2"/>
                <w:sz w:val="20"/>
                <w:szCs w:val="24"/>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3</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3</w:t>
            </w:r>
          </w:p>
        </w:tc>
      </w:tr>
      <w:tr w:rsidR="00404FEC">
        <w:trPr>
          <w:jc w:val="center"/>
        </w:trPr>
        <w:tc>
          <w:tcPr>
            <w:tcW w:w="0" w:type="auto"/>
            <w:vMerge/>
            <w:tcBorders>
              <w:top w:val="nil"/>
              <w:left w:val="single" w:sz="8" w:space="0" w:color="auto"/>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0" w:type="auto"/>
            <w:vMerge/>
            <w:tcBorders>
              <w:top w:val="nil"/>
              <w:left w:val="nil"/>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2.</w:t>
            </w:r>
            <w:r>
              <w:rPr>
                <w:rFonts w:eastAsia="宋体"/>
                <w:snapToGrid/>
                <w:kern w:val="2"/>
                <w:sz w:val="20"/>
                <w:szCs w:val="24"/>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rsidR="00404FEC">
        <w:trPr>
          <w:jc w:val="center"/>
        </w:trPr>
        <w:tc>
          <w:tcPr>
            <w:tcW w:w="0" w:type="auto"/>
            <w:vMerge/>
            <w:tcBorders>
              <w:top w:val="nil"/>
              <w:left w:val="single" w:sz="8" w:space="0" w:color="auto"/>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0" w:type="auto"/>
            <w:vMerge/>
            <w:tcBorders>
              <w:top w:val="nil"/>
              <w:left w:val="nil"/>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3.</w:t>
            </w:r>
            <w:r>
              <w:rPr>
                <w:rFonts w:eastAsia="宋体"/>
                <w:snapToGrid/>
                <w:kern w:val="2"/>
                <w:sz w:val="20"/>
                <w:szCs w:val="24"/>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rsidR="00404FEC">
        <w:trPr>
          <w:jc w:val="center"/>
        </w:trPr>
        <w:tc>
          <w:tcPr>
            <w:tcW w:w="0" w:type="auto"/>
            <w:vMerge/>
            <w:tcBorders>
              <w:top w:val="nil"/>
              <w:left w:val="single" w:sz="8" w:space="0" w:color="auto"/>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（五）</w:t>
            </w:r>
            <w:proofErr w:type="gramStart"/>
            <w:r>
              <w:rPr>
                <w:rFonts w:eastAsia="宋体"/>
                <w:snapToGrid/>
                <w:kern w:val="2"/>
                <w:sz w:val="20"/>
                <w:szCs w:val="24"/>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1.</w:t>
            </w:r>
            <w:r>
              <w:rPr>
                <w:rFonts w:eastAsia="宋体"/>
                <w:snapToGrid/>
                <w:kern w:val="2"/>
                <w:sz w:val="20"/>
                <w:szCs w:val="24"/>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rsidR="00404FEC">
        <w:trPr>
          <w:jc w:val="center"/>
        </w:trPr>
        <w:tc>
          <w:tcPr>
            <w:tcW w:w="0" w:type="auto"/>
            <w:vMerge/>
            <w:tcBorders>
              <w:top w:val="nil"/>
              <w:left w:val="single" w:sz="8" w:space="0" w:color="auto"/>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0" w:type="auto"/>
            <w:vMerge/>
            <w:tcBorders>
              <w:top w:val="nil"/>
              <w:left w:val="nil"/>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2.</w:t>
            </w:r>
            <w:r>
              <w:rPr>
                <w:rFonts w:eastAsia="宋体"/>
                <w:snapToGrid/>
                <w:kern w:val="2"/>
                <w:sz w:val="20"/>
                <w:szCs w:val="24"/>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rsidR="00404FEC">
        <w:trPr>
          <w:jc w:val="center"/>
        </w:trPr>
        <w:tc>
          <w:tcPr>
            <w:tcW w:w="0" w:type="auto"/>
            <w:vMerge/>
            <w:tcBorders>
              <w:top w:val="nil"/>
              <w:left w:val="single" w:sz="8" w:space="0" w:color="auto"/>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0" w:type="auto"/>
            <w:vMerge/>
            <w:tcBorders>
              <w:top w:val="nil"/>
              <w:left w:val="nil"/>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3.</w:t>
            </w:r>
            <w:r>
              <w:rPr>
                <w:rFonts w:eastAsia="宋体"/>
                <w:snapToGrid/>
                <w:kern w:val="2"/>
                <w:sz w:val="20"/>
                <w:szCs w:val="24"/>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rsidR="00404FEC">
        <w:trPr>
          <w:jc w:val="center"/>
        </w:trPr>
        <w:tc>
          <w:tcPr>
            <w:tcW w:w="0" w:type="auto"/>
            <w:vMerge/>
            <w:tcBorders>
              <w:top w:val="nil"/>
              <w:left w:val="single" w:sz="8" w:space="0" w:color="auto"/>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0" w:type="auto"/>
            <w:vMerge/>
            <w:tcBorders>
              <w:top w:val="nil"/>
              <w:left w:val="nil"/>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4.</w:t>
            </w:r>
            <w:r>
              <w:rPr>
                <w:rFonts w:eastAsia="宋体"/>
                <w:snapToGrid/>
                <w:kern w:val="2"/>
                <w:sz w:val="20"/>
                <w:szCs w:val="24"/>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rsidR="00404FEC">
        <w:trPr>
          <w:trHeight w:val="779"/>
          <w:jc w:val="center"/>
        </w:trPr>
        <w:tc>
          <w:tcPr>
            <w:tcW w:w="0" w:type="auto"/>
            <w:vMerge/>
            <w:tcBorders>
              <w:top w:val="nil"/>
              <w:left w:val="single" w:sz="8" w:space="0" w:color="auto"/>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0" w:type="auto"/>
            <w:vMerge/>
            <w:tcBorders>
              <w:top w:val="nil"/>
              <w:left w:val="nil"/>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5.</w:t>
            </w:r>
            <w:r>
              <w:rPr>
                <w:rFonts w:eastAsia="宋体"/>
                <w:snapToGrid/>
                <w:kern w:val="2"/>
                <w:sz w:val="20"/>
                <w:szCs w:val="24"/>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rsidR="00404FEC">
        <w:trPr>
          <w:jc w:val="center"/>
        </w:trPr>
        <w:tc>
          <w:tcPr>
            <w:tcW w:w="0" w:type="auto"/>
            <w:vMerge/>
            <w:tcBorders>
              <w:top w:val="nil"/>
              <w:left w:val="single" w:sz="8" w:space="0" w:color="auto"/>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1.</w:t>
            </w:r>
            <w:r>
              <w:rPr>
                <w:rFonts w:eastAsia="宋体"/>
                <w:snapToGrid/>
                <w:kern w:val="2"/>
                <w:sz w:val="20"/>
                <w:szCs w:val="24"/>
              </w:rPr>
              <w:t>申请人无正当理由逾期</w:t>
            </w:r>
            <w:proofErr w:type="gramStart"/>
            <w:r>
              <w:rPr>
                <w:rFonts w:eastAsia="宋体"/>
                <w:snapToGrid/>
                <w:kern w:val="2"/>
                <w:sz w:val="20"/>
                <w:szCs w:val="24"/>
              </w:rPr>
              <w:t>不</w:t>
            </w:r>
            <w:proofErr w:type="gramEnd"/>
            <w:r>
              <w:rPr>
                <w:rFonts w:eastAsia="宋体"/>
                <w:snapToGrid/>
                <w:kern w:val="2"/>
                <w:sz w:val="20"/>
                <w:szCs w:val="24"/>
              </w:rPr>
              <w:t>补正、行政机关</w:t>
            </w:r>
            <w:proofErr w:type="gramStart"/>
            <w:r>
              <w:rPr>
                <w:rFonts w:eastAsia="宋体"/>
                <w:snapToGrid/>
                <w:kern w:val="2"/>
                <w:sz w:val="20"/>
                <w:szCs w:val="24"/>
              </w:rPr>
              <w:t>不</w:t>
            </w:r>
            <w:proofErr w:type="gramEnd"/>
            <w:r>
              <w:rPr>
                <w:rFonts w:eastAsia="宋体"/>
                <w:snapToGrid/>
                <w:kern w:val="2"/>
                <w:sz w:val="20"/>
                <w:szCs w:val="24"/>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rsidR="00404FEC">
        <w:trPr>
          <w:jc w:val="center"/>
        </w:trPr>
        <w:tc>
          <w:tcPr>
            <w:tcW w:w="0" w:type="auto"/>
            <w:vMerge/>
            <w:tcBorders>
              <w:top w:val="nil"/>
              <w:left w:val="single" w:sz="8" w:space="0" w:color="auto"/>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0" w:type="auto"/>
            <w:vMerge/>
            <w:tcBorders>
              <w:top w:val="inset" w:sz="8" w:space="0" w:color="auto"/>
              <w:left w:val="nil"/>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2.</w:t>
            </w:r>
            <w:r>
              <w:rPr>
                <w:rFonts w:eastAsia="宋体"/>
                <w:snapToGrid/>
                <w:kern w:val="2"/>
                <w:sz w:val="20"/>
                <w:szCs w:val="24"/>
              </w:rPr>
              <w:t>申请人逾期未按收费通知要求缴纳费用、行政机关</w:t>
            </w:r>
            <w:proofErr w:type="gramStart"/>
            <w:r>
              <w:rPr>
                <w:rFonts w:eastAsia="宋体"/>
                <w:snapToGrid/>
                <w:kern w:val="2"/>
                <w:sz w:val="20"/>
                <w:szCs w:val="24"/>
              </w:rPr>
              <w:t>不</w:t>
            </w:r>
            <w:proofErr w:type="gramEnd"/>
            <w:r>
              <w:rPr>
                <w:rFonts w:eastAsia="宋体"/>
                <w:snapToGrid/>
                <w:kern w:val="2"/>
                <w:sz w:val="20"/>
                <w:szCs w:val="24"/>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rsidR="00404FEC">
        <w:trPr>
          <w:jc w:val="center"/>
        </w:trPr>
        <w:tc>
          <w:tcPr>
            <w:tcW w:w="0" w:type="auto"/>
            <w:vMerge/>
            <w:tcBorders>
              <w:top w:val="nil"/>
              <w:left w:val="single" w:sz="8" w:space="0" w:color="auto"/>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0" w:type="auto"/>
            <w:vMerge/>
            <w:tcBorders>
              <w:top w:val="inset" w:sz="8" w:space="0" w:color="auto"/>
              <w:left w:val="nil"/>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3.</w:t>
            </w:r>
            <w:r>
              <w:rPr>
                <w:rFonts w:eastAsia="宋体"/>
                <w:snapToGrid/>
                <w:kern w:val="2"/>
                <w:sz w:val="20"/>
                <w:szCs w:val="24"/>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rsidR="00404FEC">
        <w:trPr>
          <w:jc w:val="center"/>
        </w:trPr>
        <w:tc>
          <w:tcPr>
            <w:tcW w:w="0" w:type="auto"/>
            <w:vMerge/>
            <w:tcBorders>
              <w:top w:val="nil"/>
              <w:left w:val="single" w:sz="8" w:space="0" w:color="auto"/>
              <w:bottom w:val="inset" w:sz="8" w:space="0" w:color="auto"/>
              <w:right w:val="single" w:sz="8" w:space="0" w:color="auto"/>
            </w:tcBorders>
            <w:vAlign w:val="center"/>
          </w:tcPr>
          <w:p w:rsidR="00404FEC" w:rsidRDefault="00404FEC">
            <w:pPr>
              <w:widowControl/>
              <w:autoSpaceDE/>
              <w:autoSpaceDN/>
              <w:snapToGrid/>
              <w:spacing w:line="240" w:lineRule="auto"/>
              <w:ind w:firstLine="0"/>
              <w:jc w:val="left"/>
              <w:rPr>
                <w:rFonts w:eastAsia="宋体"/>
                <w:snapToGrid/>
                <w:kern w:val="2"/>
                <w:sz w:val="20"/>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4</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4</w:t>
            </w:r>
          </w:p>
        </w:tc>
      </w:tr>
      <w:tr w:rsidR="00404FEC">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2</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04FEC" w:rsidRDefault="00A50D1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2</w:t>
            </w:r>
          </w:p>
        </w:tc>
      </w:tr>
    </w:tbl>
    <w:p w:rsidR="00404FEC" w:rsidRDefault="00A50D12">
      <w:pPr>
        <w:spacing w:afterLines="50" w:after="156" w:line="600" w:lineRule="exact"/>
        <w:ind w:firstLineChars="200" w:firstLine="640"/>
        <w:rPr>
          <w:rFonts w:eastAsia="黑体"/>
          <w:sz w:val="30"/>
          <w:szCs w:val="30"/>
        </w:rPr>
      </w:pPr>
      <w:r>
        <w:rPr>
          <w:rFonts w:eastAsia="黑体"/>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404FEC">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行政诉讼</w:t>
            </w:r>
          </w:p>
        </w:tc>
      </w:tr>
      <w:tr w:rsidR="00404FEC">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结果</w:t>
            </w:r>
            <w:r>
              <w:rPr>
                <w:rFonts w:eastAsia="宋体"/>
                <w:snapToGrid/>
                <w:kern w:val="2"/>
                <w:sz w:val="20"/>
                <w:szCs w:val="24"/>
              </w:rPr>
              <w:br/>
            </w:r>
            <w:r>
              <w:rPr>
                <w:rFonts w:eastAsia="宋体"/>
                <w:snapToGrid/>
                <w:kern w:val="2"/>
                <w:sz w:val="20"/>
                <w:szCs w:val="24"/>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其他</w:t>
            </w:r>
            <w:r>
              <w:rPr>
                <w:rFonts w:eastAsia="宋体"/>
                <w:snapToGrid/>
                <w:kern w:val="2"/>
                <w:sz w:val="20"/>
                <w:szCs w:val="24"/>
              </w:rPr>
              <w:br/>
            </w:r>
            <w:r>
              <w:rPr>
                <w:rFonts w:eastAsia="宋体"/>
                <w:snapToGrid/>
                <w:kern w:val="2"/>
                <w:sz w:val="20"/>
                <w:szCs w:val="24"/>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尚未</w:t>
            </w:r>
            <w:r>
              <w:rPr>
                <w:rFonts w:eastAsia="宋体"/>
                <w:snapToGrid/>
                <w:kern w:val="2"/>
                <w:sz w:val="20"/>
                <w:szCs w:val="24"/>
              </w:rPr>
              <w:br/>
            </w:r>
            <w:r>
              <w:rPr>
                <w:rFonts w:eastAsia="宋体"/>
                <w:snapToGrid/>
                <w:kern w:val="2"/>
                <w:sz w:val="20"/>
                <w:szCs w:val="24"/>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复议后起诉</w:t>
            </w:r>
          </w:p>
        </w:tc>
      </w:tr>
      <w:tr w:rsidR="00404FEC">
        <w:trPr>
          <w:jc w:val="center"/>
        </w:trPr>
        <w:tc>
          <w:tcPr>
            <w:tcW w:w="0" w:type="auto"/>
            <w:vMerge/>
            <w:tcBorders>
              <w:top w:val="nil"/>
              <w:left w:val="single" w:sz="8" w:space="0" w:color="auto"/>
              <w:bottom w:val="single" w:sz="8" w:space="0" w:color="auto"/>
              <w:right w:val="single" w:sz="8" w:space="0" w:color="auto"/>
            </w:tcBorders>
            <w:vAlign w:val="center"/>
          </w:tcPr>
          <w:p w:rsidR="00404FEC" w:rsidRDefault="00404FEC">
            <w:pPr>
              <w:autoSpaceDE/>
              <w:autoSpaceDN/>
              <w:snapToGrid/>
              <w:spacing w:line="240" w:lineRule="auto"/>
              <w:ind w:firstLine="0"/>
              <w:jc w:val="center"/>
              <w:rPr>
                <w:rFonts w:eastAsia="宋体"/>
                <w:snapToGrid/>
                <w:kern w:val="2"/>
                <w:sz w:val="20"/>
                <w:szCs w:val="24"/>
              </w:rPr>
            </w:pPr>
          </w:p>
        </w:tc>
        <w:tc>
          <w:tcPr>
            <w:tcW w:w="0" w:type="auto"/>
            <w:vMerge/>
            <w:tcBorders>
              <w:top w:val="nil"/>
              <w:left w:val="single" w:sz="8" w:space="0" w:color="auto"/>
              <w:bottom w:val="single" w:sz="8" w:space="0" w:color="auto"/>
              <w:right w:val="single" w:sz="8" w:space="0" w:color="auto"/>
            </w:tcBorders>
            <w:vAlign w:val="center"/>
          </w:tcPr>
          <w:p w:rsidR="00404FEC" w:rsidRDefault="00404FEC">
            <w:pPr>
              <w:autoSpaceDE/>
              <w:autoSpaceDN/>
              <w:snapToGrid/>
              <w:spacing w:line="240" w:lineRule="auto"/>
              <w:ind w:firstLine="0"/>
              <w:jc w:val="center"/>
              <w:rPr>
                <w:rFonts w:eastAsia="宋体"/>
                <w:snapToGrid/>
                <w:kern w:val="2"/>
                <w:sz w:val="20"/>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404FEC" w:rsidRDefault="00404FEC">
            <w:pPr>
              <w:autoSpaceDE/>
              <w:autoSpaceDN/>
              <w:snapToGrid/>
              <w:spacing w:line="240" w:lineRule="auto"/>
              <w:ind w:firstLine="0"/>
              <w:jc w:val="center"/>
              <w:rPr>
                <w:rFonts w:eastAsia="宋体"/>
                <w:snapToGrid/>
                <w:kern w:val="2"/>
                <w:sz w:val="20"/>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404FEC" w:rsidRDefault="00404FEC">
            <w:pPr>
              <w:autoSpaceDE/>
              <w:autoSpaceDN/>
              <w:snapToGrid/>
              <w:spacing w:line="240" w:lineRule="auto"/>
              <w:ind w:firstLine="0"/>
              <w:jc w:val="center"/>
              <w:rPr>
                <w:rFonts w:eastAsia="宋体"/>
                <w:snapToGrid/>
                <w:kern w:val="2"/>
                <w:sz w:val="20"/>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404FEC" w:rsidRDefault="00404FEC">
            <w:pPr>
              <w:autoSpaceDE/>
              <w:autoSpaceDN/>
              <w:snapToGrid/>
              <w:spacing w:line="240" w:lineRule="auto"/>
              <w:ind w:firstLine="0"/>
              <w:jc w:val="center"/>
              <w:rPr>
                <w:rFonts w:eastAsia="宋体"/>
                <w:snapToGrid/>
                <w:kern w:val="2"/>
                <w:sz w:val="20"/>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结果</w:t>
            </w:r>
            <w:r>
              <w:rPr>
                <w:rFonts w:eastAsia="宋体"/>
                <w:snapToGrid/>
                <w:kern w:val="2"/>
                <w:sz w:val="20"/>
                <w:szCs w:val="24"/>
              </w:rPr>
              <w:br/>
            </w:r>
            <w:r>
              <w:rPr>
                <w:rFonts w:eastAsia="宋体"/>
                <w:snapToGrid/>
                <w:kern w:val="2"/>
                <w:sz w:val="20"/>
                <w:szCs w:val="24"/>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结果</w:t>
            </w:r>
            <w:r>
              <w:rPr>
                <w:rFonts w:eastAsia="宋体"/>
                <w:snapToGrid/>
                <w:kern w:val="2"/>
                <w:sz w:val="20"/>
                <w:szCs w:val="24"/>
              </w:rPr>
              <w:br/>
            </w:r>
            <w:r>
              <w:rPr>
                <w:rFonts w:eastAsia="宋体"/>
                <w:snapToGrid/>
                <w:kern w:val="2"/>
                <w:sz w:val="20"/>
                <w:szCs w:val="24"/>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其他</w:t>
            </w:r>
            <w:r>
              <w:rPr>
                <w:rFonts w:eastAsia="宋体"/>
                <w:snapToGrid/>
                <w:kern w:val="2"/>
                <w:sz w:val="20"/>
                <w:szCs w:val="24"/>
              </w:rPr>
              <w:br/>
            </w:r>
            <w:r>
              <w:rPr>
                <w:rFonts w:eastAsia="宋体"/>
                <w:snapToGrid/>
                <w:kern w:val="2"/>
                <w:sz w:val="20"/>
                <w:szCs w:val="24"/>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尚未</w:t>
            </w:r>
            <w:r>
              <w:rPr>
                <w:rFonts w:eastAsia="宋体"/>
                <w:snapToGrid/>
                <w:kern w:val="2"/>
                <w:sz w:val="20"/>
                <w:szCs w:val="24"/>
              </w:rPr>
              <w:br/>
            </w:r>
            <w:r>
              <w:rPr>
                <w:rFonts w:eastAsia="宋体"/>
                <w:snapToGrid/>
                <w:kern w:val="2"/>
                <w:sz w:val="20"/>
                <w:szCs w:val="24"/>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结果</w:t>
            </w:r>
            <w:r>
              <w:rPr>
                <w:rFonts w:eastAsia="宋体"/>
                <w:snapToGrid/>
                <w:kern w:val="2"/>
                <w:sz w:val="20"/>
                <w:szCs w:val="24"/>
              </w:rPr>
              <w:br/>
            </w:r>
            <w:r>
              <w:rPr>
                <w:rFonts w:eastAsia="宋体"/>
                <w:snapToGrid/>
                <w:kern w:val="2"/>
                <w:sz w:val="20"/>
                <w:szCs w:val="24"/>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结果</w:t>
            </w:r>
            <w:r>
              <w:rPr>
                <w:rFonts w:eastAsia="宋体"/>
                <w:snapToGrid/>
                <w:kern w:val="2"/>
                <w:sz w:val="20"/>
                <w:szCs w:val="24"/>
              </w:rPr>
              <w:br/>
            </w:r>
            <w:r>
              <w:rPr>
                <w:rFonts w:eastAsia="宋体"/>
                <w:snapToGrid/>
                <w:kern w:val="2"/>
                <w:sz w:val="20"/>
                <w:szCs w:val="24"/>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其他</w:t>
            </w:r>
            <w:r>
              <w:rPr>
                <w:rFonts w:eastAsia="宋体"/>
                <w:snapToGrid/>
                <w:kern w:val="2"/>
                <w:sz w:val="20"/>
                <w:szCs w:val="24"/>
              </w:rPr>
              <w:br/>
            </w:r>
            <w:r>
              <w:rPr>
                <w:rFonts w:eastAsia="宋体"/>
                <w:snapToGrid/>
                <w:kern w:val="2"/>
                <w:sz w:val="20"/>
                <w:szCs w:val="24"/>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尚未</w:t>
            </w:r>
            <w:r>
              <w:rPr>
                <w:rFonts w:eastAsia="宋体"/>
                <w:snapToGrid/>
                <w:kern w:val="2"/>
                <w:sz w:val="20"/>
                <w:szCs w:val="24"/>
              </w:rPr>
              <w:br/>
            </w:r>
            <w:r>
              <w:rPr>
                <w:rFonts w:eastAsia="宋体"/>
                <w:snapToGrid/>
                <w:kern w:val="2"/>
                <w:sz w:val="20"/>
                <w:szCs w:val="24"/>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总计</w:t>
            </w:r>
          </w:p>
        </w:tc>
      </w:tr>
      <w:tr w:rsidR="00404FEC">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4FEC" w:rsidRDefault="00A50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bl>
    <w:p w:rsidR="00404FEC" w:rsidRDefault="00A50D12">
      <w:pPr>
        <w:spacing w:line="560" w:lineRule="exact"/>
        <w:ind w:firstLineChars="200" w:firstLine="640"/>
        <w:rPr>
          <w:rFonts w:eastAsia="黑体"/>
          <w:szCs w:val="32"/>
        </w:rPr>
      </w:pPr>
      <w:r>
        <w:rPr>
          <w:rFonts w:eastAsia="黑体"/>
          <w:szCs w:val="32"/>
        </w:rPr>
        <w:t>五、存在的主要问题及改进情况</w:t>
      </w:r>
    </w:p>
    <w:p w:rsidR="00404FEC" w:rsidRDefault="00A50D12">
      <w:pPr>
        <w:spacing w:line="560" w:lineRule="exact"/>
        <w:ind w:firstLineChars="200" w:firstLine="600"/>
        <w:rPr>
          <w:rFonts w:eastAsia="楷体_GB2312"/>
          <w:sz w:val="30"/>
          <w:szCs w:val="30"/>
        </w:rPr>
      </w:pPr>
      <w:r>
        <w:rPr>
          <w:rFonts w:eastAsia="楷体_GB2312"/>
          <w:sz w:val="30"/>
          <w:szCs w:val="30"/>
        </w:rPr>
        <w:t>（一）存在问题</w:t>
      </w:r>
    </w:p>
    <w:p w:rsidR="00404FEC" w:rsidRDefault="00A50D12">
      <w:pPr>
        <w:spacing w:line="560" w:lineRule="exact"/>
        <w:ind w:firstLineChars="200" w:firstLine="640"/>
        <w:rPr>
          <w:rFonts w:eastAsia="仿宋_GB2312"/>
          <w:szCs w:val="32"/>
        </w:rPr>
      </w:pPr>
      <w:r>
        <w:rPr>
          <w:rFonts w:eastAsia="仿宋_GB2312"/>
          <w:szCs w:val="32"/>
        </w:rPr>
        <w:t>一是依申请公开办理工作还需进一步加强，特别是对于本单位未制作的信息答复过于简单，导致申请人多次提交政府信息公开申请。</w:t>
      </w:r>
    </w:p>
    <w:p w:rsidR="00404FEC" w:rsidRDefault="00A50D12">
      <w:pPr>
        <w:spacing w:line="560" w:lineRule="exact"/>
        <w:ind w:firstLineChars="200" w:firstLine="640"/>
        <w:rPr>
          <w:rFonts w:eastAsia="仿宋_GB2312"/>
          <w:szCs w:val="32"/>
        </w:rPr>
      </w:pPr>
      <w:r>
        <w:rPr>
          <w:rFonts w:eastAsia="仿宋_GB2312"/>
          <w:szCs w:val="32"/>
        </w:rPr>
        <w:t>二是政策解读工作需要进一步提升，对出台的政策文件存在</w:t>
      </w:r>
      <w:r>
        <w:rPr>
          <w:rFonts w:eastAsia="仿宋_GB2312"/>
          <w:szCs w:val="32"/>
        </w:rPr>
        <w:t>“</w:t>
      </w:r>
      <w:r>
        <w:rPr>
          <w:rFonts w:eastAsia="仿宋_GB2312"/>
          <w:szCs w:val="32"/>
        </w:rPr>
        <w:t>应解读未解读</w:t>
      </w:r>
      <w:r>
        <w:rPr>
          <w:rFonts w:eastAsia="仿宋_GB2312"/>
          <w:szCs w:val="32"/>
        </w:rPr>
        <w:t>”</w:t>
      </w:r>
      <w:r>
        <w:rPr>
          <w:rFonts w:eastAsia="仿宋_GB2312"/>
          <w:szCs w:val="32"/>
        </w:rPr>
        <w:t>的问题。</w:t>
      </w:r>
    </w:p>
    <w:p w:rsidR="00404FEC" w:rsidRDefault="00A50D12">
      <w:pPr>
        <w:spacing w:line="560" w:lineRule="exact"/>
        <w:ind w:firstLineChars="200" w:firstLine="600"/>
        <w:rPr>
          <w:rFonts w:eastAsia="楷体_GB2312"/>
          <w:sz w:val="30"/>
          <w:szCs w:val="30"/>
        </w:rPr>
      </w:pPr>
      <w:r>
        <w:rPr>
          <w:rFonts w:eastAsia="楷体_GB2312"/>
          <w:sz w:val="30"/>
          <w:szCs w:val="30"/>
        </w:rPr>
        <w:t>（二）改进情况</w:t>
      </w:r>
    </w:p>
    <w:p w:rsidR="00404FEC" w:rsidRDefault="00A50D12">
      <w:pPr>
        <w:spacing w:line="560" w:lineRule="exact"/>
        <w:ind w:firstLineChars="200" w:firstLine="640"/>
        <w:rPr>
          <w:rFonts w:eastAsia="仿宋_GB2312"/>
          <w:szCs w:val="32"/>
        </w:rPr>
      </w:pPr>
      <w:r>
        <w:rPr>
          <w:rFonts w:eastAsia="仿宋_GB2312"/>
          <w:szCs w:val="32"/>
        </w:rPr>
        <w:t>一是加强依申请公开办理，在规范出具答复书的同时，主动与申请人对接，特别是对不存在的信息以及不属于本单位公开范围的信息</w:t>
      </w:r>
      <w:proofErr w:type="gramStart"/>
      <w:r>
        <w:rPr>
          <w:rFonts w:eastAsia="仿宋_GB2312"/>
          <w:szCs w:val="32"/>
        </w:rPr>
        <w:t>作出</w:t>
      </w:r>
      <w:proofErr w:type="gramEnd"/>
      <w:r>
        <w:rPr>
          <w:rFonts w:eastAsia="仿宋_GB2312"/>
          <w:szCs w:val="32"/>
        </w:rPr>
        <w:t>沟通解释，并帮助申请人积极协调信息制作单位获取所需信息，解决实际问题。年内对就同一事项提出的</w:t>
      </w:r>
      <w:r>
        <w:rPr>
          <w:rFonts w:eastAsia="仿宋_GB2312"/>
          <w:szCs w:val="32"/>
        </w:rPr>
        <w:t>3</w:t>
      </w:r>
      <w:r>
        <w:rPr>
          <w:rFonts w:eastAsia="仿宋_GB2312"/>
          <w:szCs w:val="32"/>
        </w:rPr>
        <w:t>件政府信息公开申请主动与申请人沟通，提高了答复质量。</w:t>
      </w:r>
    </w:p>
    <w:p w:rsidR="00404FEC" w:rsidRDefault="00A50D12">
      <w:pPr>
        <w:spacing w:line="560" w:lineRule="exact"/>
        <w:ind w:firstLineChars="200" w:firstLine="640"/>
        <w:rPr>
          <w:rFonts w:eastAsia="仿宋_GB2312"/>
          <w:szCs w:val="32"/>
        </w:rPr>
      </w:pPr>
      <w:r>
        <w:rPr>
          <w:rFonts w:eastAsia="仿宋_GB2312"/>
          <w:szCs w:val="32"/>
        </w:rPr>
        <w:t>二是加大政策解读力度，坚持政策文件与解读材料同步组织、同步起草、同步审签，同时对已公开的政策文件进行检查，未配发解读材料的及时整改。年内对</w:t>
      </w:r>
      <w:r>
        <w:rPr>
          <w:rFonts w:eastAsia="仿宋_GB2312"/>
          <w:szCs w:val="32"/>
        </w:rPr>
        <w:t>2</w:t>
      </w:r>
      <w:r>
        <w:rPr>
          <w:rFonts w:eastAsia="仿宋_GB2312"/>
          <w:szCs w:val="32"/>
        </w:rPr>
        <w:t>件</w:t>
      </w:r>
      <w:r>
        <w:rPr>
          <w:rFonts w:eastAsia="仿宋_GB2312"/>
          <w:szCs w:val="32"/>
        </w:rPr>
        <w:t>“</w:t>
      </w:r>
      <w:r>
        <w:rPr>
          <w:rFonts w:eastAsia="仿宋_GB2312"/>
          <w:szCs w:val="32"/>
        </w:rPr>
        <w:t>应解读未解读</w:t>
      </w:r>
      <w:r>
        <w:rPr>
          <w:rFonts w:eastAsia="仿宋_GB2312"/>
          <w:szCs w:val="32"/>
        </w:rPr>
        <w:t>”</w:t>
      </w:r>
      <w:r>
        <w:rPr>
          <w:rFonts w:eastAsia="仿宋_GB2312"/>
          <w:szCs w:val="32"/>
        </w:rPr>
        <w:t>的政策文件开展了解读。</w:t>
      </w:r>
    </w:p>
    <w:p w:rsidR="00404FEC" w:rsidRDefault="00A50D12">
      <w:pPr>
        <w:spacing w:line="560" w:lineRule="exact"/>
        <w:ind w:firstLineChars="200" w:firstLine="640"/>
        <w:rPr>
          <w:rFonts w:eastAsia="黑体"/>
          <w:szCs w:val="32"/>
        </w:rPr>
      </w:pPr>
      <w:r>
        <w:rPr>
          <w:rFonts w:eastAsia="黑体"/>
          <w:szCs w:val="32"/>
        </w:rPr>
        <w:lastRenderedPageBreak/>
        <w:t>六、其他需要报告的事项</w:t>
      </w:r>
    </w:p>
    <w:p w:rsidR="00404FEC" w:rsidRDefault="00A50D12">
      <w:pPr>
        <w:spacing w:line="560" w:lineRule="exact"/>
        <w:ind w:firstLineChars="200" w:firstLine="600"/>
        <w:jc w:val="left"/>
        <w:rPr>
          <w:rFonts w:eastAsia="楷体_GB2312"/>
          <w:sz w:val="30"/>
          <w:szCs w:val="30"/>
        </w:rPr>
      </w:pPr>
      <w:r>
        <w:rPr>
          <w:rFonts w:eastAsia="楷体_GB2312"/>
          <w:sz w:val="30"/>
          <w:szCs w:val="30"/>
        </w:rPr>
        <w:t>（一）政府信息公开信息处理费收取情况</w:t>
      </w:r>
    </w:p>
    <w:p w:rsidR="00404FEC" w:rsidRDefault="00A50D12">
      <w:pPr>
        <w:spacing w:line="560" w:lineRule="exact"/>
        <w:ind w:firstLineChars="200" w:firstLine="640"/>
        <w:rPr>
          <w:rFonts w:eastAsia="仿宋_GB2312"/>
          <w:szCs w:val="32"/>
        </w:rPr>
      </w:pPr>
      <w:bookmarkStart w:id="0" w:name="OLE_LINK5"/>
      <w:bookmarkStart w:id="1" w:name="OLE_LINK4"/>
      <w:r>
        <w:rPr>
          <w:rFonts w:eastAsia="仿宋_GB2312"/>
          <w:szCs w:val="32"/>
        </w:rPr>
        <w:t>根据《国务院办公厅关于印发</w:t>
      </w:r>
      <w:r>
        <w:rPr>
          <w:rFonts w:eastAsia="仿宋_GB2312"/>
          <w:szCs w:val="32"/>
        </w:rPr>
        <w:t>&lt;</w:t>
      </w:r>
      <w:r>
        <w:rPr>
          <w:rFonts w:eastAsia="仿宋_GB2312"/>
          <w:szCs w:val="32"/>
        </w:rPr>
        <w:t>政府信息公开信息处理费管理办法</w:t>
      </w:r>
      <w:r>
        <w:rPr>
          <w:rFonts w:eastAsia="仿宋_GB2312"/>
          <w:szCs w:val="32"/>
        </w:rPr>
        <w:t>&gt;</w:t>
      </w:r>
      <w:r>
        <w:rPr>
          <w:rFonts w:eastAsia="仿宋_GB2312"/>
          <w:szCs w:val="32"/>
        </w:rPr>
        <w:t>的通知》（国办函〔</w:t>
      </w:r>
      <w:r>
        <w:rPr>
          <w:rFonts w:eastAsia="仿宋_GB2312"/>
          <w:szCs w:val="32"/>
        </w:rPr>
        <w:t>2020</w:t>
      </w:r>
      <w:r>
        <w:rPr>
          <w:rFonts w:eastAsia="仿宋_GB2312"/>
          <w:szCs w:val="32"/>
        </w:rPr>
        <w:t>〕</w:t>
      </w:r>
      <w:r>
        <w:rPr>
          <w:rFonts w:eastAsia="仿宋_GB2312"/>
          <w:szCs w:val="32"/>
        </w:rPr>
        <w:t>109</w:t>
      </w:r>
      <w:r>
        <w:rPr>
          <w:rFonts w:eastAsia="仿宋_GB2312"/>
          <w:szCs w:val="32"/>
        </w:rPr>
        <w:t>号）和《山东省人民政府办公厅关于做好政府信息公开信息处理费管理工作有关事项的通知》（鲁政办字〔</w:t>
      </w:r>
      <w:r>
        <w:rPr>
          <w:rFonts w:eastAsia="仿宋_GB2312"/>
          <w:szCs w:val="32"/>
        </w:rPr>
        <w:t>2020</w:t>
      </w:r>
      <w:r>
        <w:rPr>
          <w:rFonts w:eastAsia="仿宋_GB2312"/>
          <w:szCs w:val="32"/>
        </w:rPr>
        <w:t>〕</w:t>
      </w:r>
      <w:r>
        <w:rPr>
          <w:rFonts w:eastAsia="仿宋_GB2312"/>
          <w:szCs w:val="32"/>
        </w:rPr>
        <w:t>179</w:t>
      </w:r>
      <w:r>
        <w:rPr>
          <w:rFonts w:eastAsia="仿宋_GB2312"/>
          <w:szCs w:val="32"/>
        </w:rPr>
        <w:t>号）规定，</w:t>
      </w:r>
      <w:r>
        <w:rPr>
          <w:rFonts w:eastAsia="仿宋_GB2312"/>
          <w:szCs w:val="32"/>
        </w:rPr>
        <w:t>2024</w:t>
      </w:r>
      <w:r>
        <w:rPr>
          <w:rFonts w:eastAsia="仿宋_GB2312"/>
          <w:szCs w:val="32"/>
        </w:rPr>
        <w:t>年本机关在办理政府信息公开申请过程中未收取信息处理费。</w:t>
      </w:r>
    </w:p>
    <w:bookmarkEnd w:id="0"/>
    <w:bookmarkEnd w:id="1"/>
    <w:p w:rsidR="00404FEC" w:rsidRDefault="00A50D12">
      <w:pPr>
        <w:spacing w:line="560" w:lineRule="exact"/>
        <w:ind w:firstLineChars="200" w:firstLine="600"/>
        <w:jc w:val="left"/>
        <w:rPr>
          <w:rFonts w:eastAsia="楷体_GB2312"/>
          <w:sz w:val="30"/>
          <w:szCs w:val="30"/>
        </w:rPr>
      </w:pPr>
      <w:r>
        <w:rPr>
          <w:rFonts w:eastAsia="楷体_GB2312"/>
          <w:sz w:val="30"/>
          <w:szCs w:val="30"/>
        </w:rPr>
        <w:t>（二）落实上级年度政务公开工作要点情况</w:t>
      </w:r>
    </w:p>
    <w:p w:rsidR="00404FEC" w:rsidRDefault="00A50D12">
      <w:pPr>
        <w:spacing w:line="560" w:lineRule="exact"/>
        <w:ind w:firstLineChars="200" w:firstLine="640"/>
        <w:rPr>
          <w:rFonts w:eastAsia="仿宋_GB2312"/>
          <w:szCs w:val="32"/>
        </w:rPr>
      </w:pPr>
      <w:r>
        <w:rPr>
          <w:rFonts w:eastAsia="仿宋_GB2312"/>
          <w:szCs w:val="32"/>
        </w:rPr>
        <w:t>根据《</w:t>
      </w:r>
      <w:r>
        <w:rPr>
          <w:rFonts w:eastAsia="仿宋_GB2312"/>
          <w:szCs w:val="32"/>
        </w:rPr>
        <w:t>2024</w:t>
      </w:r>
      <w:r>
        <w:rPr>
          <w:rFonts w:eastAsia="仿宋_GB2312"/>
          <w:szCs w:val="32"/>
        </w:rPr>
        <w:t>年高青县政务公开工作方案》（</w:t>
      </w:r>
      <w:proofErr w:type="gramStart"/>
      <w:r>
        <w:rPr>
          <w:rFonts w:eastAsia="仿宋_GB2312"/>
          <w:szCs w:val="32"/>
        </w:rPr>
        <w:t>高政办</w:t>
      </w:r>
      <w:proofErr w:type="gramEnd"/>
      <w:r>
        <w:rPr>
          <w:rFonts w:eastAsia="仿宋_GB2312"/>
          <w:szCs w:val="32"/>
        </w:rPr>
        <w:t>字〔</w:t>
      </w:r>
      <w:r>
        <w:rPr>
          <w:rFonts w:eastAsia="仿宋_GB2312"/>
          <w:szCs w:val="32"/>
        </w:rPr>
        <w:t>2024</w:t>
      </w:r>
      <w:r>
        <w:rPr>
          <w:rFonts w:eastAsia="仿宋_GB2312"/>
          <w:szCs w:val="32"/>
        </w:rPr>
        <w:t>〕</w:t>
      </w:r>
      <w:r>
        <w:rPr>
          <w:rFonts w:eastAsia="仿宋_GB2312"/>
          <w:szCs w:val="32"/>
        </w:rPr>
        <w:t>11</w:t>
      </w:r>
      <w:r>
        <w:rPr>
          <w:rFonts w:eastAsia="仿宋_GB2312"/>
          <w:szCs w:val="32"/>
        </w:rPr>
        <w:t>号）要求，制定了《</w:t>
      </w:r>
      <w:r>
        <w:rPr>
          <w:rFonts w:eastAsia="仿宋_GB2312"/>
          <w:szCs w:val="32"/>
        </w:rPr>
        <w:t>2024</w:t>
      </w:r>
      <w:r>
        <w:rPr>
          <w:rFonts w:eastAsia="仿宋_GB2312"/>
          <w:szCs w:val="32"/>
        </w:rPr>
        <w:t>年高青县芦湖街道政务公开工作实施方案》，重点围绕以公开助</w:t>
      </w:r>
      <w:proofErr w:type="gramStart"/>
      <w:r>
        <w:rPr>
          <w:rFonts w:eastAsia="仿宋_GB2312"/>
          <w:szCs w:val="32"/>
        </w:rPr>
        <w:t>推重点</w:t>
      </w:r>
      <w:proofErr w:type="gramEnd"/>
      <w:r>
        <w:rPr>
          <w:rFonts w:eastAsia="仿宋_GB2312"/>
          <w:szCs w:val="32"/>
        </w:rPr>
        <w:t>工作落实、夯实政务公开基础等方面深化政务公开。一是开展送政策上门活动。组织社区</w:t>
      </w:r>
      <w:proofErr w:type="gramStart"/>
      <w:r>
        <w:rPr>
          <w:rFonts w:eastAsia="仿宋_GB2312"/>
          <w:szCs w:val="32"/>
        </w:rPr>
        <w:t>网格员</w:t>
      </w:r>
      <w:proofErr w:type="gramEnd"/>
      <w:r>
        <w:rPr>
          <w:rFonts w:eastAsia="仿宋_GB2312"/>
          <w:szCs w:val="32"/>
        </w:rPr>
        <w:t>深入社区、企业，面对面宣传讲解有关就业指导、助企</w:t>
      </w:r>
      <w:proofErr w:type="gramStart"/>
      <w:r>
        <w:rPr>
          <w:rFonts w:eastAsia="仿宋_GB2312"/>
          <w:szCs w:val="32"/>
        </w:rPr>
        <w:t>纾</w:t>
      </w:r>
      <w:proofErr w:type="gramEnd"/>
      <w:r>
        <w:rPr>
          <w:rFonts w:eastAsia="仿宋_GB2312"/>
          <w:szCs w:val="32"/>
        </w:rPr>
        <w:t>困等最新政策，并且将政策内容、申请流程、享受条件等对群众详尽告知，确保每位群众都能充分了解政策红利。社区</w:t>
      </w:r>
      <w:proofErr w:type="gramStart"/>
      <w:r>
        <w:rPr>
          <w:rFonts w:eastAsia="仿宋_GB2312"/>
          <w:szCs w:val="32"/>
        </w:rPr>
        <w:t>网格员</w:t>
      </w:r>
      <w:proofErr w:type="gramEnd"/>
      <w:r>
        <w:rPr>
          <w:rFonts w:eastAsia="仿宋_GB2312"/>
          <w:szCs w:val="32"/>
        </w:rPr>
        <w:t>积极倾听群众和企业的实际需求，帮助群众和企业解决在申请政策过程中遇到的各种实际问题，让政策真正惠及群众、助力企业发展，受到广泛好评。二是举办政府开放日活动。定期邀请社区居民、村民代表等参观街道办事处的办公场所，通过带领群众参观会议室、观看工作流程等形式，了解街道办事处的办公运作情况。政府开放日活动不仅增强了公众的参与感和归属感，还增进了民众对政府工作的理解和支持，积极推动建立紧密和谐的政企、</w:t>
      </w:r>
      <w:proofErr w:type="gramStart"/>
      <w:r>
        <w:rPr>
          <w:rFonts w:eastAsia="仿宋_GB2312"/>
          <w:szCs w:val="32"/>
        </w:rPr>
        <w:t>政民</w:t>
      </w:r>
      <w:r>
        <w:rPr>
          <w:rFonts w:eastAsia="仿宋_GB2312"/>
          <w:szCs w:val="32"/>
        </w:rPr>
        <w:lastRenderedPageBreak/>
        <w:t>关系</w:t>
      </w:r>
      <w:proofErr w:type="gramEnd"/>
      <w:r>
        <w:rPr>
          <w:rFonts w:eastAsia="仿宋_GB2312"/>
          <w:szCs w:val="32"/>
        </w:rPr>
        <w:t>，共同推动社会进步和发展。</w:t>
      </w:r>
    </w:p>
    <w:p w:rsidR="00404FEC" w:rsidRDefault="00A50D12">
      <w:pPr>
        <w:spacing w:line="560" w:lineRule="exact"/>
        <w:ind w:firstLineChars="200" w:firstLine="600"/>
        <w:jc w:val="left"/>
        <w:rPr>
          <w:rFonts w:eastAsia="楷体_GB2312"/>
          <w:sz w:val="30"/>
          <w:szCs w:val="30"/>
        </w:rPr>
      </w:pPr>
      <w:r>
        <w:rPr>
          <w:rFonts w:eastAsia="楷体_GB2312"/>
          <w:sz w:val="30"/>
          <w:szCs w:val="30"/>
        </w:rPr>
        <w:t>（三）人大代表建议和政协委员提案办理结果公开情况</w:t>
      </w:r>
    </w:p>
    <w:p w:rsidR="00404FEC" w:rsidRDefault="00A50D12">
      <w:pPr>
        <w:spacing w:line="560" w:lineRule="exact"/>
        <w:ind w:firstLineChars="200" w:firstLine="640"/>
        <w:rPr>
          <w:rFonts w:eastAsia="仿宋_GB2312"/>
          <w:szCs w:val="32"/>
        </w:rPr>
      </w:pPr>
      <w:r>
        <w:rPr>
          <w:rFonts w:eastAsia="仿宋_GB2312"/>
          <w:szCs w:val="32"/>
        </w:rPr>
        <w:t>2024</w:t>
      </w:r>
      <w:r>
        <w:rPr>
          <w:rFonts w:eastAsia="仿宋_GB2312"/>
          <w:szCs w:val="32"/>
        </w:rPr>
        <w:t>年未</w:t>
      </w:r>
      <w:proofErr w:type="gramStart"/>
      <w:r>
        <w:rPr>
          <w:rFonts w:eastAsia="仿宋_GB2312"/>
          <w:szCs w:val="32"/>
        </w:rPr>
        <w:t>承办县</w:t>
      </w:r>
      <w:proofErr w:type="gramEnd"/>
      <w:r>
        <w:rPr>
          <w:rFonts w:eastAsia="仿宋_GB2312"/>
          <w:szCs w:val="32"/>
        </w:rPr>
        <w:t>十八届人大三次会议建议，</w:t>
      </w:r>
      <w:proofErr w:type="gramStart"/>
      <w:r>
        <w:rPr>
          <w:rFonts w:eastAsia="仿宋_GB2312"/>
          <w:szCs w:val="32"/>
        </w:rPr>
        <w:t>承办县</w:t>
      </w:r>
      <w:proofErr w:type="gramEnd"/>
      <w:r>
        <w:rPr>
          <w:rFonts w:eastAsia="仿宋_GB2312"/>
          <w:szCs w:val="32"/>
        </w:rPr>
        <w:t>政协十五届三次会议提案</w:t>
      </w:r>
      <w:r>
        <w:rPr>
          <w:rFonts w:eastAsia="仿宋_GB2312"/>
          <w:szCs w:val="32"/>
        </w:rPr>
        <w:t>4</w:t>
      </w:r>
      <w:r>
        <w:rPr>
          <w:rFonts w:eastAsia="仿宋_GB2312"/>
          <w:szCs w:val="32"/>
        </w:rPr>
        <w:t>件，办复率均为</w:t>
      </w:r>
      <w:r>
        <w:rPr>
          <w:rFonts w:eastAsia="仿宋_GB2312"/>
          <w:szCs w:val="32"/>
        </w:rPr>
        <w:t>100%</w:t>
      </w:r>
      <w:r>
        <w:rPr>
          <w:rFonts w:eastAsia="仿宋_GB2312"/>
          <w:szCs w:val="32"/>
        </w:rPr>
        <w:t>。除涉及国家秘密、工作秘密的，所有</w:t>
      </w:r>
      <w:bookmarkStart w:id="2" w:name="_GoBack"/>
      <w:bookmarkEnd w:id="2"/>
      <w:r>
        <w:rPr>
          <w:rFonts w:eastAsia="仿宋_GB2312"/>
          <w:szCs w:val="32"/>
        </w:rPr>
        <w:t>提案办理复文或摘要以及办理总体情况均在县政府门户网站建议提案办理专题中予以公开。</w:t>
      </w:r>
    </w:p>
    <w:p w:rsidR="00404FEC" w:rsidRDefault="00A50D12">
      <w:pPr>
        <w:spacing w:line="560" w:lineRule="exact"/>
        <w:ind w:firstLineChars="200" w:firstLine="600"/>
        <w:rPr>
          <w:rFonts w:eastAsia="仿宋_GB2312"/>
          <w:szCs w:val="32"/>
        </w:rPr>
      </w:pPr>
      <w:r>
        <w:rPr>
          <w:rFonts w:eastAsia="楷体_GB2312"/>
          <w:sz w:val="30"/>
          <w:szCs w:val="30"/>
        </w:rPr>
        <w:t>（四）政务公开工作创新情况</w:t>
      </w:r>
    </w:p>
    <w:p w:rsidR="00404FEC" w:rsidRDefault="00A50D12">
      <w:pPr>
        <w:spacing w:line="560" w:lineRule="exact"/>
        <w:ind w:firstLineChars="200" w:firstLine="640"/>
        <w:rPr>
          <w:rFonts w:eastAsia="仿宋_GB2312"/>
          <w:szCs w:val="32"/>
        </w:rPr>
      </w:pPr>
      <w:r>
        <w:rPr>
          <w:rFonts w:eastAsia="仿宋_GB2312"/>
          <w:szCs w:val="32"/>
        </w:rPr>
        <w:t>建立健全政务公开意见收集反馈机制。通过设立线上线下的意见箱、开展定期调研与座谈会，以及利用政府网站等多种渠道，广泛听取并快速响应公众对政务公开工作的意见和建议，持续优化与改进政务公开工作，提升了政府工作的透明度和公众的满意度。</w:t>
      </w:r>
    </w:p>
    <w:p w:rsidR="00404FEC" w:rsidRDefault="00A50D12">
      <w:pPr>
        <w:spacing w:line="560" w:lineRule="exact"/>
        <w:ind w:firstLineChars="200" w:firstLine="600"/>
        <w:jc w:val="left"/>
        <w:rPr>
          <w:rFonts w:eastAsia="楷体_GB2312"/>
          <w:sz w:val="30"/>
          <w:szCs w:val="30"/>
        </w:rPr>
      </w:pPr>
      <w:r>
        <w:rPr>
          <w:rFonts w:eastAsia="楷体_GB2312"/>
          <w:sz w:val="30"/>
          <w:szCs w:val="30"/>
        </w:rPr>
        <w:t>（五）有关数据统计说明</w:t>
      </w:r>
    </w:p>
    <w:p w:rsidR="00404FEC" w:rsidRDefault="00A50D12">
      <w:pPr>
        <w:spacing w:line="560" w:lineRule="exact"/>
        <w:ind w:firstLineChars="200" w:firstLine="640"/>
        <w:rPr>
          <w:rFonts w:eastAsia="仿宋_GB2312"/>
          <w:szCs w:val="32"/>
        </w:rPr>
      </w:pPr>
      <w:r>
        <w:rPr>
          <w:rFonts w:eastAsia="仿宋_GB2312"/>
          <w:szCs w:val="32"/>
        </w:rPr>
        <w:t xml:space="preserve">1. </w:t>
      </w:r>
      <w:r>
        <w:rPr>
          <w:rFonts w:eastAsia="仿宋_GB2312"/>
          <w:szCs w:val="32"/>
        </w:rPr>
        <w:t>报告中所列数据可能因四舍五入原因与数据直接相加之和存在尾数差异。</w:t>
      </w:r>
    </w:p>
    <w:p w:rsidR="00404FEC" w:rsidRDefault="00A50D12">
      <w:pPr>
        <w:spacing w:line="560" w:lineRule="exact"/>
        <w:ind w:firstLineChars="200" w:firstLine="640"/>
        <w:rPr>
          <w:rFonts w:eastAsia="仿宋_GB2312"/>
          <w:szCs w:val="32"/>
        </w:rPr>
      </w:pPr>
      <w:r>
        <w:rPr>
          <w:rFonts w:eastAsia="仿宋_GB2312"/>
          <w:szCs w:val="32"/>
        </w:rPr>
        <w:t xml:space="preserve">2. </w:t>
      </w:r>
      <w:r>
        <w:rPr>
          <w:rFonts w:eastAsia="仿宋_GB2312"/>
          <w:szCs w:val="32"/>
        </w:rPr>
        <w:t>行政许可数量、行政处罚和行政强制数量，包括已公开和</w:t>
      </w:r>
      <w:proofErr w:type="gramStart"/>
      <w:r>
        <w:rPr>
          <w:rFonts w:eastAsia="仿宋_GB2312"/>
          <w:szCs w:val="32"/>
        </w:rPr>
        <w:t>依法未</w:t>
      </w:r>
      <w:proofErr w:type="gramEnd"/>
      <w:r>
        <w:rPr>
          <w:rFonts w:eastAsia="仿宋_GB2312"/>
          <w:szCs w:val="32"/>
        </w:rPr>
        <w:t>公开的全部处理决定。</w:t>
      </w:r>
    </w:p>
    <w:p w:rsidR="00404FEC" w:rsidRDefault="00A50D12">
      <w:pPr>
        <w:spacing w:line="560" w:lineRule="exact"/>
        <w:ind w:firstLineChars="200" w:firstLine="640"/>
        <w:jc w:val="left"/>
        <w:rPr>
          <w:rFonts w:eastAsia="楷体_GB2312"/>
          <w:sz w:val="30"/>
          <w:szCs w:val="30"/>
        </w:rPr>
      </w:pPr>
      <w:r>
        <w:rPr>
          <w:rFonts w:eastAsia="仿宋_GB2312"/>
          <w:szCs w:val="32"/>
        </w:rPr>
        <w:t xml:space="preserve">3. </w:t>
      </w:r>
      <w:r>
        <w:rPr>
          <w:rFonts w:eastAsia="仿宋_GB2312"/>
          <w:szCs w:val="32"/>
        </w:rPr>
        <w:t>行政复议机关作为共同被告的行政诉讼案件，只计算</w:t>
      </w:r>
      <w:proofErr w:type="gramStart"/>
      <w:r>
        <w:rPr>
          <w:rFonts w:eastAsia="仿宋_GB2312"/>
          <w:szCs w:val="32"/>
        </w:rPr>
        <w:t>原行为</w:t>
      </w:r>
      <w:proofErr w:type="gramEnd"/>
      <w:r>
        <w:rPr>
          <w:rFonts w:eastAsia="仿宋_GB2312"/>
          <w:szCs w:val="32"/>
        </w:rPr>
        <w:t>主体的案件数量，不计算行政复议机关的案件数量。</w:t>
      </w:r>
    </w:p>
    <w:sectPr w:rsidR="00404FEC">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2A9" w:rsidRDefault="009232A9">
      <w:pPr>
        <w:spacing w:line="240" w:lineRule="auto"/>
      </w:pPr>
      <w:r>
        <w:separator/>
      </w:r>
    </w:p>
  </w:endnote>
  <w:endnote w:type="continuationSeparator" w:id="0">
    <w:p w:rsidR="009232A9" w:rsidRDefault="009232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2A9" w:rsidRDefault="009232A9">
      <w:pPr>
        <w:spacing w:line="240" w:lineRule="auto"/>
      </w:pPr>
      <w:r>
        <w:separator/>
      </w:r>
    </w:p>
  </w:footnote>
  <w:footnote w:type="continuationSeparator" w:id="0">
    <w:p w:rsidR="009232A9" w:rsidRDefault="009232A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42B56E"/>
    <w:multiLevelType w:val="singleLevel"/>
    <w:tmpl w:val="EF42B56E"/>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DFFDD895"/>
    <w:rsid w:val="F1F1BEB0"/>
    <w:rsid w:val="000164E6"/>
    <w:rsid w:val="00024945"/>
    <w:rsid w:val="000F23A3"/>
    <w:rsid w:val="00110130"/>
    <w:rsid w:val="00117733"/>
    <w:rsid w:val="00121DCF"/>
    <w:rsid w:val="00210F4D"/>
    <w:rsid w:val="00211942"/>
    <w:rsid w:val="002133C7"/>
    <w:rsid w:val="002961F2"/>
    <w:rsid w:val="002E3543"/>
    <w:rsid w:val="002E55E3"/>
    <w:rsid w:val="003B00C2"/>
    <w:rsid w:val="003B5255"/>
    <w:rsid w:val="003D6FCB"/>
    <w:rsid w:val="003E75A6"/>
    <w:rsid w:val="00404FEC"/>
    <w:rsid w:val="00415AB1"/>
    <w:rsid w:val="004622F8"/>
    <w:rsid w:val="004A3835"/>
    <w:rsid w:val="004C1750"/>
    <w:rsid w:val="004D241E"/>
    <w:rsid w:val="00515DB1"/>
    <w:rsid w:val="00523855"/>
    <w:rsid w:val="005422B3"/>
    <w:rsid w:val="00591E5D"/>
    <w:rsid w:val="005B13CD"/>
    <w:rsid w:val="005B7CE1"/>
    <w:rsid w:val="005C0F41"/>
    <w:rsid w:val="0065765D"/>
    <w:rsid w:val="00673AC7"/>
    <w:rsid w:val="006947A5"/>
    <w:rsid w:val="00704FCD"/>
    <w:rsid w:val="007051CE"/>
    <w:rsid w:val="008C4ED2"/>
    <w:rsid w:val="00915D0B"/>
    <w:rsid w:val="009232A9"/>
    <w:rsid w:val="009B028C"/>
    <w:rsid w:val="00A50D12"/>
    <w:rsid w:val="00C43AC6"/>
    <w:rsid w:val="00C542CC"/>
    <w:rsid w:val="00C67940"/>
    <w:rsid w:val="00C73BD0"/>
    <w:rsid w:val="00CC2BE7"/>
    <w:rsid w:val="00CC521B"/>
    <w:rsid w:val="00CD1D00"/>
    <w:rsid w:val="00D234BA"/>
    <w:rsid w:val="00DD0879"/>
    <w:rsid w:val="00E50639"/>
    <w:rsid w:val="00E60B5D"/>
    <w:rsid w:val="00EA0721"/>
    <w:rsid w:val="00ED2963"/>
    <w:rsid w:val="00EF5607"/>
    <w:rsid w:val="00FA216A"/>
    <w:rsid w:val="00FD5381"/>
    <w:rsid w:val="0A631EB9"/>
    <w:rsid w:val="0C963376"/>
    <w:rsid w:val="113118BF"/>
    <w:rsid w:val="162D1561"/>
    <w:rsid w:val="24747FE9"/>
    <w:rsid w:val="2BCC6F8A"/>
    <w:rsid w:val="2D077DA1"/>
    <w:rsid w:val="3AEF704E"/>
    <w:rsid w:val="3E921340"/>
    <w:rsid w:val="459B1F40"/>
    <w:rsid w:val="474E6020"/>
    <w:rsid w:val="4EB175C0"/>
    <w:rsid w:val="54014B46"/>
    <w:rsid w:val="579D653B"/>
    <w:rsid w:val="5A076BD6"/>
    <w:rsid w:val="5B417F1E"/>
    <w:rsid w:val="5B5437AD"/>
    <w:rsid w:val="5E5902DF"/>
    <w:rsid w:val="5E9159C1"/>
    <w:rsid w:val="5F13572D"/>
    <w:rsid w:val="64880256"/>
    <w:rsid w:val="659F70C0"/>
    <w:rsid w:val="6E5518BE"/>
    <w:rsid w:val="71AB6E90"/>
    <w:rsid w:val="73637D16"/>
    <w:rsid w:val="767D198E"/>
    <w:rsid w:val="7C7F9ECB"/>
    <w:rsid w:val="7EFE2D68"/>
    <w:rsid w:val="7FDF8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hint="eastAsia"/>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rPr>
  </w:style>
  <w:style w:type="character" w:styleId="a8">
    <w:name w:val="Hyperlink"/>
    <w:basedOn w:val="a0"/>
    <w:uiPriority w:val="99"/>
    <w:semiHidden/>
    <w:unhideWhenUsed/>
    <w:qFormat/>
    <w:rPr>
      <w:color w:val="0000FF"/>
      <w:u w:val="single"/>
    </w:r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hint="eastAsia"/>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rPr>
  </w:style>
  <w:style w:type="character" w:styleId="a8">
    <w:name w:val="Hyperlink"/>
    <w:basedOn w:val="a0"/>
    <w:uiPriority w:val="99"/>
    <w:semiHidden/>
    <w:unhideWhenUsed/>
    <w:qFormat/>
    <w:rPr>
      <w:color w:val="0000FF"/>
      <w:u w:val="single"/>
    </w:r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近三年芦湖街道主动公开信息数量</a:t>
            </a:r>
          </a:p>
        </c:rich>
      </c:tx>
      <c:layout>
        <c:manualLayout>
          <c:xMode val="edge"/>
          <c:yMode val="edge"/>
          <c:x val="0.24571152452283199"/>
          <c:y val="2.8686782830429199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cat>
            <c:strRef>
              <c:f>Sheet1!$A$2</c:f>
              <c:strCache>
                <c:ptCount val="1"/>
                <c:pt idx="0">
                  <c:v>主动公开信息数量</c:v>
                </c:pt>
              </c:strCache>
            </c:strRef>
          </c:cat>
          <c:val>
            <c:numRef>
              <c:f>Sheet1!$B$2</c:f>
              <c:numCache>
                <c:formatCode>General</c:formatCode>
                <c:ptCount val="1"/>
                <c:pt idx="0">
                  <c:v>517</c:v>
                </c:pt>
              </c:numCache>
            </c:numRef>
          </c:val>
        </c:ser>
        <c:ser>
          <c:idx val="1"/>
          <c:order val="1"/>
          <c:tx>
            <c:strRef>
              <c:f>Sheet1!$C$1</c:f>
              <c:strCache>
                <c:ptCount val="1"/>
                <c:pt idx="0">
                  <c:v>2023年</c:v>
                </c:pt>
              </c:strCache>
            </c:strRef>
          </c:tx>
          <c:spPr>
            <a:solidFill>
              <a:schemeClr val="accent2"/>
            </a:solidFill>
            <a:ln>
              <a:noFill/>
            </a:ln>
            <a:effectLst/>
          </c:spPr>
          <c:invertIfNegative val="0"/>
          <c:cat>
            <c:strRef>
              <c:f>Sheet1!$A$2</c:f>
              <c:strCache>
                <c:ptCount val="1"/>
                <c:pt idx="0">
                  <c:v>主动公开信息数量</c:v>
                </c:pt>
              </c:strCache>
            </c:strRef>
          </c:cat>
          <c:val>
            <c:numRef>
              <c:f>Sheet1!$C$2</c:f>
              <c:numCache>
                <c:formatCode>General</c:formatCode>
                <c:ptCount val="1"/>
                <c:pt idx="0">
                  <c:v>595</c:v>
                </c:pt>
              </c:numCache>
            </c:numRef>
          </c:val>
        </c:ser>
        <c:ser>
          <c:idx val="2"/>
          <c:order val="2"/>
          <c:tx>
            <c:strRef>
              <c:f>Sheet1!$D$1</c:f>
              <c:strCache>
                <c:ptCount val="1"/>
                <c:pt idx="0">
                  <c:v>2024年</c:v>
                </c:pt>
              </c:strCache>
            </c:strRef>
          </c:tx>
          <c:spPr>
            <a:solidFill>
              <a:schemeClr val="accent3"/>
            </a:solidFill>
            <a:ln>
              <a:noFill/>
            </a:ln>
            <a:effectLst/>
          </c:spPr>
          <c:invertIfNegative val="0"/>
          <c:cat>
            <c:strRef>
              <c:f>Sheet1!$A$2</c:f>
              <c:strCache>
                <c:ptCount val="1"/>
                <c:pt idx="0">
                  <c:v>主动公开信息数量</c:v>
                </c:pt>
              </c:strCache>
            </c:strRef>
          </c:cat>
          <c:val>
            <c:numRef>
              <c:f>Sheet1!$D$2</c:f>
              <c:numCache>
                <c:formatCode>General</c:formatCode>
                <c:ptCount val="1"/>
                <c:pt idx="0">
                  <c:v>665</c:v>
                </c:pt>
              </c:numCache>
            </c:numRef>
          </c:val>
        </c:ser>
        <c:dLbls>
          <c:showLegendKey val="0"/>
          <c:showVal val="0"/>
          <c:showCatName val="0"/>
          <c:showSerName val="0"/>
          <c:showPercent val="0"/>
          <c:showBubbleSize val="0"/>
        </c:dLbls>
        <c:gapWidth val="246"/>
        <c:overlap val="-28"/>
        <c:axId val="336827904"/>
        <c:axId val="336829440"/>
      </c:barChart>
      <c:catAx>
        <c:axId val="3368279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36829440"/>
        <c:crosses val="autoZero"/>
        <c:auto val="1"/>
        <c:lblAlgn val="ctr"/>
        <c:lblOffset val="100"/>
        <c:noMultiLvlLbl val="0"/>
      </c:catAx>
      <c:valAx>
        <c:axId val="336829440"/>
        <c:scaling>
          <c:orientation val="minMax"/>
          <c:max val="100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36827904"/>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8</Pages>
  <Words>612</Words>
  <Characters>3494</Characters>
  <Application>Microsoft Office Word</Application>
  <DocSecurity>0</DocSecurity>
  <Lines>29</Lines>
  <Paragraphs>8</Paragraphs>
  <ScaleCrop>false</ScaleCrop>
  <Company>gq</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27</cp:revision>
  <cp:lastPrinted>2024-12-31T03:01:00Z</cp:lastPrinted>
  <dcterms:created xsi:type="dcterms:W3CDTF">2022-01-03T01:04:00Z</dcterms:created>
  <dcterms:modified xsi:type="dcterms:W3CDTF">2025-01-15T02:31:00Z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eyJoZGlkIjoiNzNmYWNjOWZlMjMwNDEyMjE0MjkxMjNmZTMzYzg3NTIiLCJ1c2VySWQiOiIxNTcyMDIzOTI2In0=</vt:lpwstr>
  </property>
  <property fmtid="{D5CDD505-2E9C-101B-9397-08002B2CF9AE}" pid="3" name="KSOProductBuildVer">
    <vt:lpwstr>2052-12.1.0.19770</vt:lpwstr>
  </property>
  <property fmtid="{D5CDD505-2E9C-101B-9397-08002B2CF9AE}" pid="4" name="ICV">
    <vt:lpwstr>3D394D17095B4F509377B2E9062B9829_13</vt:lpwstr>
  </property>
</Properties>
</file>