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仿宋_GB2312"/>
          <w:sz w:val="44"/>
          <w:szCs w:val="44"/>
        </w:rPr>
      </w:pPr>
      <w:bookmarkStart w:id="0" w:name="_GoBack"/>
      <w:r>
        <w:rPr>
          <w:rFonts w:hint="eastAsia" w:ascii="方正小标宋简体" w:hAnsi="黑体" w:eastAsia="方正小标宋简体" w:cs="仿宋_GB2312"/>
          <w:sz w:val="44"/>
          <w:szCs w:val="44"/>
        </w:rPr>
        <w:t>2020年度行政执法数据统计表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lang w:val="en-US" w:eastAsia="zh-CN"/>
        </w:rPr>
        <w:t>木李</w:t>
      </w:r>
      <w:r>
        <w:rPr>
          <w:rFonts w:hint="eastAsia" w:ascii="方正小标宋简体" w:hAnsi="文星标宋" w:eastAsia="方正小标宋简体" w:cs="文星标宋"/>
          <w:sz w:val="32"/>
          <w:szCs w:val="32"/>
          <w:u w:val="single"/>
          <w:lang w:eastAsia="zh-CN"/>
        </w:rPr>
        <w:t>镇</w:t>
      </w:r>
      <w:r>
        <w:rPr>
          <w:rFonts w:hint="eastAsia" w:ascii="方正小标宋简体" w:hAnsi="文星标宋" w:eastAsia="方正小标宋简体" w:cs="文星标宋"/>
          <w:sz w:val="32"/>
          <w:szCs w:val="32"/>
        </w:rPr>
        <w:t>2020年度行政许可情况统计表</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木李镇</w:t>
            </w:r>
          </w:p>
        </w:tc>
        <w:tc>
          <w:tcPr>
            <w:tcW w:w="2184"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044"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3410"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numPr>
          <w:ilvl w:val="0"/>
          <w:numId w:val="1"/>
        </w:num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准予变更、延续和不予变更、延续的数量，分别计入“许可数量、不予许可数量”。</w:t>
      </w:r>
    </w:p>
    <w:p>
      <w:pPr>
        <w:widowControl w:val="0"/>
        <w:numPr>
          <w:ilvl w:val="0"/>
          <w:numId w:val="0"/>
        </w:numPr>
        <w:spacing w:line="320" w:lineRule="exact"/>
        <w:jc w:val="both"/>
        <w:rPr>
          <w:rFonts w:hint="eastAsia" w:ascii="仿宋_GB2312" w:hAnsi="仿宋_GB2312" w:eastAsia="仿宋_GB2312" w:cs="仿宋_GB2312"/>
          <w:sz w:val="24"/>
        </w:rPr>
      </w:pPr>
    </w:p>
    <w:p>
      <w:pPr>
        <w:widowControl w:val="0"/>
        <w:numPr>
          <w:ilvl w:val="0"/>
          <w:numId w:val="0"/>
        </w:numPr>
        <w:spacing w:line="320" w:lineRule="exact"/>
        <w:jc w:val="both"/>
        <w:rPr>
          <w:rFonts w:hint="eastAsia" w:ascii="仿宋_GB2312" w:hAnsi="仿宋_GB2312" w:eastAsia="仿宋_GB2312" w:cs="仿宋_GB2312"/>
          <w:sz w:val="2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u w:val="single"/>
          <w:lang w:val="en-US" w:eastAsia="zh-CN"/>
        </w:rPr>
        <w:t>木李</w:t>
      </w:r>
      <w:r>
        <w:rPr>
          <w:rFonts w:hint="eastAsia" w:ascii="方正小标宋简体" w:hAnsi="文星标宋" w:eastAsia="方正小标宋简体" w:cs="文星标宋"/>
          <w:sz w:val="32"/>
          <w:szCs w:val="32"/>
          <w:u w:val="single"/>
          <w:lang w:eastAsia="zh-CN"/>
        </w:rPr>
        <w:t>镇</w:t>
      </w:r>
      <w:r>
        <w:rPr>
          <w:rFonts w:hint="eastAsia" w:ascii="方正小标宋简体" w:hAnsi="文星标宋" w:eastAsia="方正小标宋简体" w:cs="文星标宋"/>
          <w:sz w:val="32"/>
          <w:szCs w:val="32"/>
        </w:rPr>
        <w:t>2020年度行政处罚情况统计表</w:t>
      </w: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9072" w:type="dxa"/>
            <w:gridSpan w:val="1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pPr>
              <w:spacing w:line="480" w:lineRule="exact"/>
              <w:jc w:val="center"/>
            </w:pP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不予处罚案件数及不罚金额</w:t>
            </w:r>
          </w:p>
        </w:tc>
        <w:tc>
          <w:tcPr>
            <w:tcW w:w="851" w:type="dxa"/>
            <w:vAlign w:val="center"/>
          </w:tcPr>
          <w:p>
            <w:pPr>
              <w:spacing w:line="240" w:lineRule="exact"/>
              <w:jc w:val="center"/>
              <w:rPr>
                <w:rFonts w:ascii="黑体" w:hAnsi="黑体" w:eastAsia="黑体" w:cs="黑体"/>
              </w:rPr>
            </w:pPr>
            <w:r>
              <w:rPr>
                <w:rFonts w:hint="eastAsia" w:ascii="黑体" w:hAnsi="黑体" w:eastAsia="黑体" w:cs="黑体"/>
              </w:rPr>
              <w:t>减轻处罚的案件数及减轻金额</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hint="eastAsia" w:eastAsia="宋体"/>
                <w:lang w:eastAsia="zh-CN"/>
              </w:rPr>
            </w:pPr>
            <w:r>
              <w:rPr>
                <w:rFonts w:hint="eastAsia"/>
                <w:lang w:eastAsia="zh-CN"/>
              </w:rPr>
              <w:t>木李镇</w:t>
            </w:r>
          </w:p>
        </w:tc>
        <w:tc>
          <w:tcPr>
            <w:tcW w:w="56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6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6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85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0.3</w:t>
            </w:r>
          </w:p>
        </w:tc>
        <w:tc>
          <w:tcPr>
            <w:tcW w:w="85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pPr>
          </w:p>
        </w:tc>
        <w:tc>
          <w:tcPr>
            <w:tcW w:w="567" w:type="dxa"/>
            <w:vAlign w:val="center"/>
          </w:tcPr>
          <w:p>
            <w:pPr>
              <w:spacing w:line="480" w:lineRule="exact"/>
              <w:jc w:val="center"/>
              <w:rPr>
                <w:rFonts w:ascii="仿宋_GB2312" w:hAnsi="仿宋_GB2312" w:eastAsia="仿宋_GB2312" w:cs="仿宋_GB2312"/>
                <w:sz w:val="28"/>
                <w:szCs w:val="28"/>
              </w:rPr>
            </w:pPr>
          </w:p>
        </w:tc>
        <w:tc>
          <w:tcPr>
            <w:tcW w:w="567" w:type="dxa"/>
            <w:vAlign w:val="center"/>
          </w:tcPr>
          <w:p>
            <w:pPr>
              <w:spacing w:line="480" w:lineRule="exact"/>
              <w:jc w:val="center"/>
              <w:rPr>
                <w:rFonts w:ascii="仿宋_GB2312" w:hAnsi="仿宋_GB2312" w:eastAsia="仿宋_GB2312" w:cs="仿宋_GB2312"/>
                <w:sz w:val="28"/>
                <w:szCs w:val="28"/>
              </w:rPr>
            </w:pPr>
          </w:p>
        </w:tc>
        <w:tc>
          <w:tcPr>
            <w:tcW w:w="567" w:type="dxa"/>
            <w:vAlign w:val="center"/>
          </w:tcPr>
          <w:p>
            <w:pPr>
              <w:spacing w:line="300" w:lineRule="exact"/>
              <w:jc w:val="center"/>
              <w:rPr>
                <w:rFonts w:ascii="文星标宋" w:hAnsi="文星标宋" w:eastAsia="文星标宋" w:cs="文星标宋"/>
                <w:sz w:val="44"/>
                <w:szCs w:val="44"/>
              </w:rPr>
            </w:pPr>
          </w:p>
        </w:tc>
        <w:tc>
          <w:tcPr>
            <w:tcW w:w="567"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709"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tcPr>
          <w:p>
            <w:pPr>
              <w:spacing w:line="480" w:lineRule="exact"/>
              <w:jc w:val="center"/>
            </w:pPr>
            <w:r>
              <w:rPr>
                <w:rFonts w:hint="eastAsia" w:ascii="黑体" w:hAnsi="黑体" w:eastAsia="黑体" w:cs="黑体"/>
                <w:sz w:val="28"/>
                <w:szCs w:val="28"/>
              </w:rPr>
              <w:t>合计</w:t>
            </w:r>
          </w:p>
        </w:tc>
        <w:tc>
          <w:tcPr>
            <w:tcW w:w="567"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567"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567"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567"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850"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0.3</w:t>
            </w:r>
          </w:p>
        </w:tc>
        <w:tc>
          <w:tcPr>
            <w:tcW w:w="850"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u w:val="single"/>
          <w:lang w:val="en-US" w:eastAsia="zh-CN"/>
        </w:rPr>
        <w:t>木李</w:t>
      </w:r>
      <w:r>
        <w:rPr>
          <w:rFonts w:hint="eastAsia" w:ascii="方正小标宋简体" w:hAnsi="文星标宋" w:eastAsia="方正小标宋简体" w:cs="文星标宋"/>
          <w:sz w:val="32"/>
          <w:szCs w:val="32"/>
          <w:u w:val="single"/>
          <w:lang w:eastAsia="zh-CN"/>
        </w:rPr>
        <w:t>镇</w:t>
      </w:r>
      <w:r>
        <w:rPr>
          <w:rFonts w:hint="eastAsia" w:ascii="方正小标宋简体" w:hAnsi="文星标宋" w:eastAsia="方正小标宋简体" w:cs="文星标宋"/>
          <w:sz w:val="32"/>
          <w:szCs w:val="32"/>
        </w:rPr>
        <w:t>2020年度行政强制情况统计表</w:t>
      </w:r>
    </w:p>
    <w:p>
      <w:pPr>
        <w:spacing w:line="480" w:lineRule="exact"/>
        <w:jc w:val="center"/>
        <w:rPr>
          <w:rFonts w:ascii="文星标宋" w:hAnsi="文星标宋" w:eastAsia="文星标宋" w:cs="文星标宋"/>
          <w:sz w:val="44"/>
          <w:szCs w:val="44"/>
        </w:rPr>
      </w:pPr>
    </w:p>
    <w:tbl>
      <w:tblPr>
        <w:tblStyle w:val="7"/>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eastAsia="宋体"/>
                <w:lang w:eastAsia="zh-CN"/>
              </w:rPr>
            </w:pPr>
            <w:r>
              <w:rPr>
                <w:rFonts w:hint="eastAsia"/>
                <w:lang w:eastAsia="zh-CN"/>
              </w:rPr>
              <w:t>木李镇</w:t>
            </w:r>
          </w:p>
        </w:tc>
        <w:tc>
          <w:tcPr>
            <w:tcW w:w="771" w:type="dxa"/>
            <w:vAlign w:val="center"/>
          </w:tcPr>
          <w:p>
            <w:pPr>
              <w:spacing w:line="480" w:lineRule="exact"/>
              <w:jc w:val="center"/>
              <w:rPr>
                <w:rFonts w:hint="default" w:eastAsia="宋体"/>
                <w:lang w:val="en-US" w:eastAsia="zh-CN"/>
              </w:rPr>
            </w:pPr>
            <w:r>
              <w:rPr>
                <w:rFonts w:hint="eastAsia"/>
                <w:lang w:val="en-US" w:eastAsia="zh-CN"/>
              </w:rPr>
              <w:t>0</w:t>
            </w:r>
          </w:p>
        </w:tc>
        <w:tc>
          <w:tcPr>
            <w:tcW w:w="771" w:type="dxa"/>
            <w:vAlign w:val="center"/>
          </w:tcPr>
          <w:p>
            <w:pPr>
              <w:spacing w:line="480" w:lineRule="exact"/>
              <w:jc w:val="center"/>
              <w:rPr>
                <w:rFonts w:hint="default" w:eastAsia="宋体"/>
                <w:lang w:val="en-US" w:eastAsia="zh-CN"/>
              </w:rPr>
            </w:pPr>
            <w:r>
              <w:rPr>
                <w:rFonts w:hint="eastAsia"/>
                <w:lang w:val="en-US" w:eastAsia="zh-CN"/>
              </w:rPr>
              <w:t>0</w:t>
            </w:r>
          </w:p>
        </w:tc>
        <w:tc>
          <w:tcPr>
            <w:tcW w:w="770" w:type="dxa"/>
            <w:vAlign w:val="center"/>
          </w:tcPr>
          <w:p>
            <w:pPr>
              <w:spacing w:line="480" w:lineRule="exact"/>
              <w:jc w:val="center"/>
              <w:rPr>
                <w:rFonts w:hint="default" w:eastAsia="宋体"/>
                <w:lang w:val="en-US" w:eastAsia="zh-CN"/>
              </w:rPr>
            </w:pPr>
            <w:r>
              <w:rPr>
                <w:rFonts w:hint="eastAsia"/>
                <w:lang w:val="en-US" w:eastAsia="zh-CN"/>
              </w:rPr>
              <w:t>0</w:t>
            </w:r>
          </w:p>
        </w:tc>
        <w:tc>
          <w:tcPr>
            <w:tcW w:w="771" w:type="dxa"/>
            <w:vAlign w:val="center"/>
          </w:tcPr>
          <w:p>
            <w:pPr>
              <w:spacing w:line="480" w:lineRule="exact"/>
              <w:jc w:val="center"/>
              <w:rPr>
                <w:rFonts w:hint="default"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1" w:type="dxa"/>
            <w:vAlign w:val="center"/>
          </w:tcPr>
          <w:p>
            <w:pPr>
              <w:spacing w:line="300" w:lineRule="exact"/>
              <w:jc w:val="center"/>
              <w:rPr>
                <w:rFonts w:ascii="黑体" w:hAnsi="黑体" w:eastAsia="黑体" w:cs="黑体"/>
              </w:rPr>
            </w:pPr>
          </w:p>
        </w:tc>
        <w:tc>
          <w:tcPr>
            <w:tcW w:w="707" w:type="dxa"/>
            <w:vAlign w:val="center"/>
          </w:tcPr>
          <w:p>
            <w:pPr>
              <w:spacing w:line="300" w:lineRule="exact"/>
              <w:jc w:val="center"/>
              <w:rPr>
                <w:rFonts w:ascii="黑体" w:hAnsi="黑体" w:eastAsia="黑体" w:cs="黑体"/>
              </w:rPr>
            </w:pPr>
          </w:p>
        </w:tc>
        <w:tc>
          <w:tcPr>
            <w:tcW w:w="1451" w:type="dxa"/>
            <w:vAlign w:val="center"/>
          </w:tcPr>
          <w:p>
            <w:pPr>
              <w:spacing w:line="480" w:lineRule="exact"/>
              <w:jc w:val="center"/>
              <w:rPr>
                <w:rFonts w:ascii="黑体" w:hAnsi="黑体" w:eastAsia="黑体" w:cs="黑体"/>
                <w:sz w:val="28"/>
                <w:szCs w:val="28"/>
              </w:rPr>
            </w:pPr>
          </w:p>
        </w:tc>
        <w:tc>
          <w:tcPr>
            <w:tcW w:w="776"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default"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default" w:ascii="Calibri" w:hAnsi="Calibri" w:eastAsia="宋体" w:cs="Calibri"/>
                <w:kern w:val="2"/>
                <w:sz w:val="21"/>
                <w:szCs w:val="21"/>
                <w:lang w:val="en-US" w:eastAsia="zh-CN" w:bidi="ar-SA"/>
              </w:rPr>
            </w:pPr>
            <w:r>
              <w:rPr>
                <w:rFonts w:hint="eastAsia"/>
                <w:lang w:val="en-US" w:eastAsia="zh-CN"/>
              </w:rPr>
              <w:t>0</w:t>
            </w:r>
          </w:p>
        </w:tc>
        <w:tc>
          <w:tcPr>
            <w:tcW w:w="770" w:type="dxa"/>
            <w:vAlign w:val="center"/>
          </w:tcPr>
          <w:p>
            <w:pPr>
              <w:spacing w:line="480" w:lineRule="exact"/>
              <w:jc w:val="center"/>
              <w:rPr>
                <w:rFonts w:hint="default"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default"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default"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u w:val="single"/>
          <w:lang w:val="en-US" w:eastAsia="zh-CN"/>
        </w:rPr>
        <w:t>木李</w:t>
      </w:r>
      <w:r>
        <w:rPr>
          <w:rFonts w:hint="eastAsia" w:ascii="方正小标宋简体" w:hAnsi="文星标宋" w:eastAsia="方正小标宋简体" w:cs="文星标宋"/>
          <w:sz w:val="32"/>
          <w:szCs w:val="32"/>
          <w:u w:val="single"/>
          <w:lang w:eastAsia="zh-CN"/>
        </w:rPr>
        <w:t>镇</w:t>
      </w:r>
      <w:r>
        <w:rPr>
          <w:rFonts w:hint="eastAsia" w:ascii="方正小标宋简体" w:hAnsi="文星标宋" w:eastAsia="方正小标宋简体" w:cs="文星标宋"/>
          <w:sz w:val="32"/>
          <w:szCs w:val="32"/>
        </w:rPr>
        <w:t>2020年度行政征收征用情况统计表</w:t>
      </w:r>
    </w:p>
    <w:p>
      <w:pPr>
        <w:spacing w:line="480" w:lineRule="exact"/>
        <w:rPr>
          <w:rFonts w:ascii="仿宋_GB2312" w:hAnsi="仿宋_GB2312" w:eastAsia="仿宋_GB2312" w:cs="仿宋_GB231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木李镇</w:t>
            </w:r>
          </w:p>
        </w:tc>
        <w:tc>
          <w:tcPr>
            <w:tcW w:w="1980"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u w:val="single"/>
          <w:lang w:val="en-US" w:eastAsia="zh-CN"/>
        </w:rPr>
        <w:t>木李</w:t>
      </w:r>
      <w:r>
        <w:rPr>
          <w:rFonts w:hint="eastAsia" w:ascii="方正小标宋简体" w:hAnsi="文星标宋" w:eastAsia="方正小标宋简体" w:cs="文星标宋"/>
          <w:sz w:val="32"/>
          <w:szCs w:val="32"/>
          <w:u w:val="single"/>
          <w:lang w:eastAsia="zh-CN"/>
        </w:rPr>
        <w:t>镇</w:t>
      </w:r>
      <w:r>
        <w:rPr>
          <w:rFonts w:hint="eastAsia" w:ascii="方正小标宋简体" w:hAnsi="文星标宋" w:eastAsia="方正小标宋简体" w:cs="文星标宋"/>
          <w:sz w:val="32"/>
          <w:szCs w:val="32"/>
        </w:rPr>
        <w:t>2020年度行政检查情况统计表</w:t>
      </w:r>
    </w:p>
    <w:p>
      <w:pPr>
        <w:spacing w:line="480" w:lineRule="exact"/>
        <w:rPr>
          <w:rFonts w:ascii="仿宋_GB2312" w:hAnsi="仿宋_GB2312" w:eastAsia="仿宋_GB2312" w:cs="仿宋_GB2312"/>
          <w:sz w:val="24"/>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木李镇安全生产监管和环境保护办公室</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bookmarkEnd w:id="0"/>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201060400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9</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8910"/>
    <w:multiLevelType w:val="singleLevel"/>
    <w:tmpl w:val="2942891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50D28"/>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10B0"/>
    <w:rsid w:val="005A4765"/>
    <w:rsid w:val="005A51BE"/>
    <w:rsid w:val="005C0056"/>
    <w:rsid w:val="005C4419"/>
    <w:rsid w:val="005D40AC"/>
    <w:rsid w:val="005D7871"/>
    <w:rsid w:val="005E681D"/>
    <w:rsid w:val="005F325A"/>
    <w:rsid w:val="00602292"/>
    <w:rsid w:val="006044B9"/>
    <w:rsid w:val="00610DDF"/>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1550"/>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95C42"/>
    <w:rsid w:val="00BA6441"/>
    <w:rsid w:val="00BB5DBE"/>
    <w:rsid w:val="00BC06AC"/>
    <w:rsid w:val="00BC670A"/>
    <w:rsid w:val="00BD123C"/>
    <w:rsid w:val="00BE3A43"/>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E028F"/>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4B5E"/>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7F0"/>
    <w:rsid w:val="00FE784B"/>
    <w:rsid w:val="00FF5C17"/>
    <w:rsid w:val="022E3F66"/>
    <w:rsid w:val="02916615"/>
    <w:rsid w:val="036E3E96"/>
    <w:rsid w:val="03D52132"/>
    <w:rsid w:val="0D097749"/>
    <w:rsid w:val="0E514E71"/>
    <w:rsid w:val="12A07F1B"/>
    <w:rsid w:val="147047CE"/>
    <w:rsid w:val="187D3173"/>
    <w:rsid w:val="1C63102D"/>
    <w:rsid w:val="1E016AE2"/>
    <w:rsid w:val="1E6707C1"/>
    <w:rsid w:val="2185429C"/>
    <w:rsid w:val="228338FE"/>
    <w:rsid w:val="23797691"/>
    <w:rsid w:val="24780249"/>
    <w:rsid w:val="266F5E17"/>
    <w:rsid w:val="28212E4E"/>
    <w:rsid w:val="2CC24828"/>
    <w:rsid w:val="2ED6157B"/>
    <w:rsid w:val="31D0223E"/>
    <w:rsid w:val="32830D29"/>
    <w:rsid w:val="37C14171"/>
    <w:rsid w:val="3A9F08E2"/>
    <w:rsid w:val="3FFF7344"/>
    <w:rsid w:val="40033982"/>
    <w:rsid w:val="404D12E4"/>
    <w:rsid w:val="41631681"/>
    <w:rsid w:val="43765B1A"/>
    <w:rsid w:val="48F47AFC"/>
    <w:rsid w:val="499C77E0"/>
    <w:rsid w:val="4A264A3D"/>
    <w:rsid w:val="4D44432E"/>
    <w:rsid w:val="4D5B7EF6"/>
    <w:rsid w:val="4E1610E6"/>
    <w:rsid w:val="4E561CD5"/>
    <w:rsid w:val="553C6728"/>
    <w:rsid w:val="5DCD3D91"/>
    <w:rsid w:val="5E6C7D46"/>
    <w:rsid w:val="64667DE0"/>
    <w:rsid w:val="65A57F62"/>
    <w:rsid w:val="65C035FE"/>
    <w:rsid w:val="68827D76"/>
    <w:rsid w:val="6A24227F"/>
    <w:rsid w:val="6A7E6FA7"/>
    <w:rsid w:val="6AD74666"/>
    <w:rsid w:val="6FD400C3"/>
    <w:rsid w:val="727F01E3"/>
    <w:rsid w:val="76D47B0F"/>
    <w:rsid w:val="794F130D"/>
    <w:rsid w:val="7D6C79BD"/>
    <w:rsid w:val="7DAE6217"/>
    <w:rsid w:val="7DF8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themeColor="hyperlink"/>
      <w:u w:val="single"/>
      <w14:textFill>
        <w14:solidFill>
          <w14:schemeClr w14:val="hlink"/>
        </w14:solidFill>
      </w14:textFill>
    </w:rPr>
  </w:style>
  <w:style w:type="character" w:customStyle="1" w:styleId="12">
    <w:name w:val="NormalCharacter"/>
    <w:qFormat/>
    <w:uiPriority w:val="0"/>
  </w:style>
  <w:style w:type="character" w:customStyle="1" w:styleId="13">
    <w:name w:val="页脚 Char"/>
    <w:link w:val="4"/>
    <w:qFormat/>
    <w:uiPriority w:val="0"/>
    <w:rPr>
      <w:rFonts w:cs="Calibri"/>
      <w:kern w:val="2"/>
      <w:sz w:val="18"/>
      <w:szCs w:val="18"/>
    </w:rPr>
  </w:style>
  <w:style w:type="paragraph" w:customStyle="1" w:styleId="14">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5">
    <w:name w:val="Char Char3 Char Char"/>
    <w:basedOn w:val="1"/>
    <w:qFormat/>
    <w:uiPriority w:val="0"/>
    <w:rPr>
      <w:rFonts w:ascii="Times New Roman" w:hAnsi="Times New Roman" w:cs="Times New Roman"/>
      <w:sz w:val="32"/>
      <w:szCs w:val="24"/>
    </w:rPr>
  </w:style>
  <w:style w:type="paragraph" w:customStyle="1" w:styleId="16">
    <w:name w:val="Char Char Char Char"/>
    <w:basedOn w:val="1"/>
    <w:qFormat/>
    <w:uiPriority w:val="0"/>
    <w:pPr>
      <w:adjustRightInd w:val="0"/>
      <w:spacing w:line="360" w:lineRule="auto"/>
    </w:pPr>
    <w:rPr>
      <w:rFonts w:ascii="Times New Roman" w:hAnsi="Times New Roman" w:cs="Times New Roman"/>
    </w:rPr>
  </w:style>
  <w:style w:type="paragraph" w:customStyle="1" w:styleId="17">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8">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0">
    <w:name w:val="日期 Char"/>
    <w:basedOn w:val="9"/>
    <w:link w:val="2"/>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433</Words>
  <Characters>2471</Characters>
  <Lines>20</Lines>
  <Paragraphs>5</Paragraphs>
  <TotalTime>0</TotalTime>
  <ScaleCrop>false</ScaleCrop>
  <LinksUpToDate>false</LinksUpToDate>
  <CharactersWithSpaces>2899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暮秋风雨</cp:lastModifiedBy>
  <cp:lastPrinted>2020-01-15T01:48:00Z</cp:lastPrinted>
  <dcterms:modified xsi:type="dcterms:W3CDTF">2021-02-04T12:21:11Z</dcterms:modified>
  <dc:title>国务院第一巡查组召开安全生产大检查汇报会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