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r>
        <w:rPr>
          <w:rFonts w:hint="eastAsia" w:ascii="宋体" w:hAnsi="宋体" w:cs="宋体"/>
          <w:b/>
          <w:sz w:val="44"/>
          <w:szCs w:val="44"/>
        </w:rPr>
        <w:t>2019年</w:t>
      </w:r>
      <w:r>
        <w:rPr>
          <w:rFonts w:hint="eastAsia" w:ascii="宋体" w:hAnsi="宋体" w:cs="宋体"/>
          <w:b/>
          <w:sz w:val="44"/>
          <w:szCs w:val="44"/>
          <w:lang w:eastAsia="zh-CN"/>
        </w:rPr>
        <w:t>木李镇人民</w:t>
      </w:r>
      <w:r>
        <w:rPr>
          <w:rFonts w:hint="eastAsia" w:ascii="宋体" w:hAnsi="宋体" w:cs="宋体"/>
          <w:b/>
          <w:sz w:val="44"/>
          <w:szCs w:val="44"/>
        </w:rPr>
        <w:t>政府信息公开工作</w:t>
      </w:r>
    </w:p>
    <w:p>
      <w:pPr>
        <w:jc w:val="center"/>
        <w:rPr>
          <w:rFonts w:ascii="仿宋" w:hAnsi="仿宋" w:eastAsia="仿宋" w:cs="仿宋"/>
          <w:sz w:val="32"/>
          <w:szCs w:val="32"/>
        </w:rPr>
      </w:pPr>
      <w:r>
        <w:rPr>
          <w:rFonts w:hint="eastAsia" w:ascii="宋体" w:hAnsi="宋体" w:cs="宋体"/>
          <w:b/>
          <w:sz w:val="44"/>
          <w:szCs w:val="44"/>
        </w:rPr>
        <w:t>年度报告</w:t>
      </w:r>
    </w:p>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本报告按照《中华人民共和国政府信息公开条例》（以下简称《条例》）和《山东省政府信息公开办法》（以下简称《办法》）规定，由</w:t>
      </w:r>
      <w:r>
        <w:rPr>
          <w:rFonts w:hint="eastAsia" w:ascii="仿宋_GB2312" w:hAnsi="仿宋" w:eastAsia="仿宋_GB2312" w:cs="仿宋"/>
          <w:color w:val="000000" w:themeColor="text1"/>
          <w:sz w:val="32"/>
          <w:szCs w:val="32"/>
          <w:lang w:eastAsia="zh-CN"/>
          <w14:textFill>
            <w14:solidFill>
              <w14:schemeClr w14:val="tx1"/>
            </w14:solidFill>
          </w14:textFill>
        </w:rPr>
        <w:t>木李镇人民政府党政</w:t>
      </w:r>
      <w:r>
        <w:rPr>
          <w:rFonts w:hint="eastAsia" w:ascii="仿宋_GB2312" w:hAnsi="仿宋" w:eastAsia="仿宋_GB2312" w:cs="仿宋"/>
          <w:color w:val="000000" w:themeColor="text1"/>
          <w:sz w:val="32"/>
          <w:szCs w:val="32"/>
          <w14:textFill>
            <w14:solidFill>
              <w14:schemeClr w14:val="tx1"/>
            </w14:solidFill>
          </w14:textFill>
        </w:rPr>
        <w:t>办公室综合</w:t>
      </w:r>
      <w:r>
        <w:rPr>
          <w:rFonts w:hint="eastAsia" w:ascii="仿宋_GB2312" w:hAnsi="仿宋" w:eastAsia="仿宋_GB2312" w:cs="仿宋"/>
          <w:color w:val="000000" w:themeColor="text1"/>
          <w:sz w:val="32"/>
          <w:szCs w:val="32"/>
          <w:lang w:eastAsia="zh-CN"/>
          <w14:textFill>
            <w14:solidFill>
              <w14:schemeClr w14:val="tx1"/>
            </w14:solidFill>
          </w14:textFill>
        </w:rPr>
        <w:t>各部门科室</w:t>
      </w:r>
      <w:r>
        <w:rPr>
          <w:rFonts w:hint="eastAsia" w:ascii="仿宋_GB2312" w:hAnsi="仿宋" w:eastAsia="仿宋_GB2312" w:cs="仿宋"/>
          <w:color w:val="000000" w:themeColor="text1"/>
          <w:sz w:val="32"/>
          <w:szCs w:val="32"/>
          <w14:textFill>
            <w14:solidFill>
              <w14:schemeClr w14:val="tx1"/>
            </w14:solidFill>
          </w14:textFill>
        </w:rPr>
        <w:t>工作情况编制。</w:t>
      </w:r>
    </w:p>
    <w:p>
      <w:pPr>
        <w:spacing w:line="560" w:lineRule="exact"/>
        <w:ind w:firstLine="640" w:firstLineChars="200"/>
        <w:jc w:val="left"/>
        <w:outlineLvl w:val="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报告全文由总体情况，主动公开政府信息情况，收到和处理政府信息公开申请情况，政府信息公开行政复议、行政诉讼情况，存在的主要问题及改进情况，其他需要报告的事项6个部分组成。</w:t>
      </w:r>
    </w:p>
    <w:p>
      <w:pPr>
        <w:pStyle w:val="8"/>
        <w:keepNext w:val="0"/>
        <w:keepLines w:val="0"/>
        <w:widowControl/>
        <w:suppressLineNumbers w:val="0"/>
        <w:ind w:left="0" w:firstLine="420"/>
        <w:rPr>
          <w:rFonts w:ascii="Times New Roman" w:hAnsi="Times New Roman" w:eastAsia="仿宋_GB2312"/>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报告中所列数据统计期限自2019年1月1日始，至2019年12月31日止。报告电子版可在高青县人民政府门户网站（www.gaoqing.gov.cn）查阅和下载。如对报告内容有疑问，</w:t>
      </w:r>
      <w:r>
        <w:rPr>
          <w:rFonts w:hint="eastAsia" w:ascii="Times New Roman" w:hAnsi="Times New Roman" w:eastAsia="仿宋_GB2312"/>
          <w:kern w:val="22"/>
          <w:sz w:val="32"/>
          <w:szCs w:val="32"/>
        </w:rPr>
        <w:t>请与</w:t>
      </w:r>
      <w:r>
        <w:rPr>
          <w:rFonts w:hint="eastAsia" w:ascii="Times New Roman" w:hAnsi="Times New Roman" w:eastAsia="仿宋_GB2312"/>
          <w:kern w:val="22"/>
          <w:sz w:val="32"/>
          <w:szCs w:val="32"/>
          <w:lang w:eastAsia="zh-CN"/>
        </w:rPr>
        <w:t>木李镇</w:t>
      </w:r>
      <w:r>
        <w:rPr>
          <w:rFonts w:hint="eastAsia" w:ascii="Times New Roman" w:hAnsi="Times New Roman" w:eastAsia="仿宋_GB2312"/>
          <w:kern w:val="22"/>
          <w:sz w:val="32"/>
          <w:szCs w:val="32"/>
        </w:rPr>
        <w:t>人民政府</w:t>
      </w:r>
      <w:r>
        <w:rPr>
          <w:rFonts w:hint="eastAsia" w:ascii="Times New Roman" w:hAnsi="Times New Roman" w:eastAsia="仿宋_GB2312"/>
          <w:kern w:val="22"/>
          <w:sz w:val="32"/>
          <w:szCs w:val="32"/>
          <w:lang w:eastAsia="zh-CN"/>
        </w:rPr>
        <w:t>党政</w:t>
      </w:r>
      <w:r>
        <w:rPr>
          <w:rFonts w:hint="eastAsia" w:ascii="Times New Roman" w:hAnsi="Times New Roman" w:eastAsia="仿宋_GB2312"/>
          <w:kern w:val="22"/>
          <w:sz w:val="32"/>
          <w:szCs w:val="32"/>
        </w:rPr>
        <w:t>办公室联系（地址：高青县</w:t>
      </w:r>
      <w:r>
        <w:rPr>
          <w:rFonts w:hint="eastAsia" w:ascii="Times New Roman" w:hAnsi="Times New Roman" w:eastAsia="仿宋_GB2312"/>
          <w:kern w:val="22"/>
          <w:sz w:val="32"/>
          <w:szCs w:val="32"/>
          <w:lang w:eastAsia="zh-CN"/>
        </w:rPr>
        <w:t>庆淄路</w:t>
      </w:r>
      <w:r>
        <w:rPr>
          <w:rFonts w:hint="eastAsia" w:ascii="Times New Roman" w:hAnsi="Times New Roman" w:eastAsia="仿宋_GB2312"/>
          <w:kern w:val="22"/>
          <w:sz w:val="32"/>
          <w:szCs w:val="32"/>
          <w:lang w:val="en-US" w:eastAsia="zh-CN"/>
        </w:rPr>
        <w:t>256号</w:t>
      </w:r>
      <w:r>
        <w:rPr>
          <w:rFonts w:hint="eastAsia" w:ascii="Times New Roman" w:hAnsi="Times New Roman" w:eastAsia="仿宋_GB2312"/>
          <w:kern w:val="22"/>
          <w:sz w:val="32"/>
          <w:szCs w:val="32"/>
        </w:rPr>
        <w:t>；邮编：25630</w:t>
      </w:r>
      <w:r>
        <w:rPr>
          <w:rFonts w:hint="eastAsia" w:ascii="Times New Roman" w:hAnsi="Times New Roman" w:eastAsia="仿宋_GB2312"/>
          <w:kern w:val="22"/>
          <w:sz w:val="32"/>
          <w:szCs w:val="32"/>
          <w:lang w:val="en-US" w:eastAsia="zh-CN"/>
        </w:rPr>
        <w:t>7</w:t>
      </w:r>
      <w:r>
        <w:rPr>
          <w:rFonts w:hint="eastAsia" w:ascii="Times New Roman" w:hAnsi="Times New Roman" w:eastAsia="仿宋_GB2312"/>
          <w:kern w:val="22"/>
          <w:sz w:val="32"/>
          <w:szCs w:val="32"/>
        </w:rPr>
        <w:t>；电话：0533-</w:t>
      </w:r>
      <w:r>
        <w:rPr>
          <w:rFonts w:hint="eastAsia" w:ascii="Times New Roman" w:hAnsi="Times New Roman" w:eastAsia="仿宋_GB2312"/>
          <w:kern w:val="22"/>
          <w:sz w:val="32"/>
          <w:szCs w:val="32"/>
          <w:lang w:val="en-US" w:eastAsia="zh-CN"/>
        </w:rPr>
        <w:t>6715617</w:t>
      </w:r>
      <w:r>
        <w:rPr>
          <w:rFonts w:hint="eastAsia" w:ascii="Times New Roman" w:hAnsi="Times New Roman" w:eastAsia="仿宋_GB2312"/>
          <w:kern w:val="22"/>
          <w:sz w:val="32"/>
          <w:szCs w:val="32"/>
        </w:rPr>
        <w:t>；传真：0533-6</w:t>
      </w:r>
      <w:r>
        <w:rPr>
          <w:rFonts w:hint="eastAsia" w:ascii="Times New Roman" w:hAnsi="Times New Roman" w:eastAsia="仿宋_GB2312"/>
          <w:kern w:val="22"/>
          <w:sz w:val="32"/>
          <w:szCs w:val="32"/>
          <w:lang w:val="en-US" w:eastAsia="zh-CN"/>
        </w:rPr>
        <w:t>715001；电子邮箱：</w:t>
      </w:r>
      <w:r>
        <w:rPr>
          <w:rFonts w:hint="eastAsia" w:ascii="Times New Roman" w:hAnsi="Times New Roman" w:eastAsia="仿宋_GB2312"/>
          <w:kern w:val="22"/>
          <w:sz w:val="32"/>
          <w:szCs w:val="32"/>
          <w:lang w:eastAsia="zh-CN"/>
        </w:rPr>
        <w:t>gqxmlzdzb@zb.shandong.cn）。</w:t>
      </w:r>
    </w:p>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一、总体情况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w:t>
      </w:r>
      <w:r>
        <w:rPr>
          <w:rFonts w:hint="eastAsia" w:ascii="Times New Roman" w:hAnsi="Times New Roman" w:eastAsia="仿宋_GB2312"/>
          <w:kern w:val="22"/>
          <w:sz w:val="32"/>
          <w:szCs w:val="32"/>
          <w:lang w:eastAsia="zh-CN"/>
        </w:rPr>
        <w:t>木李镇</w:t>
      </w:r>
      <w:r>
        <w:rPr>
          <w:rFonts w:hint="eastAsia" w:ascii="Times New Roman" w:hAnsi="Times New Roman" w:eastAsia="仿宋_GB2312"/>
          <w:kern w:val="22"/>
          <w:sz w:val="32"/>
          <w:szCs w:val="32"/>
        </w:rPr>
        <w:t>继续深入贯彻《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紧紧围绕县委、县政府中心工作及群众关注关切，深化重点领域信息公开，完善政务公开制度建设，坚持以公开为常态、不公开为例外，推动行政权力全过程公开、公共服务全流程公开、社会关切全方位回应，切实提高群众满意度、获得感。</w:t>
      </w:r>
    </w:p>
    <w:p>
      <w:pPr>
        <w:pStyle w:val="8"/>
        <w:widowControl/>
        <w:spacing w:after="0" w:line="560" w:lineRule="exact"/>
        <w:ind w:firstLine="643" w:firstLineChars="200"/>
        <w:jc w:val="both"/>
        <w:rPr>
          <w:rFonts w:hint="eastAsia" w:ascii="楷体_GB2312" w:hAnsi="Times New Roman" w:eastAsia="楷体_GB2312"/>
          <w:b/>
          <w:bCs/>
          <w:color w:val="auto"/>
          <w:kern w:val="22"/>
          <w:sz w:val="32"/>
          <w:szCs w:val="32"/>
        </w:rPr>
      </w:pPr>
      <w:r>
        <w:rPr>
          <w:rFonts w:hint="eastAsia" w:ascii="楷体_GB2312" w:hAnsi="Times New Roman" w:eastAsia="楷体_GB2312"/>
          <w:b/>
          <w:bCs/>
          <w:color w:val="auto"/>
          <w:kern w:val="22"/>
          <w:sz w:val="32"/>
          <w:szCs w:val="32"/>
        </w:rPr>
        <w:t>（一）政府信息公开体制机制建设情况</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kern w:val="22"/>
          <w:sz w:val="32"/>
          <w:szCs w:val="32"/>
        </w:rPr>
        <w:t>一是强化部署推动。</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木李镇深化政务公开、大力营造风清气正的政务生态，统一部署，统筹推进；加强组织领导，明确由党委委员、人武部长、党政办公室主任分管政务公开工作，并向社会公开。</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楷体_GB2312" w:hAnsi="Times New Roman" w:eastAsia="楷体_GB2312"/>
          <w:b/>
          <w:bCs/>
          <w:color w:val="auto"/>
          <w:kern w:val="22"/>
          <w:sz w:val="32"/>
          <w:szCs w:val="32"/>
          <w:lang w:eastAsia="zh-CN"/>
        </w:rPr>
        <w:t>二是加强平台建设，拓展公开渠道。</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充分发挥政府网站作为政务公开第一平台作用，按时维护更新政府信息公开目录、政府信息依申请公开、政府信息公开监督信箱等栏目，明确“五公开”的主体、内容、时限、方式等。加大政务微博、微信等新媒体平台的政务公开力度，提升信息发布、解读回应、政民互动的整体水平。</w:t>
      </w:r>
    </w:p>
    <w:p>
      <w:pPr>
        <w:pStyle w:val="8"/>
        <w:widowControl/>
        <w:spacing w:after="0" w:line="560" w:lineRule="exact"/>
        <w:ind w:firstLine="643" w:firstLineChars="200"/>
        <w:jc w:val="both"/>
        <w:rPr>
          <w:rFonts w:hint="eastAsia" w:ascii="楷体_GB2312" w:hAnsi="Times New Roman" w:eastAsia="楷体_GB2312"/>
          <w:kern w:val="22"/>
          <w:sz w:val="32"/>
          <w:szCs w:val="32"/>
        </w:rPr>
      </w:pPr>
      <w:r>
        <w:rPr>
          <w:rFonts w:hint="eastAsia" w:ascii="楷体_GB2312" w:hAnsi="Times New Roman" w:eastAsia="楷体_GB2312"/>
          <w:b/>
          <w:bCs/>
          <w:color w:val="auto"/>
          <w:kern w:val="22"/>
          <w:sz w:val="32"/>
          <w:szCs w:val="32"/>
        </w:rPr>
        <w:t>（二）主动公开政府信息情况</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eastAsia="仿宋_GB2312"/>
          <w:b/>
          <w:color w:val="auto"/>
          <w:sz w:val="32"/>
          <w:szCs w:val="32"/>
          <w:lang w:val="en-US" w:eastAsia="zh-CN"/>
        </w:rPr>
        <w:t>1、</w:t>
      </w:r>
      <w:r>
        <w:rPr>
          <w:rFonts w:hint="eastAsia" w:ascii="仿宋_GB2312" w:eastAsia="仿宋_GB2312"/>
          <w:b/>
          <w:color w:val="auto"/>
          <w:sz w:val="32"/>
          <w:szCs w:val="32"/>
        </w:rPr>
        <w:t>人大代表建议和政协委员提案办理结果公开方面</w:t>
      </w:r>
      <w:r>
        <w:rPr>
          <w:rFonts w:hint="eastAsia" w:ascii="仿宋_GB2312" w:eastAsia="仿宋_GB2312"/>
          <w:color w:val="auto"/>
          <w:sz w:val="32"/>
          <w:szCs w:val="32"/>
        </w:rPr>
        <w:t>：</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按照《高青县人民政府办公室关于做好2019年度政府系统建议提案办理工作的通知》（高政办字〔2019〕14号）要求，在县政府网站“建议提案办理”栏目主动公开人大代表建议和政协委员提案办理情况。本单位2019年未收到人大代表建议和政协委员提案，因此无法公开办理结果。</w:t>
      </w:r>
    </w:p>
    <w:p>
      <w:pPr>
        <w:pStyle w:val="8"/>
        <w:widowControl/>
        <w:spacing w:after="0" w:line="560" w:lineRule="exact"/>
        <w:ind w:firstLine="640" w:firstLineChars="200"/>
        <w:jc w:val="both"/>
        <w:rPr>
          <w:rFonts w:hint="default"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楷体_GB2312" w:hAnsi="Times New Roman" w:eastAsia="楷体_GB2312"/>
          <w:kern w:val="22"/>
          <w:sz w:val="32"/>
          <w:szCs w:val="32"/>
          <w:lang w:val="en-US" w:eastAsia="zh-CN"/>
        </w:rPr>
        <w:t>2、</w:t>
      </w:r>
      <w:r>
        <w:rPr>
          <w:rFonts w:hint="eastAsia" w:ascii="仿宋_GB2312" w:eastAsia="仿宋_GB2312"/>
          <w:b/>
          <w:color w:val="auto"/>
          <w:sz w:val="32"/>
          <w:szCs w:val="32"/>
        </w:rPr>
        <w:t>聚焦重点领域扩大公开。</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一是做好营商环境领域重点领域信息公开。二是做好民生保障重点领域信息公开。2019年度，在县政务网站公开各类政务信息6条，各大媒体报刊发布信息157篇，其中新华社采用2篇、大众日报17篇、大众网4篇、农民日报2篇、新华网11篇、中新网4篇、淄博日报32篇，其他各类广播新闻媒体125篇，通过木李镇微信公众号发布信息75篇。</w:t>
      </w:r>
    </w:p>
    <w:p>
      <w:pPr>
        <w:pStyle w:val="8"/>
        <w:widowControl/>
        <w:spacing w:after="0" w:line="560" w:lineRule="exact"/>
        <w:ind w:firstLine="643" w:firstLineChars="200"/>
        <w:jc w:val="both"/>
        <w:rPr>
          <w:rFonts w:ascii="楷体_GB2312" w:hAnsi="Times New Roman" w:eastAsia="楷体_GB2312"/>
          <w:b/>
          <w:bCs/>
          <w:color w:val="auto"/>
          <w:kern w:val="22"/>
          <w:sz w:val="32"/>
          <w:szCs w:val="32"/>
        </w:rPr>
      </w:pPr>
      <w:r>
        <w:rPr>
          <w:rFonts w:hint="eastAsia" w:ascii="楷体_GB2312" w:hAnsi="Times New Roman" w:eastAsia="楷体_GB2312"/>
          <w:b/>
          <w:bCs/>
          <w:color w:val="auto"/>
          <w:kern w:val="22"/>
          <w:sz w:val="32"/>
          <w:szCs w:val="32"/>
        </w:rPr>
        <w:t>（三）依申请公开情况</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对于较为复杂的申请件，主动与申请人沟通，了解群众需求，避免因误解引起行政复议或行政诉讼。</w:t>
      </w:r>
    </w:p>
    <w:p>
      <w:pPr>
        <w:spacing w:line="560" w:lineRule="exact"/>
        <w:ind w:firstLine="643" w:firstLineChars="200"/>
        <w:rPr>
          <w:rFonts w:ascii="Times New Roman" w:hAnsi="Times New Roman" w:eastAsia="仿宋_GB2312"/>
          <w:b/>
          <w:color w:val="auto"/>
          <w:kern w:val="0"/>
          <w:sz w:val="32"/>
          <w:szCs w:val="32"/>
        </w:rPr>
      </w:pPr>
      <w:r>
        <w:rPr>
          <w:rFonts w:ascii="Times New Roman" w:hAnsi="Times New Roman" w:eastAsia="仿宋_GB2312"/>
          <w:b/>
          <w:color w:val="auto"/>
          <w:kern w:val="0"/>
          <w:sz w:val="32"/>
          <w:szCs w:val="32"/>
        </w:rPr>
        <w:t>1.</w:t>
      </w:r>
      <w:r>
        <w:rPr>
          <w:rFonts w:hint="eastAsia" w:ascii="Times New Roman" w:hAnsi="Times New Roman" w:eastAsia="仿宋_GB2312"/>
          <w:b/>
          <w:color w:val="auto"/>
          <w:kern w:val="0"/>
          <w:sz w:val="32"/>
          <w:szCs w:val="32"/>
        </w:rPr>
        <w:t>收到和处理政府信息公开申请情况</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木李镇共收到政府信息公开申请0件，结转下年度继续办理0件，上年结转政府信息公开申请0件。</w:t>
      </w:r>
    </w:p>
    <w:p>
      <w:pPr>
        <w:pStyle w:val="8"/>
        <w:widowControl/>
        <w:spacing w:after="0" w:line="560" w:lineRule="exact"/>
        <w:ind w:firstLine="643" w:firstLineChars="200"/>
        <w:jc w:val="both"/>
        <w:rPr>
          <w:rFonts w:ascii="楷体_GB2312" w:hAnsi="Times New Roman" w:eastAsia="楷体_GB2312"/>
          <w:color w:val="auto"/>
          <w:kern w:val="22"/>
          <w:sz w:val="32"/>
          <w:szCs w:val="32"/>
        </w:rPr>
      </w:pPr>
      <w:r>
        <w:rPr>
          <w:rFonts w:hint="eastAsia" w:ascii="Times New Roman" w:hAnsi="Times New Roman" w:eastAsia="仿宋_GB2312"/>
          <w:b/>
          <w:color w:val="auto"/>
          <w:sz w:val="32"/>
          <w:szCs w:val="32"/>
        </w:rPr>
        <w:t>2</w:t>
      </w:r>
      <w:r>
        <w:rPr>
          <w:rFonts w:ascii="Times New Roman" w:hAnsi="Times New Roman" w:eastAsia="仿宋_GB2312"/>
          <w:b/>
          <w:color w:val="auto"/>
          <w:sz w:val="32"/>
          <w:szCs w:val="32"/>
        </w:rPr>
        <w:t>.</w:t>
      </w:r>
      <w:r>
        <w:rPr>
          <w:rFonts w:hint="eastAsia" w:ascii="Times New Roman" w:hAnsi="Times New Roman" w:eastAsia="仿宋_GB2312"/>
          <w:b/>
          <w:color w:val="auto"/>
          <w:sz w:val="32"/>
          <w:szCs w:val="32"/>
        </w:rPr>
        <w:t>收费及减免情况</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本年度，我镇在政府信息公开申请办理过程中，未收取任何费用。</w:t>
      </w:r>
    </w:p>
    <w:p>
      <w:pPr>
        <w:pStyle w:val="8"/>
        <w:widowControl/>
        <w:spacing w:after="0" w:line="560" w:lineRule="exact"/>
        <w:ind w:firstLine="643" w:firstLineChars="200"/>
        <w:jc w:val="both"/>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3.政府信息公开行政复议、行政诉讼情况</w:t>
      </w:r>
    </w:p>
    <w:p>
      <w:pPr>
        <w:pStyle w:val="8"/>
        <w:widowControl/>
        <w:spacing w:after="0" w:line="560" w:lineRule="exact"/>
        <w:ind w:firstLine="640" w:firstLineChars="200"/>
        <w:jc w:val="both"/>
        <w:rPr>
          <w:rFonts w:hint="eastAsia" w:ascii="Times New Roman" w:hAnsi="Times New Roman" w:eastAsia="仿宋_GB2312"/>
          <w:color w:val="auto"/>
          <w:kern w:val="22"/>
          <w:sz w:val="32"/>
          <w:szCs w:val="32"/>
          <w:lang w:eastAsia="zh-CN"/>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2019年，木李镇因政府信息公开引起的行政复议0件，行政诉讼0件。</w:t>
      </w:r>
    </w:p>
    <w:p>
      <w:pPr>
        <w:pStyle w:val="8"/>
        <w:widowControl/>
        <w:spacing w:after="0" w:line="560" w:lineRule="exact"/>
        <w:ind w:firstLine="643" w:firstLineChars="200"/>
        <w:jc w:val="both"/>
        <w:rPr>
          <w:rFonts w:ascii="楷体_GB2312" w:hAnsi="Times New Roman" w:eastAsia="楷体_GB2312"/>
          <w:b/>
          <w:bCs/>
          <w:color w:val="auto"/>
          <w:kern w:val="22"/>
          <w:sz w:val="32"/>
          <w:szCs w:val="32"/>
        </w:rPr>
      </w:pPr>
      <w:r>
        <w:rPr>
          <w:rFonts w:hint="eastAsia" w:ascii="楷体_GB2312" w:hAnsi="Times New Roman" w:eastAsia="楷体_GB2312"/>
          <w:b/>
          <w:bCs/>
          <w:color w:val="auto"/>
          <w:kern w:val="22"/>
          <w:sz w:val="32"/>
          <w:szCs w:val="32"/>
        </w:rPr>
        <w:t>（四）政府信息管理情况</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bCs/>
          <w:color w:val="auto"/>
          <w:kern w:val="22"/>
          <w:sz w:val="32"/>
          <w:szCs w:val="32"/>
        </w:rPr>
        <w:t>一是加强政府信息规范管理</w:t>
      </w:r>
      <w:r>
        <w:rPr>
          <w:rFonts w:hint="eastAsia" w:ascii="Times New Roman" w:hAnsi="Times New Roman" w:eastAsia="仿宋_GB2312"/>
          <w:b/>
          <w:bCs/>
          <w:color w:val="auto"/>
          <w:kern w:val="22"/>
          <w:sz w:val="32"/>
          <w:szCs w:val="32"/>
          <w:lang w:eastAsia="zh-CN"/>
        </w:rPr>
        <w:t>。</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按照“谁主管、谁负责”“谁运行、谁负责”“谁发布、谁负责”的原则，严格落实政府网站信息内容管理责任。同时，规范信息采集、信息审核、信息发布的管理程序。信息审核坚持“谁公开、谁审核”“先审查、后公开”“一事一审”的原则，信息审核执行10项标准，划出14条“红线”，确保信息内容的真实性、完整性、可靠性、准确性和安全性。</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bCs/>
          <w:color w:val="auto"/>
          <w:kern w:val="22"/>
          <w:sz w:val="32"/>
          <w:szCs w:val="32"/>
        </w:rPr>
        <w:t>二是加强政府信息公开培训</w:t>
      </w:r>
      <w:r>
        <w:rPr>
          <w:rFonts w:hint="eastAsia" w:ascii="Times New Roman" w:hAnsi="Times New Roman" w:eastAsia="仿宋_GB2312"/>
          <w:color w:val="auto"/>
          <w:kern w:val="22"/>
          <w:sz w:val="32"/>
          <w:szCs w:val="32"/>
          <w:lang w:eastAsia="zh-CN"/>
        </w:rPr>
        <w:t>。</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提高我镇信息公开工作人员业务水平，推动政务信息公开工作深入开展。</w:t>
      </w:r>
    </w:p>
    <w:p>
      <w:pPr>
        <w:pStyle w:val="8"/>
        <w:widowControl/>
        <w:spacing w:after="0" w:line="560" w:lineRule="exact"/>
        <w:ind w:firstLine="643" w:firstLineChars="200"/>
        <w:jc w:val="both"/>
        <w:rPr>
          <w:rFonts w:ascii="楷体_GB2312" w:hAnsi="Times New Roman" w:eastAsia="楷体_GB2312"/>
          <w:b/>
          <w:bCs/>
          <w:color w:val="auto"/>
          <w:kern w:val="22"/>
          <w:sz w:val="32"/>
          <w:szCs w:val="32"/>
        </w:rPr>
      </w:pPr>
      <w:r>
        <w:rPr>
          <w:rFonts w:hint="eastAsia" w:ascii="楷体_GB2312" w:hAnsi="Times New Roman" w:eastAsia="楷体_GB2312"/>
          <w:b/>
          <w:bCs/>
          <w:color w:val="auto"/>
          <w:kern w:val="22"/>
          <w:sz w:val="32"/>
          <w:szCs w:val="32"/>
        </w:rPr>
        <w:t>（五）政府信息公开平台、机构建设和人员情况</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color w:val="auto"/>
          <w:kern w:val="22"/>
          <w:sz w:val="32"/>
          <w:szCs w:val="32"/>
        </w:rPr>
        <w:t>一是加强平台建设。</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强化门户网站政务公开第一平台作用，完善政府信息公开目录，加大重点领域信息公开力度，新开设“领导信息”栏目，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pStyle w:val="8"/>
        <w:widowControl/>
        <w:spacing w:after="0" w:line="560" w:lineRule="exact"/>
        <w:ind w:firstLine="643"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color w:val="auto"/>
          <w:kern w:val="22"/>
          <w:sz w:val="32"/>
          <w:szCs w:val="32"/>
        </w:rPr>
        <w:t>二是强化机构建设。</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 xml:space="preserve">木李镇党政办公室作为全木李镇人民政府信息公开工作具体科室，统筹负责木李镇政府信息公开组织协调、指导推进、监督检查等工作，其中2人负责政务公开工作，其中1人专职，1人兼职。 </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各镇、街道、经济开发区和县直各部门、单位的办公室具体负责各单位政府信息公开工作。</w:t>
      </w:r>
    </w:p>
    <w:p>
      <w:pPr>
        <w:pStyle w:val="8"/>
        <w:widowControl/>
        <w:spacing w:after="0" w:line="560" w:lineRule="exact"/>
        <w:ind w:firstLine="643" w:firstLineChars="200"/>
        <w:jc w:val="both"/>
        <w:rPr>
          <w:rFonts w:ascii="楷体_GB2312" w:hAnsi="Times New Roman" w:eastAsia="楷体_GB2312"/>
          <w:b/>
          <w:bCs/>
          <w:color w:val="auto"/>
          <w:kern w:val="22"/>
          <w:sz w:val="32"/>
          <w:szCs w:val="32"/>
        </w:rPr>
      </w:pPr>
      <w:r>
        <w:rPr>
          <w:rFonts w:hint="eastAsia" w:ascii="楷体_GB2312" w:hAnsi="Times New Roman" w:eastAsia="楷体_GB2312"/>
          <w:b/>
          <w:bCs/>
          <w:color w:val="auto"/>
          <w:kern w:val="22"/>
          <w:sz w:val="32"/>
          <w:szCs w:val="32"/>
        </w:rPr>
        <w:t>（六）监督保障情况</w:t>
      </w:r>
    </w:p>
    <w:p>
      <w:pPr>
        <w:pStyle w:val="8"/>
        <w:keepNext w:val="0"/>
        <w:keepLines w:val="0"/>
        <w:pageBreakBefore w:val="0"/>
        <w:widowControl/>
        <w:kinsoku/>
        <w:wordWrap/>
        <w:overflowPunct/>
        <w:topLinePunct w:val="0"/>
        <w:autoSpaceDE/>
        <w:autoSpaceDN/>
        <w:bidi w:val="0"/>
        <w:adjustRightInd/>
        <w:snapToGrid/>
        <w:spacing w:after="0" w:line="520" w:lineRule="exact"/>
        <w:ind w:firstLine="643" w:firstLineChars="200"/>
        <w:jc w:val="both"/>
        <w:textAlignment w:val="auto"/>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color w:val="auto"/>
          <w:kern w:val="22"/>
          <w:sz w:val="32"/>
          <w:szCs w:val="32"/>
        </w:rPr>
        <w:t>一是加强工作考核。</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将政务公开工作纳入个人年底考核，端正工作态度，及时、高效、准确的开展政务公开工作。</w:t>
      </w:r>
    </w:p>
    <w:p>
      <w:pPr>
        <w:pStyle w:val="8"/>
        <w:keepNext w:val="0"/>
        <w:keepLines w:val="0"/>
        <w:pageBreakBefore w:val="0"/>
        <w:widowControl/>
        <w:kinsoku/>
        <w:wordWrap/>
        <w:overflowPunct/>
        <w:topLinePunct w:val="0"/>
        <w:autoSpaceDE/>
        <w:autoSpaceDN/>
        <w:bidi w:val="0"/>
        <w:adjustRightInd/>
        <w:snapToGrid/>
        <w:spacing w:after="0" w:line="520" w:lineRule="exact"/>
        <w:ind w:firstLine="643" w:firstLineChars="200"/>
        <w:jc w:val="both"/>
        <w:textAlignment w:val="auto"/>
        <w:rPr>
          <w:rFonts w:hint="default"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b/>
          <w:color w:val="auto"/>
          <w:kern w:val="22"/>
          <w:sz w:val="32"/>
          <w:szCs w:val="32"/>
        </w:rPr>
        <w:t>二是强化责任追究。</w:t>
      </w: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对政务公开工作出现误时，公开内容存在错误的工作人员尽心批评教育和责任追究。</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kern w:val="22"/>
          <w:sz w:val="32"/>
          <w:szCs w:val="32"/>
        </w:rPr>
      </w:pPr>
      <w:r>
        <w:rPr>
          <w:rFonts w:hint="eastAsia" w:ascii="黑体" w:hAnsi="黑体" w:eastAsia="黑体"/>
          <w:kern w:val="22"/>
          <w:sz w:val="32"/>
          <w:szCs w:val="32"/>
        </w:rPr>
        <w:t>二、主动公开政府信息情况</w:t>
      </w:r>
    </w:p>
    <w:p>
      <w:pPr>
        <w:pStyle w:val="8"/>
        <w:keepNext w:val="0"/>
        <w:keepLines w:val="0"/>
        <w:pageBreakBefore w:val="0"/>
        <w:widowControl/>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2019年，木李镇制发政府规章0件，规范性文件0件，行政许可、行政处罚、行政强制、行政事业性收费、政府集中采购等事项公开情况详见下表。</w:t>
      </w: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31" w:type="dxa"/>
            <w:gridSpan w:val="4"/>
            <w:vAlign w:val="center"/>
          </w:tcPr>
          <w:p>
            <w:pPr>
              <w:jc w:val="center"/>
              <w:rPr>
                <w:kern w:val="0"/>
                <w:sz w:val="24"/>
              </w:rPr>
            </w:pPr>
            <w:r>
              <w:rPr>
                <w:rFonts w:hint="eastAsia"/>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本年新制作数量</w:t>
            </w:r>
          </w:p>
        </w:tc>
        <w:tc>
          <w:tcPr>
            <w:tcW w:w="2030" w:type="dxa"/>
            <w:vAlign w:val="center"/>
          </w:tcPr>
          <w:p>
            <w:pPr>
              <w:jc w:val="center"/>
              <w:rPr>
                <w:kern w:val="0"/>
                <w:sz w:val="24"/>
              </w:rPr>
            </w:pPr>
            <w:r>
              <w:rPr>
                <w:rFonts w:hint="eastAsia"/>
                <w:kern w:val="0"/>
                <w:sz w:val="24"/>
              </w:rPr>
              <w:t>本年新</w:t>
            </w:r>
          </w:p>
          <w:p>
            <w:pPr>
              <w:jc w:val="center"/>
              <w:rPr>
                <w:kern w:val="0"/>
                <w:sz w:val="24"/>
              </w:rPr>
            </w:pPr>
            <w:r>
              <w:rPr>
                <w:rFonts w:hint="eastAsia"/>
                <w:kern w:val="0"/>
                <w:sz w:val="24"/>
              </w:rPr>
              <w:t>公开数量</w:t>
            </w:r>
          </w:p>
        </w:tc>
        <w:tc>
          <w:tcPr>
            <w:tcW w:w="2222" w:type="dxa"/>
            <w:vAlign w:val="center"/>
          </w:tcPr>
          <w:p>
            <w:pPr>
              <w:jc w:val="center"/>
              <w:rPr>
                <w:kern w:val="0"/>
                <w:sz w:val="24"/>
              </w:rPr>
            </w:pPr>
            <w:r>
              <w:rPr>
                <w:rFonts w:hint="eastAsia"/>
                <w:kern w:val="0"/>
                <w:sz w:val="24"/>
              </w:rPr>
              <w:t>对外公开</w:t>
            </w:r>
          </w:p>
          <w:p>
            <w:pPr>
              <w:jc w:val="center"/>
              <w:rPr>
                <w:kern w:val="0"/>
                <w:sz w:val="24"/>
              </w:rPr>
            </w:pPr>
            <w:r>
              <w:rPr>
                <w:rFonts w:hint="eastAsia"/>
                <w:kern w:val="0"/>
                <w:sz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vAlign w:val="center"/>
          </w:tcPr>
          <w:p>
            <w:pPr>
              <w:rPr>
                <w:kern w:val="0"/>
                <w:sz w:val="24"/>
              </w:rPr>
            </w:pPr>
            <w:r>
              <w:rPr>
                <w:rFonts w:hint="eastAsia"/>
                <w:kern w:val="0"/>
                <w:sz w:val="24"/>
              </w:rPr>
              <w:t>规章</w:t>
            </w:r>
          </w:p>
        </w:tc>
        <w:tc>
          <w:tcPr>
            <w:tcW w:w="1985" w:type="dxa"/>
            <w:vAlign w:val="center"/>
          </w:tcPr>
          <w:p>
            <w:pPr>
              <w:rPr>
                <w:kern w:val="0"/>
                <w:sz w:val="24"/>
              </w:rPr>
            </w:pPr>
            <w:r>
              <w:rPr>
                <w:rFonts w:hint="eastAsia"/>
                <w:kern w:val="0"/>
                <w:sz w:val="24"/>
              </w:rPr>
              <w:t>0</w:t>
            </w:r>
          </w:p>
        </w:tc>
        <w:tc>
          <w:tcPr>
            <w:tcW w:w="2030" w:type="dxa"/>
            <w:vAlign w:val="center"/>
          </w:tcPr>
          <w:p>
            <w:pPr>
              <w:rPr>
                <w:kern w:val="0"/>
                <w:sz w:val="24"/>
              </w:rPr>
            </w:pPr>
            <w:r>
              <w:rPr>
                <w:rFonts w:hint="eastAsia"/>
                <w:kern w:val="0"/>
                <w:sz w:val="24"/>
              </w:rPr>
              <w:t>0</w:t>
            </w:r>
          </w:p>
        </w:tc>
        <w:tc>
          <w:tcPr>
            <w:tcW w:w="2222" w:type="dxa"/>
            <w:vAlign w:val="center"/>
          </w:tcPr>
          <w:p>
            <w:pP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rPr>
                <w:kern w:val="0"/>
                <w:sz w:val="24"/>
              </w:rPr>
            </w:pPr>
            <w:r>
              <w:rPr>
                <w:rFonts w:hint="eastAsia"/>
                <w:kern w:val="0"/>
                <w:sz w:val="24"/>
              </w:rPr>
              <w:t>规范性文件</w:t>
            </w:r>
          </w:p>
        </w:tc>
        <w:tc>
          <w:tcPr>
            <w:tcW w:w="1985" w:type="dxa"/>
            <w:vAlign w:val="center"/>
          </w:tcPr>
          <w:p>
            <w:pPr>
              <w:rPr>
                <w:rFonts w:hint="eastAsia" w:eastAsia="宋体"/>
                <w:kern w:val="0"/>
                <w:sz w:val="24"/>
                <w:lang w:val="en-US" w:eastAsia="zh-CN"/>
              </w:rPr>
            </w:pPr>
            <w:r>
              <w:rPr>
                <w:rFonts w:hint="eastAsia"/>
                <w:kern w:val="0"/>
                <w:sz w:val="24"/>
                <w:lang w:val="en-US" w:eastAsia="zh-CN"/>
              </w:rPr>
              <w:t>0</w:t>
            </w:r>
          </w:p>
        </w:tc>
        <w:tc>
          <w:tcPr>
            <w:tcW w:w="2030" w:type="dxa"/>
            <w:vAlign w:val="center"/>
          </w:tcPr>
          <w:p>
            <w:pPr>
              <w:rPr>
                <w:rFonts w:hint="eastAsia" w:eastAsia="宋体"/>
                <w:kern w:val="0"/>
                <w:sz w:val="24"/>
                <w:lang w:val="en-US" w:eastAsia="zh-CN"/>
              </w:rPr>
            </w:pPr>
            <w:r>
              <w:rPr>
                <w:rFonts w:hint="eastAsia"/>
                <w:kern w:val="0"/>
                <w:sz w:val="24"/>
                <w:lang w:val="en-US" w:eastAsia="zh-CN"/>
              </w:rPr>
              <w:t>0</w:t>
            </w:r>
          </w:p>
        </w:tc>
        <w:tc>
          <w:tcPr>
            <w:tcW w:w="2222" w:type="dxa"/>
            <w:vAlign w:val="center"/>
          </w:tcPr>
          <w:p>
            <w:pP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31" w:type="dxa"/>
            <w:gridSpan w:val="4"/>
            <w:vAlign w:val="center"/>
          </w:tcPr>
          <w:p>
            <w:pPr>
              <w:jc w:val="center"/>
              <w:rPr>
                <w:kern w:val="0"/>
                <w:sz w:val="24"/>
              </w:rPr>
            </w:pPr>
            <w:r>
              <w:rPr>
                <w:rFonts w:hint="eastAsia"/>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94" w:type="dxa"/>
            <w:vAlign w:val="center"/>
          </w:tcPr>
          <w:p>
            <w:pPr>
              <w:rPr>
                <w:kern w:val="0"/>
                <w:sz w:val="24"/>
              </w:rPr>
            </w:pPr>
            <w:r>
              <w:rPr>
                <w:rFonts w:hint="eastAsia"/>
                <w:kern w:val="0"/>
                <w:sz w:val="24"/>
              </w:rPr>
              <w:t>行政许可</w:t>
            </w:r>
          </w:p>
        </w:tc>
        <w:tc>
          <w:tcPr>
            <w:tcW w:w="1985" w:type="dxa"/>
            <w:vAlign w:val="center"/>
          </w:tcPr>
          <w:p>
            <w:pPr>
              <w:rPr>
                <w:rFonts w:hint="eastAsia" w:eastAsia="宋体"/>
                <w:kern w:val="0"/>
                <w:sz w:val="24"/>
                <w:lang w:val="en-US" w:eastAsia="zh-CN"/>
              </w:rPr>
            </w:pPr>
            <w:r>
              <w:rPr>
                <w:rFonts w:hint="eastAsia"/>
                <w:kern w:val="0"/>
                <w:sz w:val="24"/>
                <w:lang w:val="en-US" w:eastAsia="zh-CN"/>
              </w:rPr>
              <w:t>0</w:t>
            </w:r>
          </w:p>
        </w:tc>
        <w:tc>
          <w:tcPr>
            <w:tcW w:w="2030" w:type="dxa"/>
            <w:vAlign w:val="center"/>
          </w:tcPr>
          <w:p>
            <w:pPr>
              <w:rPr>
                <w:rFonts w:hint="default" w:eastAsia="宋体"/>
                <w:kern w:val="0"/>
                <w:sz w:val="24"/>
                <w:lang w:val="en-US" w:eastAsia="zh-CN"/>
              </w:rPr>
            </w:pPr>
            <w:r>
              <w:rPr>
                <w:rFonts w:hint="eastAsia"/>
                <w:kern w:val="0"/>
                <w:sz w:val="24"/>
                <w:lang w:val="en-US" w:eastAsia="zh-CN"/>
              </w:rPr>
              <w:t>0</w:t>
            </w:r>
          </w:p>
        </w:tc>
        <w:tc>
          <w:tcPr>
            <w:tcW w:w="2222" w:type="dxa"/>
            <w:vAlign w:val="center"/>
          </w:tcPr>
          <w:p>
            <w:pPr>
              <w:rPr>
                <w:rFonts w:hint="default"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94" w:type="dxa"/>
            <w:vAlign w:val="center"/>
          </w:tcPr>
          <w:p>
            <w:pPr>
              <w:rPr>
                <w:kern w:val="0"/>
                <w:sz w:val="24"/>
              </w:rPr>
            </w:pPr>
            <w:r>
              <w:rPr>
                <w:rFonts w:hint="eastAsia"/>
                <w:kern w:val="0"/>
                <w:sz w:val="24"/>
              </w:rPr>
              <w:t>其他对外管理服务事项</w:t>
            </w:r>
          </w:p>
        </w:tc>
        <w:tc>
          <w:tcPr>
            <w:tcW w:w="1985" w:type="dxa"/>
            <w:vAlign w:val="center"/>
          </w:tcPr>
          <w:p>
            <w:pPr>
              <w:rPr>
                <w:rFonts w:hint="eastAsia" w:eastAsia="宋体"/>
                <w:kern w:val="0"/>
                <w:sz w:val="24"/>
                <w:lang w:val="en-US" w:eastAsia="zh-CN"/>
              </w:rPr>
            </w:pPr>
            <w:r>
              <w:rPr>
                <w:rFonts w:hint="eastAsia"/>
                <w:kern w:val="0"/>
                <w:sz w:val="24"/>
                <w:lang w:val="en-US" w:eastAsia="zh-CN"/>
              </w:rPr>
              <w:t>7</w:t>
            </w:r>
          </w:p>
        </w:tc>
        <w:tc>
          <w:tcPr>
            <w:tcW w:w="2030" w:type="dxa"/>
            <w:vAlign w:val="center"/>
          </w:tcPr>
          <w:p>
            <w:pPr>
              <w:rPr>
                <w:rFonts w:hint="eastAsia" w:eastAsia="宋体"/>
                <w:kern w:val="0"/>
                <w:sz w:val="24"/>
                <w:lang w:val="en-US" w:eastAsia="zh-CN"/>
              </w:rPr>
            </w:pPr>
            <w:r>
              <w:rPr>
                <w:rFonts w:hint="eastAsia"/>
                <w:kern w:val="0"/>
                <w:sz w:val="24"/>
                <w:lang w:val="en-US" w:eastAsia="zh-CN"/>
              </w:rPr>
              <w:t>0</w:t>
            </w:r>
          </w:p>
        </w:tc>
        <w:tc>
          <w:tcPr>
            <w:tcW w:w="2222" w:type="dxa"/>
            <w:vAlign w:val="center"/>
          </w:tcPr>
          <w:p>
            <w:pPr>
              <w:rPr>
                <w:rFonts w:hint="eastAsia" w:eastAsia="宋体"/>
                <w:kern w:val="0"/>
                <w:sz w:val="24"/>
                <w:lang w:val="en-US" w:eastAsia="zh-CN"/>
              </w:rPr>
            </w:pPr>
            <w:r>
              <w:rPr>
                <w:rFonts w:hint="eastAsia"/>
                <w:kern w:val="0"/>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31" w:type="dxa"/>
            <w:gridSpan w:val="4"/>
            <w:vAlign w:val="center"/>
          </w:tcPr>
          <w:p>
            <w:pPr>
              <w:jc w:val="center"/>
              <w:rPr>
                <w:kern w:val="0"/>
                <w:sz w:val="24"/>
              </w:rPr>
            </w:pPr>
            <w:r>
              <w:rPr>
                <w:rFonts w:hint="eastAsia"/>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行政处罚</w:t>
            </w:r>
          </w:p>
        </w:tc>
        <w:tc>
          <w:tcPr>
            <w:tcW w:w="1985" w:type="dxa"/>
            <w:vAlign w:val="center"/>
          </w:tcPr>
          <w:p>
            <w:pPr>
              <w:rPr>
                <w:rFonts w:hint="default" w:eastAsia="宋体"/>
                <w:kern w:val="0"/>
                <w:sz w:val="24"/>
                <w:lang w:val="en-US" w:eastAsia="zh-CN"/>
              </w:rPr>
            </w:pPr>
            <w:r>
              <w:rPr>
                <w:rFonts w:hint="eastAsia"/>
                <w:kern w:val="0"/>
                <w:sz w:val="24"/>
                <w:lang w:val="en-US" w:eastAsia="zh-CN"/>
              </w:rPr>
              <w:t>0</w:t>
            </w:r>
          </w:p>
        </w:tc>
        <w:tc>
          <w:tcPr>
            <w:tcW w:w="2030" w:type="dxa"/>
            <w:vAlign w:val="center"/>
          </w:tcPr>
          <w:p>
            <w:pPr>
              <w:rPr>
                <w:rFonts w:hint="eastAsia" w:eastAsia="宋体"/>
                <w:kern w:val="0"/>
                <w:sz w:val="24"/>
                <w:lang w:val="en-US" w:eastAsia="zh-CN"/>
              </w:rPr>
            </w:pPr>
            <w:r>
              <w:rPr>
                <w:rFonts w:hint="eastAsia"/>
                <w:kern w:val="0"/>
                <w:sz w:val="24"/>
                <w:lang w:val="en-US" w:eastAsia="zh-CN"/>
              </w:rPr>
              <w:t>0</w:t>
            </w:r>
          </w:p>
        </w:tc>
        <w:tc>
          <w:tcPr>
            <w:tcW w:w="2222" w:type="dxa"/>
            <w:vAlign w:val="center"/>
          </w:tcPr>
          <w:p>
            <w:pP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行政强制</w:t>
            </w:r>
          </w:p>
        </w:tc>
        <w:tc>
          <w:tcPr>
            <w:tcW w:w="1985" w:type="dxa"/>
            <w:vAlign w:val="center"/>
          </w:tcPr>
          <w:p>
            <w:pPr>
              <w:rPr>
                <w:rFonts w:hint="eastAsia" w:eastAsia="宋体"/>
                <w:kern w:val="0"/>
                <w:sz w:val="24"/>
                <w:lang w:val="en-US" w:eastAsia="zh-CN"/>
              </w:rPr>
            </w:pPr>
            <w:r>
              <w:rPr>
                <w:rFonts w:hint="eastAsia"/>
                <w:kern w:val="0"/>
                <w:sz w:val="24"/>
                <w:lang w:val="en-US" w:eastAsia="zh-CN"/>
              </w:rPr>
              <w:t>0</w:t>
            </w:r>
          </w:p>
        </w:tc>
        <w:tc>
          <w:tcPr>
            <w:tcW w:w="2030" w:type="dxa"/>
            <w:vAlign w:val="center"/>
          </w:tcPr>
          <w:p>
            <w:pPr>
              <w:rPr>
                <w:rFonts w:hint="eastAsia" w:eastAsia="宋体"/>
                <w:kern w:val="0"/>
                <w:sz w:val="24"/>
                <w:lang w:val="en-US" w:eastAsia="zh-CN"/>
              </w:rPr>
            </w:pPr>
            <w:r>
              <w:rPr>
                <w:rFonts w:hint="eastAsia"/>
                <w:kern w:val="0"/>
                <w:sz w:val="24"/>
                <w:lang w:val="en-US" w:eastAsia="zh-CN"/>
              </w:rPr>
              <w:t>0</w:t>
            </w:r>
          </w:p>
        </w:tc>
        <w:tc>
          <w:tcPr>
            <w:tcW w:w="2222" w:type="dxa"/>
            <w:vAlign w:val="center"/>
          </w:tcPr>
          <w:p>
            <w:pP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1" w:type="dxa"/>
            <w:gridSpan w:val="4"/>
            <w:vAlign w:val="center"/>
          </w:tcPr>
          <w:p>
            <w:pPr>
              <w:jc w:val="center"/>
              <w:rPr>
                <w:kern w:val="0"/>
                <w:sz w:val="24"/>
              </w:rPr>
            </w:pPr>
            <w:r>
              <w:rPr>
                <w:rFonts w:hint="eastAsia"/>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4252" w:type="dxa"/>
            <w:gridSpan w:val="2"/>
            <w:vAlign w:val="center"/>
          </w:tcPr>
          <w:p>
            <w:pPr>
              <w:jc w:val="center"/>
              <w:rPr>
                <w:kern w:val="0"/>
                <w:sz w:val="24"/>
              </w:rPr>
            </w:pPr>
            <w:r>
              <w:rPr>
                <w:rFonts w:hint="eastAsia"/>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jc w:val="center"/>
              <w:rPr>
                <w:kern w:val="0"/>
                <w:sz w:val="24"/>
              </w:rPr>
            </w:pPr>
            <w:r>
              <w:rPr>
                <w:rFonts w:hint="eastAsia"/>
                <w:kern w:val="0"/>
                <w:sz w:val="24"/>
              </w:rPr>
              <w:t>行政事业性收费</w:t>
            </w:r>
          </w:p>
        </w:tc>
        <w:tc>
          <w:tcPr>
            <w:tcW w:w="1985" w:type="dxa"/>
            <w:vAlign w:val="center"/>
          </w:tcPr>
          <w:p>
            <w:pPr>
              <w:rPr>
                <w:rFonts w:hint="eastAsia" w:eastAsia="宋体"/>
                <w:kern w:val="0"/>
                <w:sz w:val="24"/>
                <w:lang w:eastAsia="zh-CN"/>
              </w:rPr>
            </w:pPr>
            <w:r>
              <w:rPr>
                <w:rFonts w:hint="eastAsia"/>
                <w:kern w:val="0"/>
                <w:sz w:val="24"/>
                <w:lang w:val="en-US" w:eastAsia="zh-CN"/>
              </w:rPr>
              <w:t>0</w:t>
            </w:r>
          </w:p>
        </w:tc>
        <w:tc>
          <w:tcPr>
            <w:tcW w:w="4252" w:type="dxa"/>
            <w:gridSpan w:val="2"/>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31" w:type="dxa"/>
            <w:gridSpan w:val="4"/>
            <w:vAlign w:val="center"/>
          </w:tcPr>
          <w:p>
            <w:pPr>
              <w:jc w:val="center"/>
              <w:rPr>
                <w:kern w:val="0"/>
                <w:sz w:val="24"/>
              </w:rPr>
            </w:pPr>
            <w:r>
              <w:rPr>
                <w:rFonts w:hint="eastAsia"/>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采购项目数量</w:t>
            </w:r>
          </w:p>
        </w:tc>
        <w:tc>
          <w:tcPr>
            <w:tcW w:w="4252" w:type="dxa"/>
            <w:gridSpan w:val="2"/>
            <w:vAlign w:val="center"/>
          </w:tcPr>
          <w:p>
            <w:pPr>
              <w:jc w:val="center"/>
              <w:rPr>
                <w:kern w:val="0"/>
                <w:sz w:val="24"/>
              </w:rPr>
            </w:pPr>
            <w:r>
              <w:rPr>
                <w:rFonts w:hint="eastAsia"/>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kern w:val="0"/>
                <w:sz w:val="24"/>
              </w:rPr>
            </w:pPr>
            <w:r>
              <w:rPr>
                <w:rFonts w:hint="eastAsia"/>
                <w:kern w:val="0"/>
                <w:sz w:val="24"/>
              </w:rPr>
              <w:t>政府集中采购</w:t>
            </w:r>
          </w:p>
        </w:tc>
        <w:tc>
          <w:tcPr>
            <w:tcW w:w="1985" w:type="dxa"/>
            <w:vAlign w:val="center"/>
          </w:tcPr>
          <w:p>
            <w:pPr>
              <w:rPr>
                <w:rFonts w:hint="eastAsia" w:eastAsia="宋体"/>
                <w:kern w:val="0"/>
                <w:sz w:val="24"/>
                <w:lang w:val="en-US" w:eastAsia="zh-CN"/>
              </w:rPr>
            </w:pPr>
            <w:r>
              <w:rPr>
                <w:rFonts w:hint="eastAsia"/>
                <w:kern w:val="0"/>
                <w:sz w:val="24"/>
                <w:lang w:val="en-US" w:eastAsia="zh-CN"/>
              </w:rPr>
              <w:t>0</w:t>
            </w:r>
          </w:p>
        </w:tc>
        <w:tc>
          <w:tcPr>
            <w:tcW w:w="4252" w:type="dxa"/>
            <w:gridSpan w:val="2"/>
            <w:vAlign w:val="center"/>
          </w:tcPr>
          <w:p>
            <w:pP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rFonts w:hint="eastAsia"/>
                <w:kern w:val="0"/>
                <w:sz w:val="24"/>
              </w:rPr>
            </w:pPr>
            <w:r>
              <w:rPr>
                <w:rFonts w:hint="eastAsia"/>
                <w:kern w:val="0"/>
                <w:sz w:val="24"/>
              </w:rPr>
              <w:t>政府采购</w:t>
            </w:r>
          </w:p>
        </w:tc>
        <w:tc>
          <w:tcPr>
            <w:tcW w:w="1985" w:type="dxa"/>
            <w:vAlign w:val="center"/>
          </w:tcPr>
          <w:p>
            <w:pPr>
              <w:rPr>
                <w:rFonts w:hint="default" w:eastAsia="宋体"/>
                <w:kern w:val="0"/>
                <w:sz w:val="24"/>
                <w:lang w:val="en-US" w:eastAsia="zh-CN"/>
              </w:rPr>
            </w:pPr>
            <w:r>
              <w:rPr>
                <w:rFonts w:hint="eastAsia"/>
                <w:kern w:val="0"/>
                <w:sz w:val="24"/>
                <w:lang w:val="en-US" w:eastAsia="zh-CN"/>
              </w:rPr>
              <w:t>12</w:t>
            </w:r>
          </w:p>
        </w:tc>
        <w:tc>
          <w:tcPr>
            <w:tcW w:w="4252" w:type="dxa"/>
            <w:gridSpan w:val="2"/>
            <w:vAlign w:val="center"/>
          </w:tcPr>
          <w:p>
            <w:pPr>
              <w:rPr>
                <w:rFonts w:hint="default" w:eastAsia="宋体"/>
                <w:kern w:val="0"/>
                <w:sz w:val="24"/>
                <w:lang w:val="en-US" w:eastAsia="zh-CN"/>
              </w:rPr>
            </w:pPr>
            <w:r>
              <w:rPr>
                <w:rFonts w:hint="eastAsia"/>
                <w:kern w:val="0"/>
                <w:sz w:val="24"/>
                <w:lang w:val="en-US" w:eastAsia="zh-CN"/>
              </w:rPr>
              <w:t>11422.13万元</w:t>
            </w:r>
          </w:p>
        </w:tc>
      </w:tr>
    </w:tbl>
    <w:p>
      <w:pPr>
        <w:spacing w:line="560" w:lineRule="exact"/>
        <w:ind w:firstLine="640" w:firstLineChars="200"/>
        <w:jc w:val="left"/>
        <w:rPr>
          <w:rFonts w:ascii="黑体" w:hAnsi="黑体" w:eastAsia="黑体"/>
          <w:kern w:val="22"/>
          <w:sz w:val="32"/>
          <w:szCs w:val="32"/>
        </w:rPr>
      </w:pPr>
      <w:bookmarkStart w:id="0" w:name="_GoBack"/>
      <w:bookmarkEnd w:id="0"/>
      <w:r>
        <w:rPr>
          <w:rFonts w:hint="eastAsia" w:ascii="黑体" w:hAnsi="黑体" w:eastAsia="黑体"/>
          <w:kern w:val="22"/>
          <w:sz w:val="32"/>
          <w:szCs w:val="32"/>
        </w:rPr>
        <w:t>三、收到和处理政府信息公开申请情况</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2019年度，木李镇共收到政府信息公开申请0件，结转下年度继续办理0件，上年结转政府信息公开申请0件。</w:t>
      </w:r>
    </w:p>
    <w:tbl>
      <w:tblPr>
        <w:tblStyle w:val="1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kern w:val="0"/>
                <w:sz w:val="20"/>
              </w:rPr>
            </w:pPr>
            <w:r>
              <w:rPr>
                <w:rFonts w:hint="eastAsia"/>
                <w:kern w:val="0"/>
                <w:sz w:val="20"/>
              </w:rPr>
              <w:t>（本列数据的勾稽关系为：第一项加第二项之和，等于第三项加第四项之和）</w:t>
            </w:r>
          </w:p>
        </w:tc>
        <w:tc>
          <w:tcPr>
            <w:tcW w:w="4961" w:type="dxa"/>
            <w:gridSpan w:val="7"/>
            <w:vAlign w:val="center"/>
          </w:tcPr>
          <w:p>
            <w:pPr>
              <w:jc w:val="center"/>
              <w:rPr>
                <w:kern w:val="0"/>
                <w:sz w:val="20"/>
                <w:szCs w:val="21"/>
              </w:rPr>
            </w:pPr>
            <w:r>
              <w:rPr>
                <w:rFonts w:hint="eastAsia"/>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kern w:val="0"/>
                <w:sz w:val="20"/>
              </w:rPr>
            </w:pPr>
          </w:p>
        </w:tc>
        <w:tc>
          <w:tcPr>
            <w:tcW w:w="567" w:type="dxa"/>
            <w:vMerge w:val="restart"/>
            <w:vAlign w:val="center"/>
          </w:tcPr>
          <w:p>
            <w:pPr>
              <w:jc w:val="center"/>
              <w:rPr>
                <w:kern w:val="0"/>
                <w:sz w:val="18"/>
                <w:szCs w:val="18"/>
              </w:rPr>
            </w:pPr>
            <w:r>
              <w:rPr>
                <w:rFonts w:hint="eastAsia"/>
                <w:kern w:val="0"/>
                <w:sz w:val="20"/>
                <w:szCs w:val="21"/>
              </w:rPr>
              <w:t>自然人</w:t>
            </w:r>
          </w:p>
        </w:tc>
        <w:tc>
          <w:tcPr>
            <w:tcW w:w="3544" w:type="dxa"/>
            <w:gridSpan w:val="5"/>
            <w:vAlign w:val="center"/>
          </w:tcPr>
          <w:p>
            <w:pPr>
              <w:jc w:val="center"/>
              <w:rPr>
                <w:kern w:val="0"/>
                <w:sz w:val="20"/>
                <w:szCs w:val="21"/>
              </w:rPr>
            </w:pPr>
            <w:r>
              <w:rPr>
                <w:rFonts w:hint="eastAsia"/>
                <w:kern w:val="0"/>
                <w:sz w:val="20"/>
                <w:szCs w:val="21"/>
              </w:rPr>
              <w:t>法人或其他组织</w:t>
            </w:r>
          </w:p>
        </w:tc>
        <w:tc>
          <w:tcPr>
            <w:tcW w:w="850" w:type="dxa"/>
            <w:vMerge w:val="restart"/>
            <w:vAlign w:val="center"/>
          </w:tcPr>
          <w:p>
            <w:pP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kern w:val="0"/>
                <w:sz w:val="20"/>
              </w:rPr>
            </w:pPr>
          </w:p>
        </w:tc>
        <w:tc>
          <w:tcPr>
            <w:tcW w:w="567" w:type="dxa"/>
            <w:vMerge w:val="continue"/>
          </w:tcPr>
          <w:p>
            <w:pPr>
              <w:rPr>
                <w:kern w:val="0"/>
                <w:sz w:val="18"/>
                <w:szCs w:val="18"/>
              </w:rPr>
            </w:pPr>
          </w:p>
        </w:tc>
        <w:tc>
          <w:tcPr>
            <w:tcW w:w="709" w:type="dxa"/>
            <w:vAlign w:val="center"/>
          </w:tcPr>
          <w:p>
            <w:pPr>
              <w:rPr>
                <w:kern w:val="0"/>
                <w:sz w:val="20"/>
                <w:szCs w:val="21"/>
              </w:rPr>
            </w:pPr>
            <w:r>
              <w:rPr>
                <w:rFonts w:hint="eastAsia"/>
                <w:kern w:val="0"/>
                <w:sz w:val="20"/>
                <w:szCs w:val="21"/>
              </w:rPr>
              <w:t>商业企业</w:t>
            </w:r>
          </w:p>
        </w:tc>
        <w:tc>
          <w:tcPr>
            <w:tcW w:w="708" w:type="dxa"/>
            <w:vAlign w:val="center"/>
          </w:tcPr>
          <w:p>
            <w:pPr>
              <w:rPr>
                <w:kern w:val="0"/>
                <w:sz w:val="20"/>
                <w:szCs w:val="21"/>
              </w:rPr>
            </w:pPr>
            <w:r>
              <w:rPr>
                <w:rFonts w:hint="eastAsia"/>
                <w:kern w:val="0"/>
                <w:sz w:val="20"/>
                <w:szCs w:val="21"/>
              </w:rPr>
              <w:t>科研机构</w:t>
            </w:r>
          </w:p>
        </w:tc>
        <w:tc>
          <w:tcPr>
            <w:tcW w:w="709" w:type="dxa"/>
            <w:vAlign w:val="center"/>
          </w:tcPr>
          <w:p>
            <w:pPr>
              <w:rPr>
                <w:kern w:val="0"/>
                <w:sz w:val="20"/>
                <w:szCs w:val="21"/>
              </w:rPr>
            </w:pPr>
            <w:r>
              <w:rPr>
                <w:rFonts w:hint="eastAsia"/>
                <w:kern w:val="0"/>
                <w:sz w:val="20"/>
                <w:szCs w:val="21"/>
              </w:rPr>
              <w:t>社会公益组织</w:t>
            </w:r>
          </w:p>
        </w:tc>
        <w:tc>
          <w:tcPr>
            <w:tcW w:w="709" w:type="dxa"/>
            <w:vAlign w:val="center"/>
          </w:tcPr>
          <w:p>
            <w:pPr>
              <w:rPr>
                <w:kern w:val="0"/>
                <w:sz w:val="20"/>
                <w:szCs w:val="21"/>
              </w:rPr>
            </w:pPr>
            <w:r>
              <w:rPr>
                <w:rFonts w:hint="eastAsia"/>
                <w:kern w:val="0"/>
                <w:sz w:val="20"/>
                <w:szCs w:val="21"/>
              </w:rPr>
              <w:t>法律服务机构</w:t>
            </w:r>
          </w:p>
        </w:tc>
        <w:tc>
          <w:tcPr>
            <w:tcW w:w="709" w:type="dxa"/>
            <w:vAlign w:val="center"/>
          </w:tcPr>
          <w:p>
            <w:pPr>
              <w:rPr>
                <w:kern w:val="0"/>
                <w:sz w:val="20"/>
                <w:szCs w:val="21"/>
              </w:rPr>
            </w:pPr>
            <w:r>
              <w:rPr>
                <w:rFonts w:hint="eastAsia"/>
                <w:kern w:val="0"/>
                <w:sz w:val="20"/>
                <w:szCs w:val="21"/>
              </w:rPr>
              <w:t>其他</w:t>
            </w:r>
          </w:p>
        </w:tc>
        <w:tc>
          <w:tcPr>
            <w:tcW w:w="85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kern w:val="0"/>
                <w:sz w:val="20"/>
              </w:rPr>
            </w:pPr>
            <w:r>
              <w:rPr>
                <w:rFonts w:hint="eastAsia"/>
                <w:kern w:val="0"/>
                <w:sz w:val="20"/>
              </w:rPr>
              <w:t>一、本年新收政府信息公开申请数量</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szCs w:val="21"/>
              </w:rPr>
            </w:pPr>
            <w:r>
              <w:rPr>
                <w:rFonts w:hint="eastAsia"/>
                <w:kern w:val="0"/>
                <w:sz w:val="20"/>
                <w:lang w:val="en-US" w:eastAsia="zh-CN"/>
              </w:rPr>
              <w:t>0</w:t>
            </w:r>
          </w:p>
        </w:tc>
        <w:tc>
          <w:tcPr>
            <w:tcW w:w="708" w:type="dxa"/>
            <w:vAlign w:val="top"/>
          </w:tcPr>
          <w:p>
            <w:pPr>
              <w:rPr>
                <w:kern w:val="0"/>
                <w:sz w:val="20"/>
                <w:szCs w:val="21"/>
              </w:rPr>
            </w:pPr>
            <w:r>
              <w:rPr>
                <w:rFonts w:hint="eastAsia"/>
                <w:kern w:val="0"/>
                <w:sz w:val="20"/>
                <w:lang w:val="en-US" w:eastAsia="zh-CN"/>
              </w:rPr>
              <w:t>0</w:t>
            </w:r>
          </w:p>
        </w:tc>
        <w:tc>
          <w:tcPr>
            <w:tcW w:w="709" w:type="dxa"/>
            <w:vAlign w:val="top"/>
          </w:tcPr>
          <w:p>
            <w:pPr>
              <w:rPr>
                <w:kern w:val="0"/>
                <w:sz w:val="20"/>
                <w:szCs w:val="21"/>
              </w:rPr>
            </w:pPr>
            <w:r>
              <w:rPr>
                <w:rFonts w:hint="eastAsia"/>
                <w:kern w:val="0"/>
                <w:sz w:val="20"/>
                <w:lang w:val="en-US" w:eastAsia="zh-CN"/>
              </w:rPr>
              <w:t>0</w:t>
            </w:r>
          </w:p>
        </w:tc>
        <w:tc>
          <w:tcPr>
            <w:tcW w:w="709" w:type="dxa"/>
            <w:vAlign w:val="top"/>
          </w:tcPr>
          <w:p>
            <w:pPr>
              <w:rPr>
                <w:kern w:val="0"/>
                <w:sz w:val="20"/>
                <w:szCs w:val="21"/>
              </w:rPr>
            </w:pPr>
            <w:r>
              <w:rPr>
                <w:rFonts w:hint="eastAsia"/>
                <w:kern w:val="0"/>
                <w:sz w:val="20"/>
                <w:lang w:val="en-US" w:eastAsia="zh-CN"/>
              </w:rPr>
              <w:t>0</w:t>
            </w:r>
          </w:p>
        </w:tc>
        <w:tc>
          <w:tcPr>
            <w:tcW w:w="709" w:type="dxa"/>
            <w:vAlign w:val="top"/>
          </w:tcPr>
          <w:p>
            <w:pPr>
              <w:rPr>
                <w:kern w:val="0"/>
                <w:sz w:val="20"/>
                <w:szCs w:val="21"/>
              </w:rPr>
            </w:pPr>
            <w:r>
              <w:rPr>
                <w:rFonts w:hint="eastAsia"/>
                <w:kern w:val="0"/>
                <w:sz w:val="20"/>
                <w:lang w:val="en-US" w:eastAsia="zh-CN"/>
              </w:rPr>
              <w:t>0</w:t>
            </w:r>
          </w:p>
        </w:tc>
        <w:tc>
          <w:tcPr>
            <w:tcW w:w="850" w:type="dxa"/>
            <w:vAlign w:val="top"/>
          </w:tcPr>
          <w:p>
            <w:pPr>
              <w:rPr>
                <w:kern w:val="0"/>
                <w:sz w:val="20"/>
                <w:szCs w:val="21"/>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kern w:val="0"/>
                <w:sz w:val="20"/>
              </w:rPr>
            </w:pPr>
            <w:r>
              <w:rPr>
                <w:rFonts w:hint="eastAsia"/>
                <w:kern w:val="0"/>
                <w:sz w:val="20"/>
              </w:rPr>
              <w:t>二、上年结转政府信息公开申请数量</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kern w:val="0"/>
                <w:sz w:val="20"/>
              </w:rPr>
            </w:pPr>
            <w:r>
              <w:rPr>
                <w:rFonts w:hint="eastAsia"/>
                <w:kern w:val="0"/>
                <w:sz w:val="20"/>
              </w:rPr>
              <w:t>三、本年度办理结果</w:t>
            </w: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（一）予以公开</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（二）部分公开（区分处理的，只计这一情形，不计其他情形）</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kern w:val="0"/>
                <w:sz w:val="20"/>
              </w:rPr>
            </w:pPr>
          </w:p>
        </w:tc>
        <w:tc>
          <w:tcPr>
            <w:tcW w:w="1560" w:type="dxa"/>
            <w:vMerge w:val="restart"/>
            <w:vAlign w:val="center"/>
          </w:tcPr>
          <w:p>
            <w:pPr>
              <w:rPr>
                <w:rFonts w:asciiTheme="minorEastAsia" w:hAnsiTheme="minorEastAsia"/>
                <w:kern w:val="0"/>
                <w:sz w:val="18"/>
                <w:szCs w:val="18"/>
              </w:rPr>
            </w:pPr>
            <w:r>
              <w:rPr>
                <w:rFonts w:hint="eastAsia" w:asciiTheme="minorEastAsia" w:hAnsiTheme="minorEastAsia"/>
                <w:kern w:val="0"/>
                <w:sz w:val="18"/>
                <w:szCs w:val="18"/>
              </w:rPr>
              <w:t>（三）不予公开</w:t>
            </w:r>
          </w:p>
        </w:tc>
        <w:tc>
          <w:tcPr>
            <w:tcW w:w="2693" w:type="dxa"/>
          </w:tcPr>
          <w:p>
            <w:pPr>
              <w:rPr>
                <w:rFonts w:asciiTheme="minorEastAsia" w:hAnsiTheme="minorEastAsia"/>
                <w:kern w:val="0"/>
                <w:sz w:val="18"/>
                <w:szCs w:val="18"/>
              </w:rPr>
            </w:pPr>
            <w:r>
              <w:rPr>
                <w:rFonts w:asciiTheme="minorEastAsia" w:hAnsiTheme="minorEastAsia"/>
                <w:kern w:val="0"/>
                <w:sz w:val="18"/>
                <w:szCs w:val="18"/>
              </w:rPr>
              <w:t>1</w:t>
            </w:r>
            <w:r>
              <w:rPr>
                <w:rFonts w:hint="eastAsia" w:asciiTheme="minorEastAsia" w:hAnsiTheme="minorEastAsia"/>
                <w:kern w:val="0"/>
                <w:sz w:val="18"/>
                <w:szCs w:val="18"/>
              </w:rPr>
              <w:t>．属于国家秘密</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kern w:val="0"/>
                <w:sz w:val="20"/>
              </w:rPr>
            </w:pPr>
          </w:p>
        </w:tc>
        <w:tc>
          <w:tcPr>
            <w:tcW w:w="1560" w:type="dxa"/>
            <w:vMerge w:val="continue"/>
            <w:vAlign w:val="center"/>
          </w:tcPr>
          <w:p>
            <w:pPr>
              <w:rPr>
                <w:rFonts w:asciiTheme="minorEastAsia" w:hAnsiTheme="minorEastAsia"/>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2．其他法律行政法规禁止公开</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3．危及“三安全一稳定”</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4．保护第三方合法权益</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5．属于三类内部事务信息</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6．属于四类过程性信息</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7．属于行政执法案卷</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8．属于行政查询事项</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（四）无法提供</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1．本机关不掌握相关政府信息</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2．没有现成信息需要另行制作</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3．补正后申请内容仍不明确</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（五）</w:t>
            </w:r>
            <w:r>
              <w:rPr>
                <w:rFonts w:hint="eastAsia" w:asciiTheme="minorEastAsia" w:hAnsiTheme="minorEastAsia"/>
                <w:kern w:val="0"/>
                <w:sz w:val="18"/>
                <w:szCs w:val="18"/>
              </w:rPr>
              <w:t>不予处理</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1．信访举报投诉类申请</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2．重复申请</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asciiTheme="minorEastAsia" w:hAnsiTheme="minorEastAsia"/>
                <w:kern w:val="0"/>
                <w:sz w:val="18"/>
                <w:szCs w:val="18"/>
              </w:rPr>
              <w:t>3</w:t>
            </w:r>
            <w:r>
              <w:rPr>
                <w:rFonts w:hint="eastAsia" w:asciiTheme="minorEastAsia" w:hAnsiTheme="minorEastAsia"/>
                <w:kern w:val="0"/>
                <w:sz w:val="18"/>
                <w:szCs w:val="18"/>
              </w:rPr>
              <w:t>．要求提供公开出版物</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4．无正当理由大量反复申请</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ind w:left="180" w:hanging="180" w:hangingChars="100"/>
              <w:rPr>
                <w:rFonts w:asciiTheme="minorEastAsia" w:hAnsiTheme="minorEastAsia"/>
                <w:kern w:val="0"/>
                <w:sz w:val="18"/>
                <w:szCs w:val="18"/>
              </w:rPr>
            </w:pPr>
            <w:r>
              <w:rPr>
                <w:rFonts w:hint="eastAsia" w:asciiTheme="minorEastAsia" w:hAnsiTheme="minorEastAsia"/>
                <w:kern w:val="0"/>
                <w:sz w:val="18"/>
                <w:szCs w:val="18"/>
              </w:rPr>
              <w:t>5．要求行政机关确认或重新出具已获取信息</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kern w:val="0"/>
                <w:sz w:val="20"/>
              </w:rPr>
            </w:pPr>
          </w:p>
        </w:tc>
        <w:tc>
          <w:tcPr>
            <w:tcW w:w="4253" w:type="dxa"/>
            <w:gridSpan w:val="2"/>
            <w:vAlign w:val="center"/>
          </w:tcPr>
          <w:p>
            <w:pPr>
              <w:rPr>
                <w:kern w:val="0"/>
                <w:sz w:val="18"/>
                <w:szCs w:val="18"/>
              </w:rPr>
            </w:pPr>
            <w:r>
              <w:rPr>
                <w:rFonts w:hint="eastAsia"/>
                <w:kern w:val="0"/>
                <w:sz w:val="18"/>
                <w:szCs w:val="18"/>
              </w:rPr>
              <w:t>（六）其他处理</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kern w:val="0"/>
                <w:sz w:val="20"/>
              </w:rPr>
            </w:pPr>
          </w:p>
        </w:tc>
        <w:tc>
          <w:tcPr>
            <w:tcW w:w="4253" w:type="dxa"/>
            <w:gridSpan w:val="2"/>
            <w:vAlign w:val="center"/>
          </w:tcPr>
          <w:p>
            <w:pPr>
              <w:rPr>
                <w:kern w:val="0"/>
                <w:sz w:val="18"/>
                <w:szCs w:val="18"/>
              </w:rPr>
            </w:pPr>
            <w:r>
              <w:rPr>
                <w:rFonts w:hint="eastAsia"/>
                <w:kern w:val="0"/>
                <w:sz w:val="18"/>
                <w:szCs w:val="18"/>
              </w:rPr>
              <w:t>（七）总计</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kern w:val="0"/>
                <w:sz w:val="20"/>
              </w:rPr>
            </w:pPr>
            <w:r>
              <w:rPr>
                <w:rFonts w:hint="eastAsia"/>
                <w:kern w:val="0"/>
                <w:sz w:val="20"/>
              </w:rPr>
              <w:t>四、结转下年度继续办理</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8"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709" w:type="dxa"/>
            <w:vAlign w:val="top"/>
          </w:tcPr>
          <w:p>
            <w:pPr>
              <w:rPr>
                <w:kern w:val="0"/>
                <w:sz w:val="20"/>
              </w:rPr>
            </w:pPr>
            <w:r>
              <w:rPr>
                <w:rFonts w:hint="eastAsia"/>
                <w:kern w:val="0"/>
                <w:sz w:val="20"/>
                <w:lang w:val="en-US" w:eastAsia="zh-CN"/>
              </w:rPr>
              <w:t>0</w:t>
            </w:r>
          </w:p>
        </w:tc>
        <w:tc>
          <w:tcPr>
            <w:tcW w:w="850" w:type="dxa"/>
            <w:vAlign w:val="top"/>
          </w:tcPr>
          <w:p>
            <w:pPr>
              <w:rPr>
                <w:kern w:val="0"/>
                <w:sz w:val="20"/>
              </w:rPr>
            </w:pPr>
            <w:r>
              <w:rPr>
                <w:rFonts w:hint="eastAsia"/>
                <w:kern w:val="0"/>
                <w:sz w:val="20"/>
                <w:lang w:val="en-US" w:eastAsia="zh-CN"/>
              </w:rPr>
              <w:t>0</w:t>
            </w:r>
          </w:p>
        </w:tc>
      </w:tr>
    </w:tbl>
    <w:p>
      <w:pPr>
        <w:pStyle w:val="8"/>
        <w:widowControl/>
        <w:spacing w:after="0"/>
        <w:ind w:firstLine="640" w:firstLineChars="200"/>
        <w:rPr>
          <w:rFonts w:ascii="仿宋_GB2312" w:hAnsi="仿宋" w:eastAsia="仿宋_GB2312" w:cs="仿宋"/>
          <w:color w:val="000000" w:themeColor="text1"/>
          <w:sz w:val="32"/>
          <w:szCs w:val="32"/>
          <w14:textFill>
            <w14:solidFill>
              <w14:schemeClr w14:val="tx1"/>
            </w14:solidFill>
          </w14:textFill>
        </w:rPr>
      </w:pPr>
    </w:p>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四、政府信息公开行政复议、行政诉讼情况</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2019年，木李镇因政府信息公开引起的行政复议0件，行政诉讼0件。</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p>
    <w:tbl>
      <w:tblPr>
        <w:tblStyle w:val="10"/>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kern w:val="0"/>
                <w:sz w:val="20"/>
                <w:szCs w:val="21"/>
              </w:rPr>
            </w:pPr>
            <w:r>
              <w:rPr>
                <w:rFonts w:hint="eastAsia"/>
                <w:kern w:val="0"/>
                <w:sz w:val="20"/>
                <w:szCs w:val="21"/>
              </w:rPr>
              <w:t>行政复议</w:t>
            </w:r>
          </w:p>
        </w:tc>
        <w:tc>
          <w:tcPr>
            <w:tcW w:w="6804" w:type="dxa"/>
            <w:gridSpan w:val="10"/>
            <w:vAlign w:val="center"/>
          </w:tcPr>
          <w:p>
            <w:pPr>
              <w:jc w:val="center"/>
              <w:rPr>
                <w:kern w:val="0"/>
                <w:sz w:val="20"/>
                <w:szCs w:val="21"/>
              </w:rPr>
            </w:pPr>
            <w:r>
              <w:rPr>
                <w:rFonts w:hint="eastAsia"/>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kern w:val="0"/>
                <w:sz w:val="20"/>
                <w:szCs w:val="21"/>
              </w:rPr>
            </w:pPr>
            <w:r>
              <w:rPr>
                <w:rFonts w:hint="eastAsia"/>
                <w:kern w:val="0"/>
                <w:sz w:val="20"/>
                <w:szCs w:val="21"/>
              </w:rPr>
              <w:t>结果维持</w:t>
            </w:r>
          </w:p>
        </w:tc>
        <w:tc>
          <w:tcPr>
            <w:tcW w:w="708" w:type="dxa"/>
            <w:vMerge w:val="restart"/>
            <w:vAlign w:val="center"/>
          </w:tcPr>
          <w:p>
            <w:pPr>
              <w:jc w:val="center"/>
              <w:rPr>
                <w:kern w:val="0"/>
                <w:sz w:val="20"/>
                <w:szCs w:val="21"/>
              </w:rPr>
            </w:pPr>
            <w:r>
              <w:rPr>
                <w:rFonts w:hint="eastAsia"/>
                <w:kern w:val="0"/>
                <w:sz w:val="20"/>
                <w:szCs w:val="21"/>
              </w:rPr>
              <w:t>结果纠正</w:t>
            </w:r>
          </w:p>
        </w:tc>
        <w:tc>
          <w:tcPr>
            <w:tcW w:w="709" w:type="dxa"/>
            <w:vMerge w:val="restart"/>
            <w:vAlign w:val="center"/>
          </w:tcPr>
          <w:p>
            <w:pPr>
              <w:jc w:val="center"/>
              <w:rPr>
                <w:kern w:val="0"/>
                <w:sz w:val="20"/>
                <w:szCs w:val="21"/>
              </w:rPr>
            </w:pPr>
            <w:r>
              <w:rPr>
                <w:rFonts w:hint="eastAsia"/>
                <w:kern w:val="0"/>
                <w:sz w:val="20"/>
                <w:szCs w:val="21"/>
              </w:rPr>
              <w:t>其他结果</w:t>
            </w:r>
          </w:p>
        </w:tc>
        <w:tc>
          <w:tcPr>
            <w:tcW w:w="682" w:type="dxa"/>
            <w:vMerge w:val="restart"/>
            <w:vAlign w:val="center"/>
          </w:tcPr>
          <w:p>
            <w:pPr>
              <w:jc w:val="center"/>
              <w:rPr>
                <w:kern w:val="0"/>
                <w:sz w:val="20"/>
                <w:szCs w:val="21"/>
              </w:rPr>
            </w:pPr>
            <w:r>
              <w:rPr>
                <w:rFonts w:hint="eastAsia"/>
                <w:kern w:val="0"/>
                <w:sz w:val="20"/>
                <w:szCs w:val="21"/>
              </w:rPr>
              <w:t>尚未审结</w:t>
            </w:r>
          </w:p>
        </w:tc>
        <w:tc>
          <w:tcPr>
            <w:tcW w:w="594" w:type="dxa"/>
            <w:vMerge w:val="restart"/>
            <w:vAlign w:val="center"/>
          </w:tcPr>
          <w:p>
            <w:pPr>
              <w:jc w:val="center"/>
              <w:rPr>
                <w:kern w:val="0"/>
                <w:sz w:val="20"/>
                <w:szCs w:val="21"/>
              </w:rPr>
            </w:pPr>
            <w:r>
              <w:rPr>
                <w:rFonts w:hint="eastAsia"/>
                <w:kern w:val="0"/>
                <w:sz w:val="20"/>
                <w:szCs w:val="21"/>
              </w:rPr>
              <w:t>总计</w:t>
            </w:r>
          </w:p>
        </w:tc>
        <w:tc>
          <w:tcPr>
            <w:tcW w:w="3402" w:type="dxa"/>
            <w:gridSpan w:val="5"/>
            <w:vAlign w:val="center"/>
          </w:tcPr>
          <w:p>
            <w:pPr>
              <w:jc w:val="center"/>
              <w:rPr>
                <w:kern w:val="0"/>
                <w:sz w:val="20"/>
                <w:szCs w:val="21"/>
              </w:rPr>
            </w:pPr>
            <w:r>
              <w:rPr>
                <w:rFonts w:hint="eastAsia"/>
                <w:kern w:val="0"/>
                <w:sz w:val="20"/>
                <w:szCs w:val="21"/>
              </w:rPr>
              <w:t>未经复议直接起诉</w:t>
            </w:r>
          </w:p>
        </w:tc>
        <w:tc>
          <w:tcPr>
            <w:tcW w:w="3402" w:type="dxa"/>
            <w:gridSpan w:val="5"/>
            <w:vAlign w:val="center"/>
          </w:tcPr>
          <w:p>
            <w:pPr>
              <w:jc w:val="center"/>
              <w:rPr>
                <w:kern w:val="0"/>
                <w:sz w:val="20"/>
                <w:szCs w:val="21"/>
              </w:rPr>
            </w:pPr>
            <w:r>
              <w:rPr>
                <w:rFonts w:hint="eastAsia"/>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kern w:val="0"/>
                <w:sz w:val="18"/>
                <w:szCs w:val="18"/>
              </w:rPr>
            </w:pPr>
          </w:p>
        </w:tc>
        <w:tc>
          <w:tcPr>
            <w:tcW w:w="708" w:type="dxa"/>
            <w:vMerge w:val="continue"/>
            <w:vAlign w:val="center"/>
          </w:tcPr>
          <w:p>
            <w:pPr>
              <w:jc w:val="center"/>
              <w:rPr>
                <w:kern w:val="0"/>
                <w:sz w:val="18"/>
                <w:szCs w:val="18"/>
              </w:rPr>
            </w:pPr>
          </w:p>
        </w:tc>
        <w:tc>
          <w:tcPr>
            <w:tcW w:w="709" w:type="dxa"/>
            <w:vMerge w:val="continue"/>
            <w:vAlign w:val="center"/>
          </w:tcPr>
          <w:p>
            <w:pPr>
              <w:jc w:val="center"/>
              <w:rPr>
                <w:kern w:val="0"/>
                <w:sz w:val="18"/>
                <w:szCs w:val="18"/>
              </w:rPr>
            </w:pPr>
          </w:p>
        </w:tc>
        <w:tc>
          <w:tcPr>
            <w:tcW w:w="682" w:type="dxa"/>
            <w:vMerge w:val="continue"/>
            <w:vAlign w:val="center"/>
          </w:tcPr>
          <w:p>
            <w:pPr>
              <w:jc w:val="center"/>
              <w:rPr>
                <w:kern w:val="0"/>
                <w:sz w:val="20"/>
                <w:szCs w:val="21"/>
              </w:rPr>
            </w:pPr>
          </w:p>
        </w:tc>
        <w:tc>
          <w:tcPr>
            <w:tcW w:w="594" w:type="dxa"/>
            <w:vMerge w:val="continue"/>
            <w:vAlign w:val="center"/>
          </w:tcPr>
          <w:p>
            <w:pPr>
              <w:jc w:val="center"/>
              <w:rPr>
                <w:kern w:val="0"/>
                <w:sz w:val="20"/>
                <w:szCs w:val="21"/>
              </w:rPr>
            </w:pPr>
          </w:p>
        </w:tc>
        <w:tc>
          <w:tcPr>
            <w:tcW w:w="709" w:type="dxa"/>
            <w:vAlign w:val="center"/>
          </w:tcPr>
          <w:p>
            <w:pPr>
              <w:jc w:val="center"/>
              <w:rPr>
                <w:kern w:val="0"/>
                <w:sz w:val="20"/>
                <w:szCs w:val="21"/>
              </w:rPr>
            </w:pPr>
            <w:r>
              <w:rPr>
                <w:rFonts w:hint="eastAsia"/>
                <w:kern w:val="0"/>
                <w:sz w:val="20"/>
                <w:szCs w:val="21"/>
              </w:rPr>
              <w:t>结果维持</w:t>
            </w:r>
          </w:p>
        </w:tc>
        <w:tc>
          <w:tcPr>
            <w:tcW w:w="709" w:type="dxa"/>
            <w:vAlign w:val="center"/>
          </w:tcPr>
          <w:p>
            <w:pPr>
              <w:jc w:val="center"/>
              <w:rPr>
                <w:kern w:val="0"/>
                <w:sz w:val="20"/>
                <w:szCs w:val="21"/>
              </w:rPr>
            </w:pPr>
            <w:r>
              <w:rPr>
                <w:rFonts w:hint="eastAsia"/>
                <w:kern w:val="0"/>
                <w:sz w:val="20"/>
                <w:szCs w:val="21"/>
              </w:rPr>
              <w:t>结果纠正</w:t>
            </w:r>
          </w:p>
        </w:tc>
        <w:tc>
          <w:tcPr>
            <w:tcW w:w="709" w:type="dxa"/>
            <w:vAlign w:val="center"/>
          </w:tcPr>
          <w:p>
            <w:pPr>
              <w:jc w:val="center"/>
              <w:rPr>
                <w:kern w:val="0"/>
                <w:sz w:val="20"/>
                <w:szCs w:val="21"/>
              </w:rPr>
            </w:pPr>
            <w:r>
              <w:rPr>
                <w:rFonts w:hint="eastAsia"/>
                <w:kern w:val="0"/>
                <w:sz w:val="20"/>
                <w:szCs w:val="21"/>
              </w:rPr>
              <w:t>其他结果</w:t>
            </w:r>
          </w:p>
        </w:tc>
        <w:tc>
          <w:tcPr>
            <w:tcW w:w="708" w:type="dxa"/>
            <w:vAlign w:val="center"/>
          </w:tcPr>
          <w:p>
            <w:pPr>
              <w:jc w:val="center"/>
              <w:rPr>
                <w:kern w:val="0"/>
                <w:sz w:val="20"/>
                <w:szCs w:val="21"/>
              </w:rPr>
            </w:pPr>
            <w:r>
              <w:rPr>
                <w:rFonts w:hint="eastAsia"/>
                <w:kern w:val="0"/>
                <w:sz w:val="20"/>
                <w:szCs w:val="21"/>
              </w:rPr>
              <w:t>尚未审结</w:t>
            </w:r>
          </w:p>
        </w:tc>
        <w:tc>
          <w:tcPr>
            <w:tcW w:w="567" w:type="dxa"/>
            <w:vAlign w:val="center"/>
          </w:tcPr>
          <w:p>
            <w:pPr>
              <w:jc w:val="center"/>
              <w:rPr>
                <w:kern w:val="0"/>
                <w:sz w:val="20"/>
                <w:szCs w:val="21"/>
              </w:rPr>
            </w:pPr>
            <w:r>
              <w:rPr>
                <w:rFonts w:hint="eastAsia"/>
                <w:kern w:val="0"/>
                <w:sz w:val="20"/>
                <w:szCs w:val="21"/>
              </w:rPr>
              <w:t>总计</w:t>
            </w:r>
          </w:p>
        </w:tc>
        <w:tc>
          <w:tcPr>
            <w:tcW w:w="851" w:type="dxa"/>
            <w:vAlign w:val="center"/>
          </w:tcPr>
          <w:p>
            <w:pPr>
              <w:jc w:val="center"/>
              <w:rPr>
                <w:kern w:val="0"/>
                <w:sz w:val="20"/>
                <w:szCs w:val="21"/>
              </w:rPr>
            </w:pPr>
            <w:r>
              <w:rPr>
                <w:rFonts w:hint="eastAsia"/>
                <w:kern w:val="0"/>
                <w:sz w:val="20"/>
                <w:szCs w:val="21"/>
              </w:rPr>
              <w:t>结果维持</w:t>
            </w:r>
          </w:p>
        </w:tc>
        <w:tc>
          <w:tcPr>
            <w:tcW w:w="650" w:type="dxa"/>
            <w:vAlign w:val="center"/>
          </w:tcPr>
          <w:p>
            <w:pPr>
              <w:jc w:val="center"/>
              <w:rPr>
                <w:kern w:val="0"/>
                <w:sz w:val="20"/>
                <w:szCs w:val="21"/>
              </w:rPr>
            </w:pPr>
            <w:r>
              <w:rPr>
                <w:rFonts w:hint="eastAsia"/>
                <w:kern w:val="0"/>
                <w:sz w:val="20"/>
                <w:szCs w:val="21"/>
              </w:rPr>
              <w:t>结果纠正</w:t>
            </w:r>
          </w:p>
        </w:tc>
        <w:tc>
          <w:tcPr>
            <w:tcW w:w="767" w:type="dxa"/>
            <w:vAlign w:val="center"/>
          </w:tcPr>
          <w:p>
            <w:pPr>
              <w:jc w:val="center"/>
              <w:rPr>
                <w:kern w:val="0"/>
                <w:sz w:val="20"/>
                <w:szCs w:val="21"/>
              </w:rPr>
            </w:pPr>
            <w:r>
              <w:rPr>
                <w:rFonts w:hint="eastAsia"/>
                <w:kern w:val="0"/>
                <w:sz w:val="20"/>
                <w:szCs w:val="21"/>
              </w:rPr>
              <w:t>其他结果</w:t>
            </w:r>
          </w:p>
        </w:tc>
        <w:tc>
          <w:tcPr>
            <w:tcW w:w="709" w:type="dxa"/>
            <w:vAlign w:val="center"/>
          </w:tcPr>
          <w:p>
            <w:pPr>
              <w:jc w:val="center"/>
              <w:rPr>
                <w:kern w:val="0"/>
                <w:sz w:val="20"/>
                <w:szCs w:val="21"/>
              </w:rPr>
            </w:pPr>
            <w:r>
              <w:rPr>
                <w:rFonts w:hint="eastAsia"/>
                <w:kern w:val="0"/>
                <w:sz w:val="20"/>
                <w:szCs w:val="21"/>
              </w:rPr>
              <w:t>尚未审结</w:t>
            </w:r>
          </w:p>
        </w:tc>
        <w:tc>
          <w:tcPr>
            <w:tcW w:w="425" w:type="dxa"/>
            <w:vAlign w:val="center"/>
          </w:tcPr>
          <w:p>
            <w:pPr>
              <w:jc w:val="cente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hint="eastAsia" w:eastAsia="宋体"/>
                <w:kern w:val="0"/>
                <w:sz w:val="18"/>
                <w:szCs w:val="18"/>
                <w:lang w:val="en-US" w:eastAsia="zh-CN"/>
              </w:rPr>
            </w:pPr>
            <w:r>
              <w:rPr>
                <w:rFonts w:hint="eastAsia"/>
                <w:kern w:val="0"/>
                <w:sz w:val="18"/>
                <w:szCs w:val="18"/>
                <w:lang w:val="en-US" w:eastAsia="zh-CN"/>
              </w:rPr>
              <w:t>0</w:t>
            </w:r>
          </w:p>
        </w:tc>
        <w:tc>
          <w:tcPr>
            <w:tcW w:w="708" w:type="dxa"/>
            <w:vAlign w:val="center"/>
          </w:tcPr>
          <w:p>
            <w:pPr>
              <w:rPr>
                <w:rFonts w:hint="eastAsia" w:eastAsia="宋体"/>
                <w:kern w:val="0"/>
                <w:sz w:val="18"/>
                <w:szCs w:val="18"/>
                <w:lang w:val="en-US" w:eastAsia="zh-CN"/>
              </w:rPr>
            </w:pPr>
            <w:r>
              <w:rPr>
                <w:rFonts w:hint="eastAsia"/>
                <w:kern w:val="0"/>
                <w:sz w:val="18"/>
                <w:szCs w:val="18"/>
                <w:lang w:val="en-US" w:eastAsia="zh-CN"/>
              </w:rPr>
              <w:t>0</w:t>
            </w:r>
          </w:p>
        </w:tc>
        <w:tc>
          <w:tcPr>
            <w:tcW w:w="709" w:type="dxa"/>
            <w:vAlign w:val="center"/>
          </w:tcPr>
          <w:p>
            <w:pPr>
              <w:rPr>
                <w:rFonts w:hint="eastAsia" w:eastAsia="宋体"/>
                <w:kern w:val="0"/>
                <w:sz w:val="18"/>
                <w:szCs w:val="18"/>
                <w:lang w:val="en-US" w:eastAsia="zh-CN"/>
              </w:rPr>
            </w:pPr>
            <w:r>
              <w:rPr>
                <w:rFonts w:hint="eastAsia"/>
                <w:kern w:val="0"/>
                <w:sz w:val="18"/>
                <w:szCs w:val="18"/>
                <w:lang w:val="en-US" w:eastAsia="zh-CN"/>
              </w:rPr>
              <w:t>0</w:t>
            </w:r>
          </w:p>
        </w:tc>
        <w:tc>
          <w:tcPr>
            <w:tcW w:w="682"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594"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708"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567"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851"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650"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767"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709" w:type="dxa"/>
            <w:vAlign w:val="center"/>
          </w:tcPr>
          <w:p>
            <w:pPr>
              <w:rPr>
                <w:rFonts w:hint="eastAsia" w:eastAsia="宋体"/>
                <w:kern w:val="0"/>
                <w:sz w:val="20"/>
                <w:szCs w:val="21"/>
                <w:lang w:val="en-US" w:eastAsia="zh-CN"/>
              </w:rPr>
            </w:pPr>
            <w:r>
              <w:rPr>
                <w:rFonts w:hint="eastAsia"/>
                <w:kern w:val="0"/>
                <w:sz w:val="20"/>
                <w:szCs w:val="21"/>
                <w:lang w:val="en-US" w:eastAsia="zh-CN"/>
              </w:rPr>
              <w:t>0</w:t>
            </w:r>
          </w:p>
        </w:tc>
        <w:tc>
          <w:tcPr>
            <w:tcW w:w="425" w:type="dxa"/>
            <w:vAlign w:val="center"/>
          </w:tcPr>
          <w:p>
            <w:pPr>
              <w:rPr>
                <w:rFonts w:hint="eastAsia" w:eastAsia="宋体"/>
                <w:kern w:val="0"/>
                <w:sz w:val="20"/>
                <w:szCs w:val="21"/>
                <w:lang w:val="en-US" w:eastAsia="zh-CN"/>
              </w:rPr>
            </w:pPr>
            <w:r>
              <w:rPr>
                <w:rFonts w:hint="eastAsia"/>
                <w:kern w:val="0"/>
                <w:sz w:val="20"/>
                <w:szCs w:val="21"/>
                <w:lang w:val="en-US" w:eastAsia="zh-CN"/>
              </w:rPr>
              <w:t>0</w:t>
            </w:r>
          </w:p>
        </w:tc>
      </w:tr>
    </w:tbl>
    <w:p>
      <w:pPr>
        <w:spacing w:line="560" w:lineRule="exact"/>
        <w:ind w:firstLine="640" w:firstLineChars="200"/>
        <w:jc w:val="left"/>
        <w:rPr>
          <w:rFonts w:ascii="黑体" w:hAnsi="黑体" w:eastAsia="黑体"/>
          <w:kern w:val="22"/>
          <w:sz w:val="32"/>
          <w:szCs w:val="32"/>
        </w:rPr>
      </w:pPr>
    </w:p>
    <w:p>
      <w:pPr>
        <w:spacing w:line="560" w:lineRule="exact"/>
        <w:ind w:firstLine="640" w:firstLineChars="200"/>
        <w:jc w:val="left"/>
        <w:rPr>
          <w:rFonts w:ascii="仿宋_GB2312" w:hAnsi="仿宋" w:eastAsia="仿宋_GB2312" w:cs="仿宋"/>
          <w:color w:val="000000" w:themeColor="text1"/>
          <w:kern w:val="0"/>
          <w:sz w:val="32"/>
          <w:szCs w:val="32"/>
          <w14:textFill>
            <w14:solidFill>
              <w14:schemeClr w14:val="tx1"/>
            </w14:solidFill>
          </w14:textFill>
        </w:rPr>
      </w:pPr>
      <w:r>
        <w:rPr>
          <w:rFonts w:hint="eastAsia" w:ascii="黑体" w:hAnsi="黑体" w:eastAsia="黑体"/>
          <w:kern w:val="22"/>
          <w:sz w:val="32"/>
          <w:szCs w:val="32"/>
        </w:rPr>
        <w:t>五、存在的主要问题及改进情况</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2019年，木李镇政府信息公开工作在上级有关部门的领导下取得了一些成效，但也清醒地认识到，在政府信息公开工作中我镇仍然存在一些问题：</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一是主动公开政府信息和意识还有待增强，政府信息公开质量还有待进一步提高。</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二是公开的内容和形式还欠丰富、内容更新上做得还不够及时。</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2020年，木李镇将按照《条例》和市、县对政府信息公开的相关要求，继续大力推进政府信息公开工作，主要是做好以下几方面工作：</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一是加强学习培训。加强政务公开培训，提高工作人员业务能力。二是加强制度建设。健全完善并严格落实政务公开相关工作制度，完善工作制度体系。三是提高公开质量。规范公开信息的采集、编辑、公开程序，完善工作流程，提高信息公开质量，做到及时公开。</w:t>
      </w:r>
    </w:p>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六、其他需要报告的事项</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t>本报告所列数据可能因四舍五入原因与数据直接相加之和存在尾数差异。</w:t>
      </w:r>
    </w:p>
    <w:p>
      <w:pPr>
        <w:pStyle w:val="8"/>
        <w:widowControl/>
        <w:spacing w:after="0" w:line="560" w:lineRule="exact"/>
        <w:ind w:firstLine="640" w:firstLineChars="200"/>
        <w:jc w:val="both"/>
        <w:rPr>
          <w:rFonts w:hint="eastAsia" w:ascii="仿宋_GB2312" w:hAnsi="仿宋" w:eastAsia="仿宋_GB2312" w:cs="仿宋"/>
          <w:color w:val="000000" w:themeColor="text1"/>
          <w:kern w:val="2"/>
          <w:sz w:val="32"/>
          <w:szCs w:val="32"/>
          <w:lang w:val="en-US" w:eastAsia="zh-CN" w:bidi="ar-SA"/>
          <w14:textFill>
            <w14:solidFill>
              <w14:schemeClr w14:val="tx1"/>
            </w14:solidFill>
          </w14:textFill>
        </w:rPr>
      </w:pP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ind w:firstLine="640" w:firstLineChars="200"/>
        <w:jc w:val="right"/>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木李镇</w:t>
      </w:r>
      <w:r>
        <w:rPr>
          <w:rFonts w:hint="eastAsia" w:ascii="仿宋_GB2312" w:hAnsi="仿宋" w:eastAsia="仿宋_GB2312" w:cs="仿宋"/>
          <w:color w:val="000000" w:themeColor="text1"/>
          <w:sz w:val="32"/>
          <w:szCs w:val="32"/>
          <w14:textFill>
            <w14:solidFill>
              <w14:schemeClr w14:val="tx1"/>
            </w14:solidFill>
          </w14:textFill>
        </w:rPr>
        <w:t>人民政府</w:t>
      </w:r>
    </w:p>
    <w:p>
      <w:pPr>
        <w:pStyle w:val="8"/>
        <w:widowControl/>
        <w:spacing w:after="0" w:line="560" w:lineRule="exact"/>
        <w:ind w:firstLine="640" w:firstLineChars="200"/>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20</w:t>
      </w:r>
      <w:r>
        <w:rPr>
          <w:rFonts w:hint="eastAsia" w:ascii="仿宋_GB2312" w:hAnsi="仿宋" w:eastAsia="仿宋_GB2312" w:cs="仿宋"/>
          <w:color w:val="000000" w:themeColor="text1"/>
          <w:sz w:val="32"/>
          <w:szCs w:val="32"/>
          <w:lang w:val="en-US" w:eastAsia="zh-CN"/>
          <w14:textFill>
            <w14:solidFill>
              <w14:schemeClr w14:val="tx1"/>
            </w14:solidFill>
          </w14:textFill>
        </w:rPr>
        <w:t>20</w:t>
      </w:r>
      <w:r>
        <w:rPr>
          <w:rFonts w:hint="eastAsia" w:ascii="仿宋_GB2312" w:hAnsi="仿宋" w:eastAsia="仿宋_GB2312" w:cs="仿宋"/>
          <w:color w:val="000000" w:themeColor="text1"/>
          <w:sz w:val="32"/>
          <w:szCs w:val="32"/>
          <w14:textFill>
            <w14:solidFill>
              <w14:schemeClr w14:val="tx1"/>
            </w14:solidFill>
          </w14:textFill>
        </w:rPr>
        <w:t>年1月</w:t>
      </w:r>
      <w:r>
        <w:rPr>
          <w:rFonts w:hint="eastAsia" w:ascii="仿宋_GB2312" w:hAnsi="仿宋" w:eastAsia="仿宋_GB2312" w:cs="仿宋"/>
          <w:color w:val="000000" w:themeColor="text1"/>
          <w:sz w:val="32"/>
          <w:szCs w:val="32"/>
          <w:lang w:val="en-US" w:eastAsia="zh-CN"/>
          <w14:textFill>
            <w14:solidFill>
              <w14:schemeClr w14:val="tx1"/>
            </w14:solidFill>
          </w14:textFill>
        </w:rPr>
        <w:t>21</w:t>
      </w:r>
      <w:r>
        <w:rPr>
          <w:rFonts w:hint="eastAsia" w:ascii="仿宋_GB2312" w:hAnsi="仿宋" w:eastAsia="仿宋_GB2312" w:cs="仿宋"/>
          <w:color w:val="000000" w:themeColor="text1"/>
          <w:sz w:val="32"/>
          <w:szCs w:val="32"/>
          <w14:textFill>
            <w14:solidFill>
              <w14:schemeClr w14:val="tx1"/>
            </w14:solidFill>
          </w14:textFill>
        </w:rPr>
        <w:t>日</w:t>
      </w: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sectPr>
      <w:pgSz w:w="11906" w:h="16838"/>
      <w:pgMar w:top="1440" w:right="1800" w:bottom="15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24E42"/>
    <w:rsid w:val="000345B4"/>
    <w:rsid w:val="00035216"/>
    <w:rsid w:val="00061B07"/>
    <w:rsid w:val="0006501F"/>
    <w:rsid w:val="000C22ED"/>
    <w:rsid w:val="000D3D1E"/>
    <w:rsid w:val="000F383D"/>
    <w:rsid w:val="001215E4"/>
    <w:rsid w:val="001551B9"/>
    <w:rsid w:val="00156800"/>
    <w:rsid w:val="00165287"/>
    <w:rsid w:val="00172237"/>
    <w:rsid w:val="00177AFC"/>
    <w:rsid w:val="00195112"/>
    <w:rsid w:val="00195C7C"/>
    <w:rsid w:val="001A4452"/>
    <w:rsid w:val="001B463C"/>
    <w:rsid w:val="001C2DCD"/>
    <w:rsid w:val="001E256B"/>
    <w:rsid w:val="001E7B38"/>
    <w:rsid w:val="001F3CA4"/>
    <w:rsid w:val="001F3D15"/>
    <w:rsid w:val="001F53D4"/>
    <w:rsid w:val="00203EC3"/>
    <w:rsid w:val="00213531"/>
    <w:rsid w:val="00221CC4"/>
    <w:rsid w:val="00244E3E"/>
    <w:rsid w:val="00263B33"/>
    <w:rsid w:val="002B625C"/>
    <w:rsid w:val="002C58DB"/>
    <w:rsid w:val="002E5D54"/>
    <w:rsid w:val="002E67E1"/>
    <w:rsid w:val="002F35E4"/>
    <w:rsid w:val="0031159C"/>
    <w:rsid w:val="003441BE"/>
    <w:rsid w:val="003539B4"/>
    <w:rsid w:val="00361762"/>
    <w:rsid w:val="00363DDF"/>
    <w:rsid w:val="0039205B"/>
    <w:rsid w:val="003A230F"/>
    <w:rsid w:val="003A3153"/>
    <w:rsid w:val="003A57D1"/>
    <w:rsid w:val="003B2EF6"/>
    <w:rsid w:val="003C27DE"/>
    <w:rsid w:val="003C3846"/>
    <w:rsid w:val="003E2D20"/>
    <w:rsid w:val="003F52B2"/>
    <w:rsid w:val="003F6FE9"/>
    <w:rsid w:val="004076B3"/>
    <w:rsid w:val="00410A4A"/>
    <w:rsid w:val="004155DE"/>
    <w:rsid w:val="00416BC8"/>
    <w:rsid w:val="004449B9"/>
    <w:rsid w:val="004518C4"/>
    <w:rsid w:val="0045219A"/>
    <w:rsid w:val="00455BE3"/>
    <w:rsid w:val="0045733C"/>
    <w:rsid w:val="00462BD1"/>
    <w:rsid w:val="0046641C"/>
    <w:rsid w:val="0048058E"/>
    <w:rsid w:val="004A2D10"/>
    <w:rsid w:val="004D50F5"/>
    <w:rsid w:val="004E0762"/>
    <w:rsid w:val="004E1E7F"/>
    <w:rsid w:val="004E30D9"/>
    <w:rsid w:val="004F0C56"/>
    <w:rsid w:val="005113D1"/>
    <w:rsid w:val="0051560E"/>
    <w:rsid w:val="00546499"/>
    <w:rsid w:val="0054791A"/>
    <w:rsid w:val="00592243"/>
    <w:rsid w:val="005930D6"/>
    <w:rsid w:val="005F2577"/>
    <w:rsid w:val="00605185"/>
    <w:rsid w:val="0062262B"/>
    <w:rsid w:val="00622752"/>
    <w:rsid w:val="006373B2"/>
    <w:rsid w:val="006457E7"/>
    <w:rsid w:val="00653E08"/>
    <w:rsid w:val="00673AB3"/>
    <w:rsid w:val="00681292"/>
    <w:rsid w:val="006854F7"/>
    <w:rsid w:val="006B416F"/>
    <w:rsid w:val="006E0DFF"/>
    <w:rsid w:val="006F1D2B"/>
    <w:rsid w:val="0071110A"/>
    <w:rsid w:val="0071441F"/>
    <w:rsid w:val="0073505F"/>
    <w:rsid w:val="0075631C"/>
    <w:rsid w:val="00773F1C"/>
    <w:rsid w:val="00776A6F"/>
    <w:rsid w:val="0078711F"/>
    <w:rsid w:val="007F701A"/>
    <w:rsid w:val="008074D5"/>
    <w:rsid w:val="00807FE9"/>
    <w:rsid w:val="008226FB"/>
    <w:rsid w:val="0082402B"/>
    <w:rsid w:val="00831B01"/>
    <w:rsid w:val="00843B00"/>
    <w:rsid w:val="008560C3"/>
    <w:rsid w:val="00893EF5"/>
    <w:rsid w:val="008A7057"/>
    <w:rsid w:val="008B43DB"/>
    <w:rsid w:val="008D04B4"/>
    <w:rsid w:val="008E7927"/>
    <w:rsid w:val="008F28A6"/>
    <w:rsid w:val="00904CA4"/>
    <w:rsid w:val="009102B2"/>
    <w:rsid w:val="009160F6"/>
    <w:rsid w:val="009231FA"/>
    <w:rsid w:val="009413F6"/>
    <w:rsid w:val="00973EB1"/>
    <w:rsid w:val="009A72A5"/>
    <w:rsid w:val="009B314C"/>
    <w:rsid w:val="009B6A99"/>
    <w:rsid w:val="009C1854"/>
    <w:rsid w:val="009C7FFB"/>
    <w:rsid w:val="009D0157"/>
    <w:rsid w:val="009E6762"/>
    <w:rsid w:val="00A07E74"/>
    <w:rsid w:val="00A126E1"/>
    <w:rsid w:val="00A17F65"/>
    <w:rsid w:val="00A36890"/>
    <w:rsid w:val="00A40BEE"/>
    <w:rsid w:val="00A43397"/>
    <w:rsid w:val="00A77CA1"/>
    <w:rsid w:val="00A81B6C"/>
    <w:rsid w:val="00AA1919"/>
    <w:rsid w:val="00AA2CFC"/>
    <w:rsid w:val="00AB4557"/>
    <w:rsid w:val="00AE4342"/>
    <w:rsid w:val="00AF0A0B"/>
    <w:rsid w:val="00B03267"/>
    <w:rsid w:val="00B20805"/>
    <w:rsid w:val="00B4577F"/>
    <w:rsid w:val="00B76FE3"/>
    <w:rsid w:val="00BB08FE"/>
    <w:rsid w:val="00BD7155"/>
    <w:rsid w:val="00BE00D7"/>
    <w:rsid w:val="00C0791E"/>
    <w:rsid w:val="00C20AB8"/>
    <w:rsid w:val="00C24168"/>
    <w:rsid w:val="00C32825"/>
    <w:rsid w:val="00C34FCB"/>
    <w:rsid w:val="00C35E2F"/>
    <w:rsid w:val="00C45260"/>
    <w:rsid w:val="00C727B3"/>
    <w:rsid w:val="00C95677"/>
    <w:rsid w:val="00C9768C"/>
    <w:rsid w:val="00CA1A71"/>
    <w:rsid w:val="00CA3057"/>
    <w:rsid w:val="00CB2E2A"/>
    <w:rsid w:val="00CC518B"/>
    <w:rsid w:val="00D22310"/>
    <w:rsid w:val="00D23448"/>
    <w:rsid w:val="00D54B8B"/>
    <w:rsid w:val="00D6313B"/>
    <w:rsid w:val="00D75309"/>
    <w:rsid w:val="00D77BF0"/>
    <w:rsid w:val="00D821EE"/>
    <w:rsid w:val="00DD499D"/>
    <w:rsid w:val="00DE7F16"/>
    <w:rsid w:val="00DF3350"/>
    <w:rsid w:val="00E151D4"/>
    <w:rsid w:val="00E322B9"/>
    <w:rsid w:val="00ED48D7"/>
    <w:rsid w:val="00ED6409"/>
    <w:rsid w:val="00EE7323"/>
    <w:rsid w:val="00EE7AD5"/>
    <w:rsid w:val="00F2143F"/>
    <w:rsid w:val="00F40E98"/>
    <w:rsid w:val="00F665AB"/>
    <w:rsid w:val="00FB5EF6"/>
    <w:rsid w:val="00FC2F58"/>
    <w:rsid w:val="00FC53FA"/>
    <w:rsid w:val="00FD4423"/>
    <w:rsid w:val="00FD78D3"/>
    <w:rsid w:val="00FE729E"/>
    <w:rsid w:val="00FF041C"/>
    <w:rsid w:val="11E97A31"/>
    <w:rsid w:val="12DA3FF8"/>
    <w:rsid w:val="22A8528E"/>
    <w:rsid w:val="27831235"/>
    <w:rsid w:val="4AFD1E05"/>
    <w:rsid w:val="57750747"/>
    <w:rsid w:val="705B73EB"/>
    <w:rsid w:val="75BC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7"/>
    <w:qFormat/>
    <w:uiPriority w:val="99"/>
    <w:pPr>
      <w:keepNext/>
      <w:keepLines/>
      <w:spacing w:before="260" w:after="260" w:line="416" w:lineRule="auto"/>
      <w:outlineLvl w:val="2"/>
    </w:pPr>
    <w:rPr>
      <w:rFonts w:ascii="??" w:hAnsi="??" w:cs="??"/>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spacing w:after="120"/>
    </w:pPr>
    <w:rPr>
      <w:rFonts w:ascii="Times New Roman" w:hAnsi="Times New Roman" w:eastAsia="仿宋_GB2312" w:cs="仿宋_GB2312"/>
      <w:bCs/>
      <w:sz w:val="32"/>
      <w:szCs w:val="32"/>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20"/>
    <w:qFormat/>
    <w:uiPriority w:val="99"/>
    <w:pPr>
      <w:snapToGrid w:val="0"/>
      <w:jc w:val="left"/>
    </w:pPr>
    <w:rPr>
      <w:sz w:val="18"/>
      <w:szCs w:val="18"/>
    </w:rPr>
  </w:style>
  <w:style w:type="paragraph" w:styleId="8">
    <w:name w:val="Normal (Web)"/>
    <w:basedOn w:val="1"/>
    <w:qFormat/>
    <w:uiPriority w:val="0"/>
    <w:pPr>
      <w:spacing w:after="150"/>
      <w:jc w:val="left"/>
    </w:pPr>
    <w:rPr>
      <w:kern w:val="0"/>
      <w:sz w:val="24"/>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semiHidden/>
    <w:unhideWhenUsed/>
    <w:qFormat/>
    <w:uiPriority w:val="99"/>
    <w:rPr>
      <w:color w:val="800080"/>
      <w:u w:val="none"/>
    </w:rPr>
  </w:style>
  <w:style w:type="character" w:styleId="14">
    <w:name w:val="Hyperlink"/>
    <w:basedOn w:val="11"/>
    <w:semiHidden/>
    <w:unhideWhenUsed/>
    <w:qFormat/>
    <w:uiPriority w:val="99"/>
    <w:rPr>
      <w:color w:val="0000FF"/>
      <w:u w:val="none"/>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标题 3 Char"/>
    <w:basedOn w:val="11"/>
    <w:link w:val="2"/>
    <w:qFormat/>
    <w:uiPriority w:val="99"/>
    <w:rPr>
      <w:rFonts w:ascii="??" w:hAnsi="??" w:eastAsia="宋体" w:cs="??"/>
      <w:b/>
      <w:bCs/>
      <w:sz w:val="32"/>
      <w:szCs w:val="32"/>
    </w:rPr>
  </w:style>
  <w:style w:type="paragraph" w:customStyle="1" w:styleId="18">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9">
    <w:name w:val="批注框文本 Char"/>
    <w:basedOn w:val="11"/>
    <w:link w:val="4"/>
    <w:semiHidden/>
    <w:qFormat/>
    <w:uiPriority w:val="99"/>
    <w:rPr>
      <w:rFonts w:ascii="Calibri" w:hAnsi="Calibri" w:eastAsia="宋体" w:cs="Times New Roman"/>
      <w:sz w:val="18"/>
      <w:szCs w:val="18"/>
    </w:rPr>
  </w:style>
  <w:style w:type="character" w:customStyle="1" w:styleId="20">
    <w:name w:val="脚注文本 Char"/>
    <w:basedOn w:val="11"/>
    <w:link w:val="7"/>
    <w:qFormat/>
    <w:uiPriority w:val="99"/>
    <w:rPr>
      <w:rFonts w:ascii="Calibri" w:hAnsi="Calibri" w:eastAsia="宋体" w:cs="Times New Roman"/>
      <w:sz w:val="18"/>
      <w:szCs w:val="18"/>
    </w:rPr>
  </w:style>
  <w:style w:type="character" w:customStyle="1" w:styleId="21">
    <w:name w:val="正文文本 Char"/>
    <w:basedOn w:val="11"/>
    <w:link w:val="3"/>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57727-FDE4-4160-9A90-15D3C14E790B}">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494</Words>
  <Characters>2818</Characters>
  <Lines>23</Lines>
  <Paragraphs>6</Paragraphs>
  <TotalTime>15</TotalTime>
  <ScaleCrop>false</ScaleCrop>
  <LinksUpToDate>false</LinksUpToDate>
  <CharactersWithSpaces>3306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暮秋风雨</cp:lastModifiedBy>
  <cp:lastPrinted>2020-01-22T06:38:00Z</cp:lastPrinted>
  <dcterms:modified xsi:type="dcterms:W3CDTF">2021-02-07T12:56:41Z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