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高青县民政局2021年政府信息公开工作</w:t>
      </w:r>
    </w:p>
    <w:p>
      <w:pPr>
        <w:spacing w:line="560" w:lineRule="exact"/>
        <w:jc w:val="center"/>
      </w:pPr>
      <w:r>
        <w:rPr>
          <w:rFonts w:hint="eastAsia" w:ascii="方正小标宋简体" w:hAnsi="方正小标宋简体" w:eastAsia="方正小标宋简体" w:cs="方正小标宋简体"/>
          <w:sz w:val="44"/>
          <w:szCs w:val="44"/>
        </w:rPr>
        <w:t>年度报告</w:t>
      </w:r>
    </w:p>
    <w:p>
      <w:pPr>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报告根据《中华人民共和国政府信息公开条例》（国务院令第711号，以下简称《条例》）要求编制。报告全文分总体情况、主动公开政府信息情况、收到和处理政府信息公开申请情况、政府信息公开行政复议行政诉讼情况、存在的主要问题及改进情况、其他需要报告的事项6个部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告中所列数据统计期限自2021年1月1日始，至2021年12月31日止。报告电子版可在高青县人民政府门户网站（www.gaoqing.gov.cn）查阅和下载。如对报告内容有疑问，请与高青县民政局办公室联系（地址：山东省淄博市高青县城高苑东路9号；邮编：256300；电话：0533-6961753；传真：0533-6961753）。</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一、总体情况</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（一）主动公开</w:t>
      </w:r>
    </w:p>
    <w:p>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出台了《</w:t>
      </w:r>
      <w:r>
        <w:rPr>
          <w:rFonts w:hint="eastAsia" w:ascii="仿宋_GB2312" w:eastAsia="仿宋_GB2312"/>
          <w:sz w:val="32"/>
          <w:szCs w:val="32"/>
        </w:rPr>
        <w:t>高青县民政局2021年政务公开工作实施方案</w:t>
      </w:r>
      <w:r>
        <w:rPr>
          <w:rFonts w:hint="eastAsia" w:ascii="仿宋_GB2312" w:hAnsi="仿宋_GB2312" w:eastAsia="仿宋_GB2312" w:cs="仿宋_GB2312"/>
          <w:sz w:val="32"/>
          <w:szCs w:val="32"/>
        </w:rPr>
        <w:t>》，形成政务公开工作的长效机制，保障推动信息公开工作开展。在政府网站及时主动地向社会公开民政部门机构职能、部门文件、财政预决算、重要部署执行、行政执法公示、社会救助和社会福利等各类政府信息，重点做好社会救助和养老服务重点领域政府信息公开。2021年，通过高青县政府网站政务信息公开专栏共公开部门文件6件、政策解读材料4件、公示公告10件，民政重点领域发布社会救助类信息79条，社会福利类信息137条。</w:t>
      </w:r>
    </w:p>
    <w:p>
      <w:pPr>
        <w:spacing w:line="56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在起草文件时</w:t>
      </w:r>
      <w:r>
        <w:rPr>
          <w:rFonts w:hint="eastAsia" w:ascii="仿宋_GB2312" w:hAnsi="仿宋_GB2312" w:eastAsia="仿宋_GB2312" w:cs="仿宋_GB2312"/>
          <w:sz w:val="32"/>
          <w:szCs w:val="32"/>
        </w:rPr>
        <w:t>始终</w:t>
      </w:r>
      <w:r>
        <w:rPr>
          <w:rFonts w:ascii="仿宋_GB2312" w:hAnsi="仿宋_GB2312" w:eastAsia="仿宋_GB2312" w:cs="仿宋_GB2312"/>
          <w:sz w:val="32"/>
          <w:szCs w:val="32"/>
        </w:rPr>
        <w:t>坚持政策文件与解读材料同步组织、同步审签、同步部署</w:t>
      </w:r>
      <w:r>
        <w:rPr>
          <w:rFonts w:hint="eastAsia" w:ascii="仿宋_GB2312" w:hAnsi="仿宋_GB2312" w:eastAsia="仿宋_GB2312" w:cs="仿宋_GB2312"/>
          <w:sz w:val="32"/>
          <w:szCs w:val="32"/>
        </w:rPr>
        <w:t>，2021年共发布解读材料4篇，解读材料重点对文件的出台目的和内容举措进行解读，解读材料均与政策文件一并公开。</w:t>
      </w:r>
      <w:r>
        <w:rPr>
          <w:rFonts w:ascii="仿宋_GB2312" w:hAnsi="仿宋_GB2312" w:eastAsia="仿宋_GB2312" w:cs="仿宋_GB2312"/>
          <w:sz w:val="32"/>
          <w:szCs w:val="32"/>
        </w:rPr>
        <w:t>2021年</w:t>
      </w:r>
      <w:r>
        <w:rPr>
          <w:rFonts w:hint="eastAsia" w:ascii="仿宋_GB2312" w:hAnsi="仿宋_GB2312" w:eastAsia="仿宋_GB2312" w:cs="仿宋_GB2312"/>
          <w:sz w:val="32"/>
          <w:szCs w:val="32"/>
        </w:rPr>
        <w:t>共办理12345热线事项87件</w:t>
      </w:r>
      <w:r>
        <w:rPr>
          <w:rFonts w:ascii="仿宋_GB2312" w:hAnsi="仿宋_GB2312" w:eastAsia="仿宋_GB2312" w:cs="仿宋_GB2312"/>
          <w:sz w:val="32"/>
          <w:szCs w:val="32"/>
        </w:rPr>
        <w:t>，主要涉及</w:t>
      </w:r>
      <w:r>
        <w:rPr>
          <w:rFonts w:hint="eastAsia" w:ascii="仿宋_GB2312" w:hAnsi="仿宋_GB2312" w:eastAsia="仿宋_GB2312" w:cs="仿宋_GB2312"/>
          <w:sz w:val="32"/>
          <w:szCs w:val="32"/>
        </w:rPr>
        <w:t>社会救助、养老服务等方面</w:t>
      </w:r>
      <w:r>
        <w:rPr>
          <w:rFonts w:ascii="仿宋_GB2312" w:hAnsi="仿宋_GB2312" w:eastAsia="仿宋_GB2312" w:cs="仿宋_GB2312"/>
          <w:sz w:val="32"/>
          <w:szCs w:val="32"/>
        </w:rPr>
        <w:t>，办理过程满意</w:t>
      </w:r>
      <w:r>
        <w:rPr>
          <w:rFonts w:hint="eastAsia" w:ascii="仿宋_GB2312" w:hAnsi="仿宋_GB2312" w:eastAsia="仿宋_GB2312" w:cs="仿宋_GB2312"/>
          <w:sz w:val="32"/>
          <w:szCs w:val="32"/>
        </w:rPr>
        <w:t>率100%</w:t>
      </w:r>
      <w:r>
        <w:rPr>
          <w:rFonts w:ascii="仿宋_GB2312" w:hAnsi="仿宋_GB2312" w:eastAsia="仿宋_GB2312" w:cs="仿宋_GB2312"/>
          <w:sz w:val="32"/>
          <w:szCs w:val="32"/>
        </w:rPr>
        <w:t>。</w:t>
      </w:r>
    </w:p>
    <w:p>
      <w:pPr>
        <w:rPr>
          <w:rFonts w:ascii="仿宋_GB2312" w:hAnsi="仿宋_GB2312" w:eastAsia="仿宋_GB2312" w:cs="仿宋_GB2312"/>
          <w:sz w:val="32"/>
          <w:szCs w:val="32"/>
        </w:rPr>
      </w:pPr>
      <w:r>
        <w:rPr>
          <w:rFonts w:ascii="仿宋_GB2312" w:hAnsi="仿宋_GB2312" w:eastAsia="仿宋_GB2312" w:cs="仿宋_GB2312"/>
          <w:sz w:val="32"/>
          <w:szCs w:val="32"/>
        </w:rPr>
        <w:drawing>
          <wp:inline distT="0" distB="0" distL="0" distR="0">
            <wp:extent cx="5698490" cy="3394710"/>
            <wp:effectExtent l="0" t="0" r="0" b="0"/>
            <wp:docPr id="1" name="图片 1" descr="1640068087(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1640068087(1)"/>
                    <pic:cNvPicPr>
                      <a:picLocks noChangeAspect="true"/>
                    </pic:cNvPicPr>
                  </pic:nvPicPr>
                  <pic:blipFill>
                    <a:blip r:embed="rId4">
                      <a:extLst>
                        <a:ext uri="{28A0092B-C50C-407E-A947-70E740481C1C}">
                          <a14:useLocalDpi xmlns:a14="http://schemas.microsoft.com/office/drawing/2010/main" val="false"/>
                        </a:ext>
                      </a:extLst>
                    </a:blip>
                    <a:stretch>
                      <a:fillRect/>
                    </a:stretch>
                  </pic:blipFill>
                  <pic:spPr>
                    <a:xfrm>
                      <a:off x="0" y="0"/>
                      <a:ext cx="5698800" cy="3394800"/>
                    </a:xfrm>
                    <a:prstGeom prst="rect">
                      <a:avLst/>
                    </a:prstGeom>
                  </pic:spPr>
                </pic:pic>
              </a:graphicData>
            </a:graphic>
          </wp:inline>
        </w:drawing>
      </w:r>
    </w:p>
    <w:p>
      <w:pPr>
        <w:spacing w:line="56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（二）依申请公开</w:t>
      </w:r>
    </w:p>
    <w:p>
      <w:pPr>
        <w:spacing w:line="560" w:lineRule="exact"/>
        <w:ind w:firstLine="640" w:firstLineChars="200"/>
      </w:pPr>
      <w:r>
        <w:rPr>
          <w:rFonts w:hint="eastAsia" w:ascii="仿宋_GB2312" w:hAnsi="仿宋_GB2312" w:eastAsia="仿宋_GB2312" w:cs="仿宋_GB2312"/>
          <w:sz w:val="32"/>
          <w:szCs w:val="32"/>
        </w:rPr>
        <w:t>2021年，收到政府信息公开申请1件，同比减少50%。政府信息公开申请的内容为“行政处罚裁量基准”办结政府信息公开申请1件，办结结果为：予以公开1件。</w:t>
      </w:r>
      <w:r>
        <w:rPr>
          <w:rFonts w:hint="eastAsia" w:ascii="仿宋_GB2312" w:hAnsi="仿宋_GB2312" w:eastAsia="仿宋_GB2312" w:cs="仿宋_GB2312"/>
          <w:sz w:val="32"/>
          <w:szCs w:val="32"/>
          <w:lang w:eastAsia="zh-CN"/>
        </w:rPr>
        <w:t>本单位</w:t>
      </w:r>
      <w:r>
        <w:rPr>
          <w:rFonts w:hint="eastAsia" w:ascii="仿宋_GB2312" w:eastAsia="仿宋_GB2312"/>
          <w:sz w:val="32"/>
          <w:szCs w:val="32"/>
        </w:rPr>
        <w:t>未因政府信息公开被申请行政复议、提起行政诉讼。</w:t>
      </w:r>
    </w:p>
    <w:p>
      <w:pPr>
        <w:spacing w:line="560" w:lineRule="exact"/>
        <w:ind w:left="630"/>
        <w:rPr>
          <w:rFonts w:ascii="楷体_GB2312" w:hAnsi="楷体_GB2312" w:eastAsia="楷体_GB2312" w:cs="楷体_GB2312"/>
          <w:sz w:val="32"/>
          <w:szCs w:val="32"/>
        </w:rPr>
      </w:pPr>
      <w:r>
        <w:rPr>
          <w:rFonts w:hint="eastAsia" w:ascii="楷体_GB2312" w:hAnsi="楷体_GB2312" w:eastAsia="楷体_GB2312" w:cs="楷体_GB2312"/>
          <w:sz w:val="32"/>
          <w:szCs w:val="32"/>
        </w:rPr>
        <w:t>（三）政府信息管理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制定出台了《高青县民政局</w:t>
      </w:r>
      <w:r>
        <w:rPr>
          <w:rFonts w:hint="eastAsia" w:ascii="仿宋_GB2312" w:eastAsia="仿宋_GB2312"/>
          <w:sz w:val="32"/>
          <w:szCs w:val="32"/>
        </w:rPr>
        <w:t>信息发布审查制度</w:t>
      </w:r>
      <w:r>
        <w:rPr>
          <w:rFonts w:hint="eastAsia" w:ascii="仿宋_GB2312" w:hAnsi="仿宋_GB2312" w:eastAsia="仿宋_GB2312" w:cs="仿宋_GB2312"/>
          <w:sz w:val="32"/>
          <w:szCs w:val="32"/>
        </w:rPr>
        <w:t>》</w:t>
      </w:r>
      <w:r>
        <w:rPr>
          <w:rFonts w:hint="eastAsia" w:ascii="仿宋_GB2312" w:eastAsia="仿宋_GB2312"/>
          <w:sz w:val="32"/>
          <w:szCs w:val="32"/>
        </w:rPr>
        <w:t>，严格执行信息保密审核制度，防止涉密信息违规公开。</w:t>
      </w:r>
      <w:r>
        <w:rPr>
          <w:rFonts w:hint="eastAsia" w:ascii="仿宋_GB2312" w:hAnsi="仿宋_GB2312" w:eastAsia="仿宋_GB2312" w:cs="仿宋_GB2312"/>
          <w:sz w:val="32"/>
          <w:szCs w:val="32"/>
        </w:rPr>
        <w:t>严格落实政府信息动态调整机制，定期梳理政府网站发布的政策文件和政府信息，并对已公开但失效的及时进行清理。</w:t>
      </w:r>
    </w:p>
    <w:p>
      <w:pPr>
        <w:spacing w:line="56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（四）政府信息公开平台建设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通过县政府门户网站政务公开平台，及时发布社会救助、社会福利、补贴标准、申请流程、资金支出情况等各类信息。加强“高青民政”微信公众号系列化、品牌化、专栏化信息公开。</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0" distR="0">
            <wp:extent cx="2343150" cy="3686175"/>
            <wp:effectExtent l="0" t="0" r="0" b="9525"/>
            <wp:docPr id="2" name="图片 2" descr="1640134323(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1640134323(1)"/>
                    <pic:cNvPicPr>
                      <a:picLocks noChangeAspect="true"/>
                    </pic:cNvPicPr>
                  </pic:nvPicPr>
                  <pic:blipFill>
                    <a:blip r:embed="rId5">
                      <a:extLst>
                        <a:ext uri="{28A0092B-C50C-407E-A947-70E740481C1C}">
                          <a14:useLocalDpi xmlns:a14="http://schemas.microsoft.com/office/drawing/2010/main" val="false"/>
                        </a:ext>
                      </a:extLst>
                    </a:blip>
                    <a:srcRect r="3897"/>
                    <a:stretch>
                      <a:fillRect/>
                    </a:stretch>
                  </pic:blipFill>
                  <pic:spPr>
                    <a:xfrm>
                      <a:off x="0" y="0"/>
                      <a:ext cx="2347200" cy="3692547"/>
                    </a:xfrm>
                    <a:prstGeom prst="rect">
                      <a:avLst/>
                    </a:prstGeom>
                  </pic:spPr>
                </pic:pic>
              </a:graphicData>
            </a:graphic>
          </wp:inline>
        </w:draw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drawing>
          <wp:inline distT="0" distB="0" distL="0" distR="0">
            <wp:extent cx="1876425" cy="3695065"/>
            <wp:effectExtent l="0" t="0" r="0" b="635"/>
            <wp:docPr id="5" name="图片 5" descr="9169d52e7e16e00701379e4a05d6ee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9169d52e7e16e00701379e4a05d6ee0"/>
                    <pic:cNvPicPr>
                      <a:picLocks noChangeAspect="true"/>
                    </pic:cNvPicPr>
                  </pic:nvPicPr>
                  <pic:blipFill>
                    <a:blip r:embed="rId6">
                      <a:extLst>
                        <a:ext uri="{28A0092B-C50C-407E-A947-70E740481C1C}">
                          <a14:useLocalDpi xmlns:a14="http://schemas.microsoft.com/office/drawing/2010/main" val="false"/>
                        </a:ext>
                      </a:extLst>
                    </a:blip>
                    <a:stretch>
                      <a:fillRect/>
                    </a:stretch>
                  </pic:blipFill>
                  <pic:spPr>
                    <a:xfrm>
                      <a:off x="0" y="0"/>
                      <a:ext cx="1875600" cy="3693965"/>
                    </a:xfrm>
                    <a:prstGeom prst="rect">
                      <a:avLst/>
                    </a:prstGeom>
                  </pic:spPr>
                </pic:pic>
              </a:graphicData>
            </a:graphic>
          </wp:inline>
        </w:drawing>
      </w:r>
    </w:p>
    <w:p>
      <w:pPr>
        <w:spacing w:line="560" w:lineRule="exact"/>
        <w:ind w:left="-10" w:leftChars="-5" w:firstLine="480" w:firstLineChars="150"/>
        <w:rPr>
          <w:rFonts w:ascii="楷体_GB2312" w:hAnsi="楷体_GB2312" w:eastAsia="楷体_GB2312" w:cs="楷体_GB2312"/>
          <w:sz w:val="32"/>
          <w:szCs w:val="32"/>
        </w:rPr>
      </w:pPr>
      <w:r>
        <w:rPr>
          <w:rFonts w:hint="eastAsia" w:ascii="楷体_GB2312" w:hAnsi="楷体_GB2312" w:eastAsia="楷体_GB2312" w:cs="楷体_GB2312"/>
          <w:sz w:val="32"/>
          <w:szCs w:val="32"/>
        </w:rPr>
        <w:t>（五）监督保障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加强政府信息公开工作组织领导，调整了政务公开领导小组，由单位主要负责人担任组长，并逐步健全完善领导体制和工作机制。充实政府信息公开工作力量，明确局办公室具体负责政府信息公开工作，配备专职人员和兼职人员各1名。开展政府信息公开工作培训，2021年先后组织开展4次政府信息公开专题培训。</w:t>
      </w:r>
    </w:p>
    <w:p>
      <w:pPr>
        <w:ind w:left="630"/>
        <w:rPr>
          <w:rFonts w:ascii="黑体" w:hAnsi="黑体" w:eastAsia="黑体" w:cs="黑体"/>
          <w:sz w:val="32"/>
          <w:szCs w:val="32"/>
        </w:rPr>
      </w:pPr>
      <w:r>
        <w:rPr>
          <w:rFonts w:hint="eastAsia" w:ascii="黑体" w:hAnsi="黑体" w:eastAsia="黑体" w:cs="黑体"/>
          <w:sz w:val="32"/>
          <w:szCs w:val="32"/>
        </w:rPr>
        <w:t>二、主动公开政府信息情况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3"/>
        <w:gridCol w:w="2022"/>
        <w:gridCol w:w="2023"/>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jc w:val="center"/>
              <w:rPr>
                <w:rFonts w:ascii="黑体" w:hAnsi="黑体" w:eastAsia="黑体"/>
                <w:sz w:val="20"/>
              </w:rPr>
            </w:pPr>
            <w:r>
              <w:rPr>
                <w:rFonts w:hint="eastAsia" w:ascii="宋体" w:hAnsi="宋体" w:eastAsia="宋体" w:cs="宋体"/>
                <w:color w:val="000000"/>
                <w:sz w:val="2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jc w:val="center"/>
              <w:rPr>
                <w:rFonts w:ascii="宋体" w:hAnsi="宋体" w:eastAsia="宋体" w:cs="宋体"/>
                <w:color w:val="000000"/>
                <w:sz w:val="20"/>
              </w:rPr>
            </w:pPr>
            <w:r>
              <w:rPr>
                <w:rFonts w:hint="eastAsia" w:ascii="宋体" w:hAnsi="宋体" w:eastAsia="宋体" w:cs="宋体"/>
                <w:color w:val="000000"/>
                <w:sz w:val="20"/>
              </w:rPr>
              <w:t>信息内容</w:t>
            </w:r>
          </w:p>
        </w:tc>
        <w:tc>
          <w:tcPr>
            <w:tcW w:w="2130" w:type="dxa"/>
            <w:vAlign w:val="center"/>
          </w:tcPr>
          <w:p>
            <w:pPr>
              <w:widowControl/>
              <w:jc w:val="center"/>
              <w:rPr>
                <w:rFonts w:ascii="宋体" w:hAnsi="宋体" w:eastAsia="宋体" w:cs="宋体"/>
                <w:sz w:val="20"/>
              </w:rPr>
            </w:pPr>
            <w:r>
              <w:rPr>
                <w:rFonts w:hint="eastAsia" w:ascii="宋体" w:hAnsi="宋体" w:eastAsia="宋体" w:cs="宋体"/>
                <w:color w:val="000000"/>
                <w:sz w:val="20"/>
              </w:rPr>
              <w:t>本年</w:t>
            </w:r>
            <w:r>
              <w:rPr>
                <w:rFonts w:ascii="宋体" w:hAnsi="宋体" w:eastAsia="宋体" w:cs="Calibri"/>
                <w:sz w:val="20"/>
              </w:rPr>
              <w:t>制</w:t>
            </w:r>
            <w:r>
              <w:rPr>
                <w:rFonts w:hint="eastAsia" w:ascii="宋体" w:hAnsi="宋体" w:eastAsia="宋体" w:cs="宋体"/>
                <w:sz w:val="20"/>
              </w:rPr>
              <w:t>发件</w:t>
            </w:r>
            <w:r>
              <w:rPr>
                <w:rFonts w:ascii="宋体" w:hAnsi="宋体" w:eastAsia="宋体" w:cs="Calibri"/>
                <w:sz w:val="20"/>
              </w:rPr>
              <w:t>数</w:t>
            </w:r>
          </w:p>
        </w:tc>
        <w:tc>
          <w:tcPr>
            <w:tcW w:w="2131" w:type="dxa"/>
            <w:vAlign w:val="center"/>
          </w:tcPr>
          <w:p>
            <w:pPr>
              <w:widowControl/>
              <w:jc w:val="center"/>
              <w:rPr>
                <w:rFonts w:ascii="宋体" w:hAnsi="宋体" w:eastAsia="宋体" w:cs="宋体"/>
                <w:sz w:val="20"/>
              </w:rPr>
            </w:pPr>
            <w:r>
              <w:rPr>
                <w:rFonts w:hint="eastAsia" w:ascii="宋体" w:hAnsi="宋体" w:eastAsia="宋体" w:cs="宋体"/>
                <w:color w:val="000000"/>
                <w:sz w:val="20"/>
              </w:rPr>
              <w:t>本年废止件数</w:t>
            </w:r>
          </w:p>
        </w:tc>
        <w:tc>
          <w:tcPr>
            <w:tcW w:w="2131" w:type="dxa"/>
            <w:vAlign w:val="center"/>
          </w:tcPr>
          <w:p>
            <w:pPr>
              <w:widowControl/>
              <w:jc w:val="center"/>
              <w:rPr>
                <w:rFonts w:ascii="宋体" w:hAnsi="宋体" w:eastAsia="宋体" w:cs="宋体"/>
                <w:sz w:val="20"/>
              </w:rPr>
            </w:pPr>
            <w:r>
              <w:rPr>
                <w:rFonts w:hint="eastAsia" w:ascii="宋体" w:hAnsi="宋体" w:eastAsia="宋体" w:cs="宋体"/>
                <w:color w:val="000000"/>
                <w:sz w:val="20"/>
              </w:rPr>
              <w:t>现行有效件</w:t>
            </w:r>
            <w:r>
              <w:rPr>
                <w:rFonts w:ascii="宋体" w:hAnsi="宋体" w:eastAsia="宋体" w:cs="Calibri"/>
                <w:sz w:val="20"/>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rPr>
                <w:rFonts w:ascii="宋体" w:hAnsi="宋体" w:eastAsia="宋体" w:cs="宋体"/>
                <w:color w:val="000000"/>
                <w:sz w:val="20"/>
              </w:rPr>
            </w:pPr>
            <w:r>
              <w:rPr>
                <w:rFonts w:hint="eastAsia" w:ascii="宋体" w:hAnsi="宋体" w:eastAsia="宋体" w:cs="宋体"/>
                <w:color w:val="000000"/>
                <w:sz w:val="20"/>
              </w:rPr>
              <w:t>规章</w:t>
            </w:r>
          </w:p>
        </w:tc>
        <w:tc>
          <w:tcPr>
            <w:tcW w:w="2130" w:type="dxa"/>
            <w:vAlign w:val="center"/>
          </w:tcPr>
          <w:p>
            <w:pPr>
              <w:jc w:val="center"/>
              <w:rPr>
                <w:rFonts w:ascii="黑体" w:hAnsi="黑体" w:eastAsia="黑体"/>
                <w:sz w:val="20"/>
              </w:rPr>
            </w:pPr>
            <w:r>
              <w:rPr>
                <w:rFonts w:hint="eastAsia" w:ascii="黑体" w:hAnsi="黑体" w:eastAsia="黑体"/>
                <w:sz w:val="20"/>
              </w:rPr>
              <w:t>0</w:t>
            </w:r>
          </w:p>
        </w:tc>
        <w:tc>
          <w:tcPr>
            <w:tcW w:w="2131" w:type="dxa"/>
            <w:vAlign w:val="center"/>
          </w:tcPr>
          <w:p>
            <w:pPr>
              <w:jc w:val="center"/>
              <w:rPr>
                <w:rFonts w:ascii="黑体" w:hAnsi="黑体" w:eastAsia="黑体"/>
                <w:sz w:val="20"/>
              </w:rPr>
            </w:pPr>
            <w:r>
              <w:rPr>
                <w:rFonts w:hint="eastAsia" w:ascii="黑体" w:hAnsi="黑体" w:eastAsia="黑体"/>
                <w:sz w:val="20"/>
              </w:rPr>
              <w:t>0</w:t>
            </w:r>
          </w:p>
        </w:tc>
        <w:tc>
          <w:tcPr>
            <w:tcW w:w="2131" w:type="dxa"/>
            <w:vAlign w:val="center"/>
          </w:tcPr>
          <w:p>
            <w:pPr>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rPr>
                <w:rFonts w:ascii="宋体" w:hAnsi="宋体" w:eastAsia="宋体" w:cs="宋体"/>
                <w:color w:val="000000"/>
                <w:sz w:val="20"/>
              </w:rPr>
            </w:pPr>
            <w:r>
              <w:rPr>
                <w:rFonts w:hint="eastAsia" w:ascii="宋体" w:hAnsi="宋体" w:eastAsia="宋体" w:cs="宋体"/>
                <w:color w:val="000000"/>
                <w:sz w:val="20"/>
              </w:rPr>
              <w:t>行政规范性文件</w:t>
            </w:r>
          </w:p>
        </w:tc>
        <w:tc>
          <w:tcPr>
            <w:tcW w:w="2130" w:type="dxa"/>
            <w:vAlign w:val="center"/>
          </w:tcPr>
          <w:p>
            <w:pPr>
              <w:jc w:val="center"/>
              <w:rPr>
                <w:rFonts w:ascii="黑体" w:hAnsi="黑体" w:eastAsia="黑体"/>
                <w:sz w:val="20"/>
              </w:rPr>
            </w:pPr>
            <w:r>
              <w:rPr>
                <w:rFonts w:hint="eastAsia" w:ascii="黑体" w:hAnsi="黑体" w:eastAsia="黑体"/>
                <w:sz w:val="20"/>
              </w:rPr>
              <w:t>0</w:t>
            </w:r>
          </w:p>
        </w:tc>
        <w:tc>
          <w:tcPr>
            <w:tcW w:w="2131" w:type="dxa"/>
            <w:vAlign w:val="center"/>
          </w:tcPr>
          <w:p>
            <w:pPr>
              <w:jc w:val="center"/>
              <w:rPr>
                <w:rFonts w:ascii="黑体" w:hAnsi="黑体" w:eastAsia="黑体"/>
                <w:sz w:val="20"/>
              </w:rPr>
            </w:pPr>
            <w:r>
              <w:rPr>
                <w:rFonts w:hint="eastAsia" w:ascii="黑体" w:hAnsi="黑体" w:eastAsia="黑体"/>
                <w:sz w:val="20"/>
              </w:rPr>
              <w:t>0</w:t>
            </w:r>
          </w:p>
        </w:tc>
        <w:tc>
          <w:tcPr>
            <w:tcW w:w="2131" w:type="dxa"/>
            <w:vAlign w:val="center"/>
          </w:tcPr>
          <w:p>
            <w:pPr>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jc w:val="center"/>
              <w:rPr>
                <w:rFonts w:ascii="宋体" w:hAnsi="宋体" w:eastAsia="宋体" w:cs="宋体"/>
                <w:color w:val="000000"/>
                <w:sz w:val="20"/>
              </w:rPr>
            </w:pPr>
            <w:r>
              <w:rPr>
                <w:rFonts w:hint="eastAsia" w:ascii="宋体" w:hAnsi="宋体" w:eastAsia="宋体" w:cs="宋体"/>
                <w:color w:val="000000"/>
                <w:sz w:val="2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jc w:val="center"/>
              <w:rPr>
                <w:rFonts w:ascii="宋体" w:hAnsi="宋体" w:eastAsia="宋体" w:cs="宋体"/>
                <w:color w:val="000000"/>
                <w:sz w:val="20"/>
              </w:rPr>
            </w:pPr>
            <w:r>
              <w:rPr>
                <w:rFonts w:hint="eastAsia" w:ascii="宋体" w:hAnsi="宋体" w:eastAsia="宋体" w:cs="宋体"/>
                <w:color w:val="000000"/>
                <w:sz w:val="20"/>
              </w:rPr>
              <w:t>信息内容</w:t>
            </w:r>
          </w:p>
        </w:tc>
        <w:tc>
          <w:tcPr>
            <w:tcW w:w="6392" w:type="dxa"/>
            <w:gridSpan w:val="3"/>
            <w:vAlign w:val="center"/>
          </w:tcPr>
          <w:p>
            <w:pPr>
              <w:jc w:val="center"/>
              <w:rPr>
                <w:rFonts w:ascii="黑体" w:hAnsi="黑体" w:eastAsia="黑体"/>
                <w:sz w:val="20"/>
              </w:rPr>
            </w:pPr>
            <w:r>
              <w:rPr>
                <w:rFonts w:hint="eastAsia" w:ascii="宋体" w:hAnsi="宋体" w:eastAsia="宋体" w:cs="宋体"/>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rPr>
                <w:rFonts w:ascii="宋体" w:hAnsi="宋体" w:eastAsia="宋体" w:cs="宋体"/>
                <w:color w:val="000000"/>
                <w:sz w:val="20"/>
              </w:rPr>
            </w:pPr>
            <w:r>
              <w:rPr>
                <w:rFonts w:hint="eastAsia" w:ascii="宋体" w:hAnsi="宋体" w:eastAsia="宋体" w:cs="宋体"/>
                <w:color w:val="000000"/>
                <w:sz w:val="20"/>
              </w:rPr>
              <w:t>行政许可</w:t>
            </w:r>
          </w:p>
        </w:tc>
        <w:tc>
          <w:tcPr>
            <w:tcW w:w="6392" w:type="dxa"/>
            <w:gridSpan w:val="3"/>
            <w:vAlign w:val="center"/>
          </w:tcPr>
          <w:p>
            <w:pPr>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jc w:val="center"/>
              <w:rPr>
                <w:rFonts w:ascii="宋体" w:hAnsi="宋体" w:eastAsia="宋体" w:cs="宋体"/>
                <w:color w:val="000000"/>
                <w:sz w:val="20"/>
              </w:rPr>
            </w:pPr>
            <w:r>
              <w:rPr>
                <w:rFonts w:hint="eastAsia" w:ascii="宋体" w:hAnsi="宋体" w:eastAsia="宋体" w:cs="宋体"/>
                <w:color w:val="000000"/>
                <w:sz w:val="2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jc w:val="center"/>
              <w:rPr>
                <w:rFonts w:ascii="宋体" w:hAnsi="宋体" w:eastAsia="宋体" w:cs="宋体"/>
                <w:color w:val="000000"/>
                <w:sz w:val="20"/>
              </w:rPr>
            </w:pPr>
            <w:r>
              <w:rPr>
                <w:rFonts w:hint="eastAsia" w:ascii="宋体" w:hAnsi="宋体" w:eastAsia="宋体" w:cs="宋体"/>
                <w:color w:val="000000"/>
                <w:sz w:val="20"/>
              </w:rPr>
              <w:t>信息内容</w:t>
            </w:r>
          </w:p>
        </w:tc>
        <w:tc>
          <w:tcPr>
            <w:tcW w:w="6392" w:type="dxa"/>
            <w:gridSpan w:val="3"/>
            <w:vAlign w:val="center"/>
          </w:tcPr>
          <w:p>
            <w:pPr>
              <w:jc w:val="center"/>
              <w:rPr>
                <w:rFonts w:ascii="黑体" w:hAnsi="黑体" w:eastAsia="黑体"/>
                <w:sz w:val="20"/>
              </w:rPr>
            </w:pPr>
            <w:r>
              <w:rPr>
                <w:rFonts w:hint="eastAsia" w:ascii="宋体" w:hAnsi="宋体" w:eastAsia="宋体" w:cs="宋体"/>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rPr>
                <w:rFonts w:ascii="宋体" w:hAnsi="宋体" w:eastAsia="宋体" w:cs="宋体"/>
                <w:color w:val="000000"/>
                <w:sz w:val="20"/>
              </w:rPr>
            </w:pPr>
            <w:r>
              <w:rPr>
                <w:rFonts w:hint="eastAsia" w:ascii="宋体" w:hAnsi="宋体" w:eastAsia="宋体" w:cs="宋体"/>
                <w:color w:val="000000"/>
                <w:sz w:val="20"/>
              </w:rPr>
              <w:t>行政处罚</w:t>
            </w:r>
          </w:p>
        </w:tc>
        <w:tc>
          <w:tcPr>
            <w:tcW w:w="6392" w:type="dxa"/>
            <w:gridSpan w:val="3"/>
            <w:vAlign w:val="center"/>
          </w:tcPr>
          <w:p>
            <w:pPr>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rPr>
                <w:rFonts w:ascii="宋体" w:hAnsi="宋体" w:eastAsia="宋体" w:cs="宋体"/>
                <w:color w:val="000000"/>
                <w:sz w:val="20"/>
              </w:rPr>
            </w:pPr>
            <w:r>
              <w:rPr>
                <w:rFonts w:hint="eastAsia" w:ascii="宋体" w:hAnsi="宋体" w:eastAsia="宋体" w:cs="宋体"/>
                <w:color w:val="000000"/>
                <w:sz w:val="20"/>
              </w:rPr>
              <w:t>行政强制</w:t>
            </w:r>
          </w:p>
        </w:tc>
        <w:tc>
          <w:tcPr>
            <w:tcW w:w="6392" w:type="dxa"/>
            <w:gridSpan w:val="3"/>
            <w:vAlign w:val="center"/>
          </w:tcPr>
          <w:p>
            <w:pPr>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jc w:val="center"/>
              <w:rPr>
                <w:rFonts w:ascii="宋体" w:hAnsi="宋体" w:eastAsia="宋体" w:cs="宋体"/>
                <w:color w:val="000000"/>
                <w:sz w:val="20"/>
              </w:rPr>
            </w:pPr>
            <w:r>
              <w:rPr>
                <w:rFonts w:hint="eastAsia" w:ascii="宋体" w:hAnsi="宋体" w:eastAsia="宋体" w:cs="宋体"/>
                <w:color w:val="000000"/>
                <w:sz w:val="2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jc w:val="center"/>
              <w:rPr>
                <w:rFonts w:ascii="宋体" w:hAnsi="宋体" w:eastAsia="宋体" w:cs="宋体"/>
                <w:color w:val="000000"/>
                <w:sz w:val="20"/>
              </w:rPr>
            </w:pPr>
            <w:r>
              <w:rPr>
                <w:rFonts w:hint="eastAsia" w:ascii="宋体" w:hAnsi="宋体" w:eastAsia="宋体" w:cs="宋体"/>
                <w:color w:val="000000"/>
                <w:sz w:val="20"/>
              </w:rPr>
              <w:t>信息内容</w:t>
            </w:r>
          </w:p>
        </w:tc>
        <w:tc>
          <w:tcPr>
            <w:tcW w:w="6392" w:type="dxa"/>
            <w:gridSpan w:val="3"/>
            <w:vAlign w:val="center"/>
          </w:tcPr>
          <w:p>
            <w:pPr>
              <w:jc w:val="center"/>
              <w:rPr>
                <w:rFonts w:ascii="黑体" w:hAnsi="黑体" w:eastAsia="黑体"/>
                <w:sz w:val="20"/>
              </w:rPr>
            </w:pPr>
            <w:r>
              <w:rPr>
                <w:rFonts w:hint="eastAsia" w:ascii="宋体" w:hAnsi="宋体" w:eastAsia="宋体" w:cs="宋体"/>
                <w:color w:val="000000"/>
                <w:sz w:val="2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rPr>
                <w:rFonts w:ascii="宋体" w:hAnsi="宋体" w:eastAsia="宋体" w:cs="宋体"/>
                <w:color w:val="000000"/>
                <w:sz w:val="20"/>
              </w:rPr>
            </w:pPr>
            <w:r>
              <w:rPr>
                <w:rFonts w:hint="eastAsia" w:ascii="宋体" w:hAnsi="宋体" w:eastAsia="宋体" w:cs="宋体"/>
                <w:color w:val="000000"/>
                <w:sz w:val="20"/>
              </w:rPr>
              <w:t>行政事业性收费</w:t>
            </w:r>
          </w:p>
        </w:tc>
        <w:tc>
          <w:tcPr>
            <w:tcW w:w="6392" w:type="dxa"/>
            <w:gridSpan w:val="3"/>
            <w:vAlign w:val="center"/>
          </w:tcPr>
          <w:p>
            <w:pPr>
              <w:jc w:val="center"/>
              <w:rPr>
                <w:rFonts w:ascii="黑体" w:hAnsi="黑体" w:eastAsia="黑体"/>
                <w:sz w:val="20"/>
              </w:rPr>
            </w:pPr>
            <w:r>
              <w:rPr>
                <w:rFonts w:hint="eastAsia" w:ascii="黑体" w:hAnsi="黑体" w:eastAsia="黑体"/>
                <w:sz w:val="20"/>
              </w:rPr>
              <w:t>24.6</w:t>
            </w:r>
          </w:p>
        </w:tc>
      </w:tr>
    </w:tbl>
    <w:p>
      <w:pPr>
        <w:ind w:left="630"/>
        <w:rPr>
          <w:rFonts w:ascii="黑体" w:hAnsi="黑体" w:eastAsia="黑体" w:cs="黑体"/>
          <w:sz w:val="32"/>
          <w:szCs w:val="32"/>
        </w:rPr>
      </w:pPr>
    </w:p>
    <w:p>
      <w:pPr>
        <w:ind w:left="630"/>
        <w:rPr>
          <w:rFonts w:ascii="黑体" w:hAnsi="黑体" w:eastAsia="黑体" w:cs="黑体"/>
          <w:sz w:val="32"/>
          <w:szCs w:val="32"/>
        </w:rPr>
      </w:pPr>
    </w:p>
    <w:p>
      <w:pPr>
        <w:ind w:left="630"/>
        <w:rPr>
          <w:rFonts w:ascii="黑体" w:hAnsi="黑体" w:eastAsia="黑体" w:cs="黑体"/>
          <w:sz w:val="32"/>
          <w:szCs w:val="32"/>
        </w:rPr>
      </w:pPr>
    </w:p>
    <w:p>
      <w:pPr>
        <w:ind w:left="630"/>
        <w:rPr>
          <w:rFonts w:ascii="黑体" w:hAnsi="黑体" w:eastAsia="黑体" w:cs="黑体"/>
          <w:sz w:val="32"/>
          <w:szCs w:val="32"/>
        </w:rPr>
      </w:pPr>
    </w:p>
    <w:p>
      <w:pPr>
        <w:ind w:left="630"/>
        <w:rPr>
          <w:rFonts w:ascii="黑体" w:hAnsi="黑体" w:eastAsia="黑体" w:cs="黑体"/>
          <w:sz w:val="32"/>
          <w:szCs w:val="32"/>
        </w:rPr>
      </w:pPr>
    </w:p>
    <w:p>
      <w:pPr>
        <w:ind w:left="630"/>
        <w:rPr>
          <w:rFonts w:ascii="黑体" w:hAnsi="黑体" w:eastAsia="黑体" w:cs="黑体"/>
          <w:sz w:val="32"/>
          <w:szCs w:val="32"/>
        </w:rPr>
      </w:pPr>
    </w:p>
    <w:p>
      <w:pPr>
        <w:ind w:left="630"/>
        <w:rPr>
          <w:rFonts w:ascii="黑体" w:hAnsi="黑体" w:eastAsia="黑体" w:cs="黑体"/>
          <w:sz w:val="32"/>
          <w:szCs w:val="32"/>
        </w:rPr>
      </w:pPr>
    </w:p>
    <w:p>
      <w:pPr>
        <w:ind w:left="630"/>
        <w:rPr>
          <w:rFonts w:ascii="黑体" w:hAnsi="黑体" w:eastAsia="黑体" w:cs="黑体"/>
          <w:sz w:val="32"/>
          <w:szCs w:val="32"/>
        </w:rPr>
      </w:pPr>
    </w:p>
    <w:p>
      <w:pPr>
        <w:ind w:left="630"/>
        <w:rPr>
          <w:rFonts w:ascii="黑体" w:hAnsi="黑体" w:eastAsia="黑体" w:cs="黑体"/>
          <w:sz w:val="32"/>
          <w:szCs w:val="32"/>
        </w:rPr>
      </w:pPr>
      <w:r>
        <w:rPr>
          <w:rFonts w:hint="eastAsia" w:ascii="黑体" w:hAnsi="黑体" w:eastAsia="黑体" w:cs="黑体"/>
          <w:sz w:val="32"/>
          <w:szCs w:val="32"/>
        </w:rPr>
        <w:t>三、收到和处理政府信息公开申请情况</w:t>
      </w:r>
    </w:p>
    <w:tbl>
      <w:tblPr>
        <w:tblStyle w:val="5"/>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sz w:val="24"/>
              </w:rPr>
            </w:pPr>
            <w:r>
              <w:rPr>
                <w:rFonts w:hint="eastAsia" w:ascii="楷体" w:hAnsi="楷体" w:eastAsia="楷体" w:cs="宋体"/>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宋体" w:hAnsi="宋体" w:eastAsia="宋体" w:cs="宋体"/>
                <w:sz w:val="20"/>
              </w:rPr>
              <w:t>申请人情况</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宋体" w:hAnsi="宋体" w:eastAsia="宋体" w:cs="宋体"/>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宋体" w:hAnsi="宋体" w:eastAsia="宋体" w:cs="宋体"/>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宋体" w:hAnsi="宋体" w:eastAsia="宋体" w:cs="宋体"/>
                <w:sz w:val="20"/>
              </w:rPr>
              <w:t>总计</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850"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sz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宋体" w:hAnsi="宋体" w:eastAsia="宋体" w:cs="宋体"/>
                <w:sz w:val="20"/>
              </w:rPr>
              <w:t>商业</w:t>
            </w:r>
          </w:p>
          <w:p>
            <w:pPr>
              <w:widowControl/>
              <w:jc w:val="center"/>
              <w:rPr>
                <w:rFonts w:ascii="宋体" w:hAnsi="宋体" w:eastAsia="宋体" w:cs="宋体"/>
                <w:sz w:val="24"/>
              </w:rPr>
            </w:pPr>
            <w:r>
              <w:rPr>
                <w:rFonts w:hint="eastAsia" w:ascii="宋体" w:hAnsi="宋体" w:eastAsia="宋体" w:cs="宋体"/>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宋体" w:hAnsi="宋体" w:eastAsia="宋体" w:cs="宋体"/>
                <w:sz w:val="20"/>
              </w:rPr>
              <w:t>科研</w:t>
            </w:r>
          </w:p>
          <w:p>
            <w:pPr>
              <w:widowControl/>
              <w:jc w:val="center"/>
              <w:rPr>
                <w:rFonts w:ascii="宋体" w:hAnsi="宋体" w:eastAsia="宋体" w:cs="宋体"/>
                <w:sz w:val="24"/>
              </w:rPr>
            </w:pPr>
            <w:r>
              <w:rPr>
                <w:rFonts w:hint="eastAsia" w:ascii="宋体" w:hAnsi="宋体" w:eastAsia="宋体" w:cs="宋体"/>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宋体" w:hAnsi="宋体" w:eastAsia="宋体" w:cs="宋体"/>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宋体" w:hAnsi="宋体" w:eastAsia="宋体" w:cs="宋体"/>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宋体" w:hAnsi="宋体" w:eastAsia="宋体" w:cs="宋体"/>
                <w:sz w:val="20"/>
              </w:rPr>
              <w:t>其他</w:t>
            </w:r>
          </w:p>
        </w:tc>
        <w:tc>
          <w:tcPr>
            <w:tcW w:w="756" w:type="dxa"/>
            <w:vMerge w:val="continue"/>
            <w:tcBorders>
              <w:top w:val="single" w:color="auto" w:sz="8" w:space="0"/>
              <w:left w:val="nil"/>
              <w:bottom w:val="inset" w:color="auto" w:sz="8" w:space="0"/>
              <w:right w:val="single" w:color="auto" w:sz="8" w:space="0"/>
            </w:tcBorders>
            <w:vAlign w:val="center"/>
          </w:tcPr>
          <w:p>
            <w:pPr>
              <w:widowControl/>
              <w:jc w:val="left"/>
              <w:rPr>
                <w:rFonts w:ascii="宋体" w:hAnsi="宋体" w:eastAsia="宋体" w:cs="宋体"/>
                <w:sz w:val="24"/>
              </w:rPr>
            </w:pP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sz w:val="24"/>
              </w:rPr>
            </w:pPr>
            <w:r>
              <w:rPr>
                <w:rFonts w:hint="eastAsia" w:ascii="宋体" w:hAnsi="宋体" w:eastAsia="宋体" w:cs="宋体"/>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1</w:t>
            </w:r>
            <w:r>
              <w:rPr>
                <w:rFonts w:ascii="Calibri" w:hAnsi="Calibri" w:eastAsia="宋体"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1</w:t>
            </w:r>
          </w:p>
        </w:tc>
      </w:tr>
      <w:tr>
        <w:tblPrEx>
          <w:tblCellMar>
            <w:top w:w="0" w:type="dxa"/>
            <w:left w:w="0" w:type="dxa"/>
            <w:bottom w:w="0" w:type="dxa"/>
            <w:right w:w="0" w:type="dxa"/>
          </w:tblCellMar>
        </w:tblPrEx>
        <w:trPr>
          <w:trHeight w:val="192" w:hRule="atLeast"/>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sz w:val="24"/>
              </w:rPr>
            </w:pPr>
            <w:r>
              <w:rPr>
                <w:rFonts w:hint="eastAsia" w:ascii="宋体" w:hAnsi="宋体" w:eastAsia="宋体" w:cs="宋体"/>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sz w:val="24"/>
              </w:rPr>
            </w:pPr>
            <w:r>
              <w:rPr>
                <w:rFonts w:hint="eastAsia" w:ascii="宋体" w:hAnsi="宋体" w:eastAsia="宋体" w:cs="宋体"/>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sz w:val="24"/>
              </w:rPr>
            </w:pPr>
            <w:r>
              <w:rPr>
                <w:rFonts w:hint="eastAsia" w:ascii="宋体" w:hAnsi="宋体" w:eastAsia="宋体" w:cs="宋体"/>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1</w:t>
            </w:r>
            <w:r>
              <w:rPr>
                <w:rFonts w:ascii="Calibri" w:hAnsi="Calibri" w:eastAsia="宋体"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1</w:t>
            </w:r>
            <w:r>
              <w:rPr>
                <w:rFonts w:ascii="Calibri" w:hAnsi="Calibri" w:eastAsia="宋体" w:cs="Calibri"/>
                <w:sz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sz w:val="24"/>
              </w:rPr>
            </w:pPr>
            <w:r>
              <w:rPr>
                <w:rFonts w:hint="eastAsia" w:ascii="宋体" w:hAnsi="宋体" w:eastAsia="宋体" w:cs="宋体"/>
                <w:sz w:val="20"/>
              </w:rPr>
              <w:t>（二）部分公开</w:t>
            </w:r>
            <w:r>
              <w:rPr>
                <w:rFonts w:hint="eastAsia" w:ascii="楷体" w:hAnsi="楷体" w:eastAsia="楷体" w:cs="宋体"/>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sz w:val="24"/>
              </w:rPr>
            </w:pPr>
            <w:r>
              <w:rPr>
                <w:rFonts w:hint="eastAsia" w:ascii="宋体" w:hAnsi="宋体" w:eastAsia="宋体" w:cs="宋体"/>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sz w:val="24"/>
              </w:rPr>
            </w:pPr>
            <w:r>
              <w:rPr>
                <w:rFonts w:hint="eastAsia" w:ascii="宋体" w:hAnsi="宋体" w:eastAsia="宋体" w:cs="宋体"/>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sz w:val="24"/>
              </w:rPr>
            </w:pPr>
            <w:r>
              <w:rPr>
                <w:rFonts w:hint="eastAsia" w:ascii="宋体" w:hAnsi="宋体" w:eastAsia="宋体" w:cs="宋体"/>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sz w:val="24"/>
              </w:rPr>
            </w:pPr>
            <w:r>
              <w:rPr>
                <w:rFonts w:hint="eastAsia" w:ascii="宋体" w:hAnsi="宋体" w:eastAsia="宋体" w:cs="宋体"/>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sz w:val="24"/>
              </w:rPr>
            </w:pPr>
            <w:r>
              <w:rPr>
                <w:rFonts w:hint="eastAsia" w:ascii="宋体" w:hAnsi="宋体" w:eastAsia="宋体" w:cs="宋体"/>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sz w:val="24"/>
              </w:rPr>
            </w:pPr>
            <w:r>
              <w:rPr>
                <w:rFonts w:hint="eastAsia" w:ascii="宋体" w:hAnsi="宋体" w:eastAsia="宋体" w:cs="宋体"/>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sz w:val="24"/>
              </w:rPr>
            </w:pPr>
            <w:r>
              <w:rPr>
                <w:rFonts w:hint="eastAsia" w:ascii="宋体" w:hAnsi="宋体" w:eastAsia="宋体" w:cs="宋体"/>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sz w:val="24"/>
              </w:rPr>
            </w:pPr>
            <w:r>
              <w:rPr>
                <w:rFonts w:hint="eastAsia" w:ascii="宋体" w:hAnsi="宋体" w:eastAsia="宋体" w:cs="宋体"/>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sz w:val="24"/>
              </w:rPr>
            </w:pPr>
            <w:r>
              <w:rPr>
                <w:rFonts w:hint="eastAsia" w:ascii="宋体" w:hAnsi="宋体" w:eastAsia="宋体" w:cs="宋体"/>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sz w:val="24"/>
              </w:rPr>
            </w:pPr>
            <w:r>
              <w:rPr>
                <w:rFonts w:hint="eastAsia" w:ascii="宋体" w:hAnsi="宋体" w:eastAsia="宋体" w:cs="宋体"/>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sz w:val="24"/>
              </w:rPr>
            </w:pPr>
            <w:r>
              <w:rPr>
                <w:rFonts w:hint="eastAsia" w:ascii="宋体" w:hAnsi="宋体" w:eastAsia="宋体" w:cs="宋体"/>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sz w:val="24"/>
              </w:rPr>
            </w:pPr>
            <w:r>
              <w:rPr>
                <w:rFonts w:hint="eastAsia" w:ascii="宋体" w:hAnsi="宋体" w:eastAsia="宋体" w:cs="宋体"/>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sz w:val="24"/>
              </w:rPr>
            </w:pPr>
            <w:r>
              <w:rPr>
                <w:rFonts w:hint="eastAsia" w:ascii="宋体" w:hAnsi="宋体" w:eastAsia="宋体" w:cs="宋体"/>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sz w:val="24"/>
              </w:rPr>
            </w:pPr>
            <w:r>
              <w:rPr>
                <w:rFonts w:hint="eastAsia" w:ascii="宋体" w:hAnsi="宋体" w:eastAsia="宋体" w:cs="宋体"/>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sz w:val="24"/>
              </w:rPr>
            </w:pPr>
            <w:r>
              <w:rPr>
                <w:rFonts w:hint="eastAsia" w:ascii="宋体" w:hAnsi="宋体" w:eastAsia="宋体" w:cs="宋体"/>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sz w:val="24"/>
              </w:rPr>
            </w:pPr>
            <w:r>
              <w:rPr>
                <w:rFonts w:hint="eastAsia" w:ascii="宋体" w:hAnsi="宋体" w:eastAsia="宋体" w:cs="宋体"/>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sz w:val="24"/>
              </w:rPr>
            </w:pPr>
            <w:r>
              <w:rPr>
                <w:rFonts w:hint="eastAsia" w:ascii="宋体" w:hAnsi="宋体" w:eastAsia="宋体" w:cs="宋体"/>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sz w:val="24"/>
              </w:rPr>
            </w:pPr>
            <w:r>
              <w:rPr>
                <w:rFonts w:hint="eastAsia" w:ascii="宋体" w:hAnsi="宋体" w:eastAsia="宋体" w:cs="宋体"/>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r>
      <w:tr>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sz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rPr>
                <w:rFonts w:ascii="宋体" w:hAnsi="宋体" w:eastAsia="宋体" w:cs="宋体"/>
                <w:sz w:val="24"/>
              </w:rPr>
            </w:pPr>
            <w:r>
              <w:rPr>
                <w:rFonts w:hint="eastAsia" w:ascii="宋体" w:hAnsi="宋体" w:eastAsia="宋体" w:cs="宋体"/>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709" w:type="dxa"/>
            <w:tcBorders>
              <w:top w:val="nil"/>
              <w:left w:val="nil"/>
              <w:bottom w:val="inset"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sz w:val="24"/>
              </w:rPr>
            </w:pPr>
            <w:r>
              <w:rPr>
                <w:rFonts w:hint="eastAsia" w:ascii="宋体" w:hAnsi="宋体" w:eastAsia="宋体" w:cs="宋体"/>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rPr>
                <w:rFonts w:ascii="宋体" w:hAnsi="宋体" w:eastAsia="宋体" w:cs="宋体"/>
                <w:sz w:val="24"/>
              </w:rPr>
            </w:pPr>
            <w:r>
              <w:rPr>
                <w:rFonts w:hint="eastAsia" w:ascii="宋体" w:hAnsi="宋体" w:eastAsia="宋体" w:cs="宋体"/>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jc w:val="left"/>
              <w:rPr>
                <w:rFonts w:ascii="宋体" w:hAnsi="宋体" w:eastAsia="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rPr>
                <w:rFonts w:ascii="宋体" w:hAnsi="宋体" w:eastAsia="宋体" w:cs="宋体"/>
                <w:sz w:val="24"/>
              </w:rPr>
            </w:pPr>
            <w:r>
              <w:rPr>
                <w:rFonts w:hint="eastAsia" w:ascii="宋体" w:hAnsi="宋体" w:eastAsia="宋体" w:cs="宋体"/>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jc w:val="left"/>
              <w:rPr>
                <w:rFonts w:ascii="宋体" w:hAnsi="宋体" w:eastAsia="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sz w:val="24"/>
              </w:rPr>
            </w:pPr>
            <w:r>
              <w:rPr>
                <w:rFonts w:hint="eastAsia" w:ascii="宋体" w:hAnsi="宋体" w:eastAsia="宋体" w:cs="宋体"/>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sz w:val="24"/>
              </w:rPr>
            </w:pPr>
            <w:r>
              <w:rPr>
                <w:rFonts w:hint="eastAsia" w:ascii="宋体" w:hAnsi="宋体" w:eastAsia="宋体" w:cs="宋体"/>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r>
              <w:rPr>
                <w:rFonts w:ascii="Calibri" w:hAnsi="Calibri" w:eastAsia="宋体" w:cs="Calibri"/>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eastAsia="宋体" w:cs="宋体"/>
                <w:sz w:val="24"/>
              </w:rPr>
            </w:pPr>
            <w:r>
              <w:rPr>
                <w:rFonts w:hint="eastAsia" w:ascii="Calibri" w:hAnsi="Calibri" w:eastAsia="宋体" w:cs="Calibri"/>
                <w:sz w:val="20"/>
              </w:rPr>
              <w:t>1</w:t>
            </w:r>
            <w:r>
              <w:rPr>
                <w:rFonts w:ascii="Calibri" w:hAnsi="Calibri" w:eastAsia="宋体" w:cs="Calibri"/>
                <w:sz w:val="20"/>
              </w:rPr>
              <w:t> </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sz w:val="24"/>
              </w:rPr>
            </w:pPr>
            <w:r>
              <w:rPr>
                <w:rFonts w:hint="eastAsia" w:ascii="宋体" w:hAnsi="宋体" w:eastAsia="宋体" w:cs="宋体"/>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ascii="Calibri" w:hAnsi="Calibri" w:eastAsia="宋体" w:cs="Calibri"/>
                <w:sz w:val="20"/>
              </w:rPr>
              <w:t> </w:t>
            </w: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宋体" w:hAnsi="宋体" w:eastAsia="宋体" w:cs="宋体"/>
                <w:sz w:val="24"/>
              </w:rPr>
              <w:t>0</w:t>
            </w:r>
          </w:p>
        </w:tc>
      </w:tr>
    </w:tbl>
    <w:p>
      <w:pPr>
        <w:rPr>
          <w:rFonts w:ascii="黑体" w:hAnsi="黑体" w:eastAsia="黑体" w:cs="黑体"/>
          <w:sz w:val="32"/>
          <w:szCs w:val="32"/>
        </w:rPr>
      </w:pPr>
    </w:p>
    <w:p>
      <w:pPr>
        <w:rPr>
          <w:rFonts w:ascii="黑体" w:hAnsi="黑体" w:eastAsia="黑体" w:cs="黑体"/>
          <w:sz w:val="32"/>
          <w:szCs w:val="32"/>
        </w:rPr>
      </w:pPr>
    </w:p>
    <w:p>
      <w:pPr>
        <w:ind w:firstLine="640" w:firstLineChars="200"/>
        <w:rPr>
          <w:rFonts w:ascii="黑体" w:hAnsi="黑体" w:eastAsia="黑体" w:cs="黑体"/>
          <w:sz w:val="32"/>
          <w:szCs w:val="32"/>
        </w:rPr>
      </w:pPr>
      <w:r>
        <w:rPr>
          <w:rFonts w:hint="eastAsia" w:ascii="黑体" w:hAnsi="黑体" w:eastAsia="黑体" w:cs="黑体"/>
          <w:sz w:val="32"/>
          <w:szCs w:val="32"/>
        </w:rPr>
        <w:t>四、因政府信息公开工作被行政复议、行政诉讼情况</w:t>
      </w:r>
    </w:p>
    <w:tbl>
      <w:tblPr>
        <w:tblStyle w:val="5"/>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行政诉讼</w:t>
            </w:r>
          </w:p>
        </w:tc>
      </w:tr>
      <w:tr>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结果</w:t>
            </w:r>
            <w:r>
              <w:rPr>
                <w:rFonts w:hint="eastAsia" w:ascii="宋体" w:hAnsi="宋体" w:eastAsia="宋体" w:cs="宋体"/>
                <w:sz w:val="20"/>
              </w:rPr>
              <w:br w:type="textWrapping"/>
            </w:r>
            <w:r>
              <w:rPr>
                <w:rFonts w:hint="eastAsia" w:ascii="宋体" w:hAnsi="宋体" w:eastAsia="宋体" w:cs="宋体"/>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其他</w:t>
            </w:r>
            <w:r>
              <w:rPr>
                <w:rFonts w:hint="eastAsia" w:ascii="宋体" w:hAnsi="宋体" w:eastAsia="宋体" w:cs="宋体"/>
                <w:sz w:val="20"/>
              </w:rPr>
              <w:br w:type="textWrapping"/>
            </w:r>
            <w:r>
              <w:rPr>
                <w:rFonts w:hint="eastAsia" w:ascii="宋体" w:hAnsi="宋体" w:eastAsia="宋体" w:cs="宋体"/>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尚未</w:t>
            </w:r>
            <w:r>
              <w:rPr>
                <w:rFonts w:hint="eastAsia" w:ascii="宋体" w:hAnsi="宋体" w:eastAsia="宋体" w:cs="宋体"/>
                <w:sz w:val="20"/>
              </w:rPr>
              <w:br w:type="textWrapping"/>
            </w:r>
            <w:r>
              <w:rPr>
                <w:rFonts w:hint="eastAsia" w:ascii="宋体" w:hAnsi="宋体" w:eastAsia="宋体" w:cs="宋体"/>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sz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结果</w:t>
            </w:r>
            <w:r>
              <w:rPr>
                <w:rFonts w:hint="eastAsia" w:ascii="宋体" w:hAnsi="宋体" w:eastAsia="宋体" w:cs="宋体"/>
                <w:sz w:val="20"/>
              </w:rPr>
              <w:br w:type="textWrapping"/>
            </w:r>
            <w:r>
              <w:rPr>
                <w:rFonts w:hint="eastAsia" w:ascii="宋体" w:hAnsi="宋体" w:eastAsia="宋体" w:cs="宋体"/>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结果</w:t>
            </w:r>
            <w:r>
              <w:rPr>
                <w:rFonts w:hint="eastAsia" w:ascii="宋体" w:hAnsi="宋体" w:eastAsia="宋体" w:cs="宋体"/>
                <w:sz w:val="20"/>
              </w:rPr>
              <w:br w:type="textWrapping"/>
            </w:r>
            <w:r>
              <w:rPr>
                <w:rFonts w:hint="eastAsia" w:ascii="宋体" w:hAnsi="宋体" w:eastAsia="宋体" w:cs="宋体"/>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其他</w:t>
            </w:r>
            <w:r>
              <w:rPr>
                <w:rFonts w:hint="eastAsia" w:ascii="宋体" w:hAnsi="宋体" w:eastAsia="宋体" w:cs="宋体"/>
                <w:sz w:val="20"/>
              </w:rPr>
              <w:br w:type="textWrapping"/>
            </w:r>
            <w:r>
              <w:rPr>
                <w:rFonts w:hint="eastAsia" w:ascii="宋体" w:hAnsi="宋体" w:eastAsia="宋体" w:cs="宋体"/>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尚未</w:t>
            </w:r>
            <w:r>
              <w:rPr>
                <w:rFonts w:hint="eastAsia" w:ascii="宋体" w:hAnsi="宋体" w:eastAsia="宋体" w:cs="宋体"/>
                <w:sz w:val="20"/>
              </w:rPr>
              <w:br w:type="textWrapping"/>
            </w:r>
            <w:r>
              <w:rPr>
                <w:rFonts w:hint="eastAsia" w:ascii="宋体" w:hAnsi="宋体" w:eastAsia="宋体" w:cs="宋体"/>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结果</w:t>
            </w:r>
            <w:r>
              <w:rPr>
                <w:rFonts w:hint="eastAsia" w:ascii="宋体" w:hAnsi="宋体" w:eastAsia="宋体" w:cs="宋体"/>
                <w:sz w:val="20"/>
              </w:rPr>
              <w:br w:type="textWrapping"/>
            </w:r>
            <w:r>
              <w:rPr>
                <w:rFonts w:hint="eastAsia" w:ascii="宋体" w:hAnsi="宋体" w:eastAsia="宋体" w:cs="宋体"/>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结果</w:t>
            </w:r>
            <w:r>
              <w:rPr>
                <w:rFonts w:hint="eastAsia" w:ascii="宋体" w:hAnsi="宋体" w:eastAsia="宋体" w:cs="宋体"/>
                <w:sz w:val="20"/>
              </w:rPr>
              <w:br w:type="textWrapping"/>
            </w:r>
            <w:r>
              <w:rPr>
                <w:rFonts w:hint="eastAsia" w:ascii="宋体" w:hAnsi="宋体" w:eastAsia="宋体" w:cs="宋体"/>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color w:val="000000"/>
                <w:sz w:val="20"/>
              </w:rPr>
              <w:t>其他</w:t>
            </w:r>
            <w:r>
              <w:rPr>
                <w:rFonts w:hint="eastAsia" w:ascii="宋体" w:hAnsi="宋体" w:eastAsia="宋体" w:cs="宋体"/>
                <w:color w:val="000000"/>
                <w:sz w:val="20"/>
              </w:rPr>
              <w:br w:type="textWrapping"/>
            </w:r>
            <w:r>
              <w:rPr>
                <w:rFonts w:hint="eastAsia" w:ascii="宋体" w:hAnsi="宋体" w:eastAsia="宋体" w:cs="宋体"/>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尚未</w:t>
            </w:r>
            <w:r>
              <w:rPr>
                <w:rFonts w:hint="eastAsia" w:ascii="宋体" w:hAnsi="宋体" w:eastAsia="宋体" w:cs="宋体"/>
                <w:sz w:val="20"/>
              </w:rPr>
              <w:br w:type="textWrapping"/>
            </w:r>
            <w:r>
              <w:rPr>
                <w:rFonts w:hint="eastAsia" w:ascii="宋体" w:hAnsi="宋体" w:eastAsia="宋体" w:cs="宋体"/>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color w:val="000000"/>
                <w:sz w:val="20"/>
              </w:rPr>
              <w:t>总计</w:t>
            </w:r>
          </w:p>
        </w:tc>
      </w:tr>
      <w:tr>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0 </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 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 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 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 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 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 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 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0 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0 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 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0 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0 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0 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sz w:val="24"/>
              </w:rPr>
            </w:pPr>
            <w:r>
              <w:rPr>
                <w:rFonts w:hint="eastAsia" w:ascii="宋体" w:hAnsi="宋体" w:eastAsia="宋体" w:cs="宋体"/>
                <w:sz w:val="24"/>
              </w:rPr>
              <w:t>0</w:t>
            </w:r>
          </w:p>
        </w:tc>
      </w:tr>
    </w:tbl>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五、政府信息公开存在的主要问题及改进情况</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（一）存在问题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政府信息公开工作虽然取得了一定的成效，但与政府信息公开工作的新要求相比还存在一定差距，主要体现在：政府信息公开制度化、公开内容标准化、公开流程规范化等方面需进一步提升；对于群众关注的政策信息解读不够多元化；从事政务公开工作的人员配备不足等问题。</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（二）改进措施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下一步将继续认真贯彻执行《政府信息公开条例》及相关规定，一是健全完善政府信息公开制度；二是进一步完善政策解读机制，重点提高解读政策性文件质量，统筹运用文稿解读、单位负责人解读、简明问答、图文解读等多种形式发布解读；三是继续抓好社会救助和养老服务领域政务公开标准化规范化建设，强化信息发布责任科室监督审查。</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六、其他需要报告的事项</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（一）收取信息处理费情况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2021年，本机关依申请公开政府信息未收取任何费用。</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（二）落实上级年度政务公开工作要点情况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严格落实《国务院办公厅关于印发2021年政务公开工作要点的通知》（国办发〔2021〕12号）《山东省人民政府办公厅关于印发2021年山东省政务公开工作要点的通知》（鲁政办发〔2021〕5号）《淄博市人民政府办公室关于印发2021年淄博市政务公开工作要点的通知》（淄政办字〔2021〕39号）各项规定，制定了《高青县民政局2021年政务公开工作实施方案》，重点做好社会救助、社会福利领域信息公开。社会救助方面，公开救助政策、救助标准、申报指南和救助情况，每月公开城乡低保、特困人员供养、临时救助的救助金发放情况，主动接受社会监督。社会福利方面，按月公开儿童福利和残疾人福利发放情况,以及各项老年人补贴申领数量、审核通过数量和审核通过名单。</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（三）人大代表建议和政协委员提案办理结果公开情况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2021年，本机关共承办县十七届人大五次会议建议1件，承办县政协十四届五次会议提案3件，办复率均为100%。4件建议提案均在县政府网站建议提案专题集中公开建议提案人、建议提案原文、建议提案办理结果等信息。</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（四）政务公开工作创新情况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在政务公开工作创新方面，创建“淄助你</w:t>
      </w: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rPr>
        <w:t>慈暖青”救助工作品牌，梳理分析、归纳集成《高青县社会救助对象服务手册》，对10类困难群众划分了50个救助事项，明确了办理条件、救助标准、申请审批流程、业务主管部门及主管部门政策咨询电话。城乡困难群众可以通过咨询电话、微信公众号、镇（街道）办事窗口、登录部门网站、掌上APP等多种方式方法，对照自身困难情况，与所属的困难类别主动“对号入座”，申请自己所需的具体救助项目，获得优质精准、便捷高效的社会救助服务，从而维护基本生活权益。确保社会救助服务措施到位、各类政策落实到位，达到“政策不遗漏、人群全覆盖”的工作目标。</w:t>
      </w:r>
    </w:p>
    <w:p>
      <w:pPr>
        <w:spacing w:line="560" w:lineRule="exact"/>
        <w:ind w:firstLine="640" w:firstLineChars="200"/>
        <w:rPr>
          <w:rFonts w:ascii="楷体_GB2312" w:hAnsi="楷体_GB2312" w:eastAsia="楷体_GB2312" w:cs="楷体_GB2312"/>
          <w:sz w:val="32"/>
          <w:szCs w:val="32"/>
        </w:rPr>
      </w:pPr>
      <w:r>
        <w:rPr>
          <w:rFonts w:hint="eastAsia" w:ascii="楷体_GB2312" w:hAnsi="黑体" w:eastAsia="楷体_GB2312"/>
          <w:sz w:val="32"/>
          <w:szCs w:val="32"/>
        </w:rPr>
        <w:t>（五）有关数据统计说明</w:t>
      </w:r>
    </w:p>
    <w:p>
      <w:pPr>
        <w:spacing w:line="560" w:lineRule="exact"/>
        <w:ind w:firstLine="200"/>
        <w:rPr>
          <w:rFonts w:ascii="仿宋_GB2312" w:hAnsi="仿宋_GB2312" w:eastAsia="仿宋_GB2312" w:cs="仿宋_GB2312"/>
          <w:sz w:val="32"/>
          <w:szCs w:val="32"/>
        </w:rPr>
      </w:pPr>
      <w:r>
        <w:rPr>
          <w:rFonts w:hint="eastAsia" w:ascii="仿宋_GB2312" w:eastAsia="仿宋_GB2312"/>
          <w:sz w:val="32"/>
          <w:szCs w:val="32"/>
        </w:rPr>
        <w:t>报告中所列数据可能因四舍五入原因与数据直接相加之和存在尾数差异。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440BFE"/>
    <w:rsid w:val="00334D2B"/>
    <w:rsid w:val="004D7C7B"/>
    <w:rsid w:val="006104FF"/>
    <w:rsid w:val="007B24BD"/>
    <w:rsid w:val="00931E0A"/>
    <w:rsid w:val="00B250B4"/>
    <w:rsid w:val="00C80A2B"/>
    <w:rsid w:val="00D1300A"/>
    <w:rsid w:val="00EA233A"/>
    <w:rsid w:val="00F20238"/>
    <w:rsid w:val="01052DF6"/>
    <w:rsid w:val="01671BDD"/>
    <w:rsid w:val="02790624"/>
    <w:rsid w:val="043F0BEF"/>
    <w:rsid w:val="045F46B0"/>
    <w:rsid w:val="06B23721"/>
    <w:rsid w:val="074F7A6D"/>
    <w:rsid w:val="0A2E23DC"/>
    <w:rsid w:val="0AF50259"/>
    <w:rsid w:val="0B906A0A"/>
    <w:rsid w:val="0F9067A2"/>
    <w:rsid w:val="101A2510"/>
    <w:rsid w:val="10CE7E56"/>
    <w:rsid w:val="117A2E01"/>
    <w:rsid w:val="13F04BC6"/>
    <w:rsid w:val="14311E89"/>
    <w:rsid w:val="147E67A4"/>
    <w:rsid w:val="14BC19E4"/>
    <w:rsid w:val="156360FB"/>
    <w:rsid w:val="176F504E"/>
    <w:rsid w:val="180E2604"/>
    <w:rsid w:val="18916461"/>
    <w:rsid w:val="18C82ECA"/>
    <w:rsid w:val="1BA23AE5"/>
    <w:rsid w:val="1E1D559E"/>
    <w:rsid w:val="1FA37E2C"/>
    <w:rsid w:val="26BA4CE8"/>
    <w:rsid w:val="28E33CDE"/>
    <w:rsid w:val="29114058"/>
    <w:rsid w:val="2BA30343"/>
    <w:rsid w:val="2BBA09D7"/>
    <w:rsid w:val="2D546C0A"/>
    <w:rsid w:val="2DE47F8D"/>
    <w:rsid w:val="2E67296D"/>
    <w:rsid w:val="2EB13503"/>
    <w:rsid w:val="2F1B2D77"/>
    <w:rsid w:val="2FD72451"/>
    <w:rsid w:val="307B6834"/>
    <w:rsid w:val="30B5691E"/>
    <w:rsid w:val="30EB58D8"/>
    <w:rsid w:val="332C4118"/>
    <w:rsid w:val="33F77268"/>
    <w:rsid w:val="34A44E9F"/>
    <w:rsid w:val="34F64685"/>
    <w:rsid w:val="35D41AEC"/>
    <w:rsid w:val="364B2A89"/>
    <w:rsid w:val="36C770AB"/>
    <w:rsid w:val="37990EF0"/>
    <w:rsid w:val="37CA4C47"/>
    <w:rsid w:val="387119AC"/>
    <w:rsid w:val="3A66FEDC"/>
    <w:rsid w:val="3A8F3142"/>
    <w:rsid w:val="3EBC12DE"/>
    <w:rsid w:val="3F700F79"/>
    <w:rsid w:val="3F7A2219"/>
    <w:rsid w:val="43343EF5"/>
    <w:rsid w:val="435801AA"/>
    <w:rsid w:val="44891ECD"/>
    <w:rsid w:val="45E954A0"/>
    <w:rsid w:val="46C20B6B"/>
    <w:rsid w:val="473D7E0A"/>
    <w:rsid w:val="4CD1279C"/>
    <w:rsid w:val="4DF3347D"/>
    <w:rsid w:val="4E385558"/>
    <w:rsid w:val="4FD839AF"/>
    <w:rsid w:val="4FF9723D"/>
    <w:rsid w:val="50C0101C"/>
    <w:rsid w:val="50F83421"/>
    <w:rsid w:val="50FD9B56"/>
    <w:rsid w:val="519503D4"/>
    <w:rsid w:val="51E9440A"/>
    <w:rsid w:val="541338A7"/>
    <w:rsid w:val="566C67D8"/>
    <w:rsid w:val="596B480F"/>
    <w:rsid w:val="59754476"/>
    <w:rsid w:val="5B590A4D"/>
    <w:rsid w:val="5D3D4FD5"/>
    <w:rsid w:val="5D8774BB"/>
    <w:rsid w:val="5EC450EE"/>
    <w:rsid w:val="5F9D46A9"/>
    <w:rsid w:val="5FFF0C00"/>
    <w:rsid w:val="604A1F03"/>
    <w:rsid w:val="60786190"/>
    <w:rsid w:val="628432D1"/>
    <w:rsid w:val="636F35FC"/>
    <w:rsid w:val="675B710A"/>
    <w:rsid w:val="675D1450"/>
    <w:rsid w:val="677748B0"/>
    <w:rsid w:val="67AA2797"/>
    <w:rsid w:val="67E53889"/>
    <w:rsid w:val="68CF4DBB"/>
    <w:rsid w:val="697927D8"/>
    <w:rsid w:val="6A535578"/>
    <w:rsid w:val="6D440BFE"/>
    <w:rsid w:val="6E1727C0"/>
    <w:rsid w:val="6E62334D"/>
    <w:rsid w:val="6F141779"/>
    <w:rsid w:val="6FD64DB3"/>
    <w:rsid w:val="706D032B"/>
    <w:rsid w:val="70BF3967"/>
    <w:rsid w:val="720D6A96"/>
    <w:rsid w:val="723C1870"/>
    <w:rsid w:val="72C76B03"/>
    <w:rsid w:val="73BF1F2A"/>
    <w:rsid w:val="757543BA"/>
    <w:rsid w:val="75AB270C"/>
    <w:rsid w:val="76EE327A"/>
    <w:rsid w:val="77C70901"/>
    <w:rsid w:val="782F78FF"/>
    <w:rsid w:val="79381BCE"/>
    <w:rsid w:val="7B122CDF"/>
    <w:rsid w:val="7BF40376"/>
    <w:rsid w:val="7DDD367E"/>
    <w:rsid w:val="7EFEFEB1"/>
    <w:rsid w:val="7FF91C5F"/>
    <w:rsid w:val="7FFD25D8"/>
    <w:rsid w:val="9BFAF66F"/>
    <w:rsid w:val="B5FEB336"/>
    <w:rsid w:val="B9FF3D0F"/>
    <w:rsid w:val="BEFF526A"/>
    <w:rsid w:val="D9E73B71"/>
    <w:rsid w:val="FFFFB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kern w:val="2"/>
      <w:sz w:val="18"/>
      <w:szCs w:val="18"/>
    </w:rPr>
  </w:style>
  <w:style w:type="character" w:customStyle="1" w:styleId="9">
    <w:name w:val="页脚 Char"/>
    <w:basedOn w:val="7"/>
    <w:link w:val="3"/>
    <w:qFormat/>
    <w:uiPriority w:val="0"/>
    <w:rPr>
      <w:kern w:val="2"/>
      <w:sz w:val="18"/>
      <w:szCs w:val="18"/>
    </w:rPr>
  </w:style>
  <w:style w:type="character" w:customStyle="1" w:styleId="1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8</Pages>
  <Words>593</Words>
  <Characters>3381</Characters>
  <Lines>28</Lines>
  <Paragraphs>7</Paragraphs>
  <TotalTime>47</TotalTime>
  <ScaleCrop>false</ScaleCrop>
  <LinksUpToDate>false</LinksUpToDate>
  <CharactersWithSpaces>3967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2021-12-21T08:57:00Z</dcterms:created>
  <dc:creator>对面屋顶</dc:creator>
  <cp:lastModifiedBy>user</cp:lastModifiedBy>
  <dcterms:modified xsi:type="dcterms:W3CDTF">2022-01-24T14:43:21Z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845AB6CED2DF45039A17904825F554F7</vt:lpwstr>
  </property>
</Properties>
</file>