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高青县民政局2020年政府信息公开工作年度报告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本报告根据《中华人民共和国政府信息公开条例》（国务院令第711号，以下简称《条例》）要求，由高青县民政局办公室综合本单位政府信息公开工作情况编制。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民政局办公室联系（地址：高青县城高苑东路9号；邮编：256300；电话：0533-6961753；传真：0533-6961753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1.加强政务公开工作组织领导。</w:t>
      </w:r>
      <w:r>
        <w:rPr>
          <w:rFonts w:hint="eastAsia" w:ascii="仿宋_GB2312" w:eastAsia="仿宋_GB2312"/>
          <w:sz w:val="32"/>
          <w:szCs w:val="32"/>
        </w:rPr>
        <w:t>完善《高青县民政局政务公开工作制度》，制定了《高青县民政局2020年政务公开工作实施方案》。政务公开工作列入单位领导分工。进一步明确办公室作为政务公开工作主管科室，具体负责组织协调、指导推进、监督检查全局政务公开工作，切实做到机构到位、责任到位、人员到位、经费到位，政务公开工作队伍建设进一步加强。</w:t>
      </w: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2.全方位开展培训，提高政务公开工作的思想意识。</w:t>
      </w:r>
      <w:r>
        <w:rPr>
          <w:rFonts w:hint="eastAsia" w:ascii="仿宋_GB2312" w:eastAsia="仿宋_GB2312"/>
          <w:sz w:val="32"/>
          <w:szCs w:val="32"/>
        </w:rPr>
        <w:t>制定了《高青县民政局2020年政务公开培训计划》，深刻领会和贯彻执行政务公开工作是新时代条件下贯彻群众路线、建设法治政府的必然要求；进一步提高政务公开工作能力，加强对新条例的学习，以学促进，增强本领，推动业务工作和政务公开工作同谋划同部署同落实，推进政务公开工作齐抓共管、协调有序的工作格局。进一步明确重点领域、公开事项、公开方式、责任单位等具体要求，督促各科室、单位切实抓好各项任务落实。</w:t>
      </w: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3.完善制度建设，丰富政务公开载体。</w:t>
      </w:r>
      <w:r>
        <w:rPr>
          <w:rFonts w:hint="eastAsia" w:ascii="仿宋_GB2312" w:eastAsia="仿宋_GB2312"/>
          <w:sz w:val="32"/>
          <w:szCs w:val="32"/>
        </w:rPr>
        <w:t>按照《高青县民政局关于进一步规范政府机关公文制发流程的通知》要求，进一步加强公文公开属性管理，文件拟稿纸设有公开属性栏目，文件起草审核过程中同步确定其公开属性，进一步规范了政府公文公开程序和渠道。严格规范政务信息公开的内容，对局系统政务信息的公开范围、公开途径、职责分工等做出具体规定，实行目标管理，加强监督检查，做到了责任到岗、任务到人、管理到位。充分发挥政府网站作为政务公开第一平台作用，按时维护更新政府信息公开目录、政府信息依申请公开、政府信息公开监督信箱等栏目。开通“高青民政”微信公众号政务新媒体，及时发布各类政务信息，使社会各界、广大群众可以实时地了解、参与政务，保障群众的知情权、参与权、表达权和监督权，依法提供公开、透明、高效的公共服务。</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1.积极做好社会救助和社会福利重点领域政府信息公开。</w:t>
      </w:r>
      <w:r>
        <w:rPr>
          <w:rFonts w:hint="eastAsia" w:ascii="仿宋_GB2312" w:eastAsia="仿宋_GB2312"/>
          <w:sz w:val="32"/>
          <w:szCs w:val="32"/>
        </w:rPr>
        <w:t>按月度及时公开城乡低保、特困人员供养、残疾人两项补贴、孤儿基本生活费等各项资金发放信息，及时更新各项社会救助政策信息、申请指南，全年共发布社会救助类信息54条，社会福利类信息48条。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1158875</wp:posOffset>
            </wp:positionH>
            <wp:positionV relativeFrom="paragraph">
              <wp:posOffset>103505</wp:posOffset>
            </wp:positionV>
            <wp:extent cx="2964815" cy="2384425"/>
            <wp:effectExtent l="0" t="0" r="6985" b="15875"/>
            <wp:wrapNone/>
            <wp:docPr id="2" name="图片 2" descr="信息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息数量"/>
                    <pic:cNvPicPr>
                      <a:picLocks noChangeAspect="1"/>
                    </pic:cNvPicPr>
                  </pic:nvPicPr>
                  <pic:blipFill>
                    <a:blip r:embed="rId4"/>
                    <a:stretch>
                      <a:fillRect/>
                    </a:stretch>
                  </pic:blipFill>
                  <pic:spPr>
                    <a:xfrm>
                      <a:off x="0" y="0"/>
                      <a:ext cx="2964815" cy="2384425"/>
                    </a:xfrm>
                    <a:prstGeom prst="rect">
                      <a:avLst/>
                    </a:prstGeom>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2.梳理并编制本单位主动公开基本目录、社会救助领域和养老服务领域标准目录。</w:t>
      </w:r>
      <w:r>
        <w:rPr>
          <w:rFonts w:hint="eastAsia" w:ascii="仿宋_GB2312" w:eastAsia="仿宋_GB2312"/>
          <w:sz w:val="32"/>
          <w:szCs w:val="32"/>
        </w:rPr>
        <w:t>及时做好政策解读工作，以领导干部解读等形式解读了《关于对进一步加强特殊困难家庭人员救助的实施细则》《关于提高全县城乡居民最低生活保障和城乡特困供养标准的通知》和《关于对美丽宜居乡村建设中搬迁上楼困难群众发放补贴的实施办法》等政策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8240" behindDoc="0" locked="0" layoutInCell="1" allowOverlap="1">
            <wp:simplePos x="0" y="0"/>
            <wp:positionH relativeFrom="column">
              <wp:posOffset>949325</wp:posOffset>
            </wp:positionH>
            <wp:positionV relativeFrom="paragraph">
              <wp:posOffset>3175</wp:posOffset>
            </wp:positionV>
            <wp:extent cx="2565400" cy="2482215"/>
            <wp:effectExtent l="0" t="0" r="6350" b="13335"/>
            <wp:wrapNone/>
            <wp:docPr id="1" name="图片 1" descr="政策解读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策解读照片"/>
                    <pic:cNvPicPr>
                      <a:picLocks noChangeAspect="1"/>
                    </pic:cNvPicPr>
                  </pic:nvPicPr>
                  <pic:blipFill>
                    <a:blip r:embed="rId5"/>
                    <a:stretch>
                      <a:fillRect/>
                    </a:stretch>
                  </pic:blipFill>
                  <pic:spPr>
                    <a:xfrm>
                      <a:off x="0" y="0"/>
                      <a:ext cx="2565400" cy="2482215"/>
                    </a:xfrm>
                    <a:prstGeom prst="rect">
                      <a:avLst/>
                    </a:prstGeom>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b/>
          <w:sz w:val="32"/>
          <w:szCs w:val="32"/>
        </w:rPr>
        <w:t>3.人大代表建议和政协委员提案办理结果公开方面：</w:t>
      </w:r>
      <w:r>
        <w:rPr>
          <w:rFonts w:hint="eastAsia" w:ascii="仿宋_GB2312" w:eastAsia="仿宋_GB2312"/>
          <w:sz w:val="32"/>
          <w:szCs w:val="32"/>
        </w:rPr>
        <w:t>2020年民政局收到0件代表建议，0条政协提案。</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b/>
          <w:sz w:val="32"/>
          <w:szCs w:val="32"/>
        </w:rPr>
      </w:pPr>
      <w:r>
        <w:rPr>
          <w:rFonts w:hint="eastAsia" w:ascii="仿宋_GB2312" w:eastAsia="仿宋_GB2312"/>
          <w:b/>
          <w:sz w:val="32"/>
          <w:szCs w:val="32"/>
        </w:rPr>
        <w:t>1.收到和处理政府信息公开申请情况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2020年度，共收到政府信息公开申请 2 件，2019年结转政府信息公开申请 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申请内容情况：政府信息公开申请的内容主要低保救助补贴发放情况、困境儿童的救助工作。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申请处理情况：2020年共办结信息公开申请2件。在答复的申请中：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予以公开的办件有2件，占100%；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部分公开的有0件，占0%；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不予公开的有0件，占0%；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无法提供的办件有0件，占0%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结转下年度继续办理 0 件。</w:t>
      </w:r>
    </w:p>
    <w:p>
      <w:pPr>
        <w:tabs>
          <w:tab w:val="left" w:pos="312"/>
        </w:tabs>
        <w:spacing w:line="560" w:lineRule="exact"/>
        <w:ind w:left="640"/>
        <w:rPr>
          <w:rFonts w:ascii="仿宋_GB2312" w:eastAsia="仿宋_GB2312"/>
          <w:b/>
          <w:sz w:val="32"/>
          <w:szCs w:val="32"/>
        </w:rPr>
      </w:pPr>
      <w:r>
        <w:rPr>
          <w:rFonts w:hint="eastAsia" w:ascii="仿宋_GB2312" w:eastAsia="仿宋_GB2312"/>
          <w:b/>
          <w:sz w:val="32"/>
          <w:szCs w:val="32"/>
        </w:rPr>
        <w:t>2.收费和减免情况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本年度，全县各级各部门在政府信息公开申请办理过程中，未收取任何费用。</w:t>
      </w:r>
    </w:p>
    <w:p>
      <w:pPr>
        <w:spacing w:line="560" w:lineRule="exact"/>
        <w:ind w:firstLine="640" w:firstLineChars="200"/>
        <w:rPr>
          <w:rFonts w:ascii="仿宋_GB2312" w:eastAsia="仿宋_GB2312"/>
          <w:b/>
          <w:sz w:val="32"/>
          <w:szCs w:val="32"/>
        </w:rPr>
      </w:pPr>
      <w:r>
        <w:rPr>
          <w:rFonts w:hint="eastAsia" w:ascii="仿宋_GB2312" w:eastAsia="仿宋_GB2312"/>
          <w:b/>
          <w:sz w:val="32"/>
          <w:szCs w:val="32"/>
        </w:rPr>
        <w:t>3.政府信息公开行政复议、行政诉讼情况</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本年度，因政府信息公开引起的行政复议 0 件，行政诉讼0 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积极推动政府信息公开工作全面深入开展，着力推进本单位决策、管理、服务、执行、结果公开以及社会救助、社会福利等重点领域公开，不断加强主动公开、依申请公开、政策解读、回应关切等各项工作。明确了政务公开工作分管领导和责任科室，调配充实了政务公开工作岗位人员，完善《高青县民政局政务公开工作制度》，制定了《高青县民政局2020年政务公开培训计划》《高青县民政局2020年政务公开工作实施方案》。紧紧围绕民政工作，健全机构，明确责任，完善制度，分解任务，规范工作，抓好落实。全面实行政务信息公开，促进公开的范围和内容向深度和广度发展，使我局的政务信息公开工作走上程序化、规范化、制度化的轨道。</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过县政府门户网站政务公开平台，完善部门政府信息公开目录，加大社会救助和社会福利等重点领域信息公开力度，及时发布各类社会救助信息、补贴标准、申请流程、资金支出情况等各类信息。做好政务新媒体政务公开力度，通过“高青民政”微信公众号，及时发布各类政务信息，使社会各界、广大群众可以实时地了解社会救助和社会福利等民政业务相关的政务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1387475</wp:posOffset>
            </wp:positionH>
            <wp:positionV relativeFrom="paragraph">
              <wp:posOffset>49530</wp:posOffset>
            </wp:positionV>
            <wp:extent cx="2422525" cy="3233420"/>
            <wp:effectExtent l="0" t="0" r="15875" b="5080"/>
            <wp:wrapNone/>
            <wp:docPr id="3" name="图片 3" descr="161119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1191615(1)"/>
                    <pic:cNvPicPr>
                      <a:picLocks noChangeAspect="1"/>
                    </pic:cNvPicPr>
                  </pic:nvPicPr>
                  <pic:blipFill>
                    <a:blip r:embed="rId6"/>
                    <a:stretch>
                      <a:fillRect/>
                    </a:stretch>
                  </pic:blipFill>
                  <pic:spPr>
                    <a:xfrm>
                      <a:off x="0" y="0"/>
                      <a:ext cx="2422525" cy="3233420"/>
                    </a:xfrm>
                    <a:prstGeom prst="rect">
                      <a:avLst/>
                    </a:prstGeom>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高青县人民政府办公室关于印发高青县2020年政务公开工作要点的通知》要求，对照部门主动公开基本目录，明确各科室的政务公开任务，落实具体责任人。定期通报政务公开工作完成情况和信息发布情况，对不能按时完成政务公开任务的由分管领导约谈科室负责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xml:space="preserve">  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xml:space="preserve">  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2</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40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2186</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57</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4</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1</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0 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2</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38.244万元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559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2</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2</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2</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ascii="楷体_GB2312" w:hAnsi="黑体" w:eastAsia="楷体_GB2312"/>
          <w:sz w:val="32"/>
          <w:szCs w:val="32"/>
        </w:rPr>
      </w:pPr>
      <w:r>
        <w:rPr>
          <w:rFonts w:hint="eastAsia" w:ascii="仿宋_GB2312" w:hAnsi="仿宋_GB2312" w:eastAsia="仿宋_GB2312" w:cs="仿宋_GB2312"/>
          <w:sz w:val="32"/>
          <w:szCs w:val="32"/>
        </w:rPr>
        <w:t>2020年，我局政府信息公开工作虽然取得了一定的成效，但与省、市、县各级政府和社会公众的要求和期望相比仍有一定差距，主要表现为：一是政务公开形式有待进一步多样化；二是专业信息化人员缺失和信息管理人员的专业理论素质有待进一步提高；三是对业务科室相关工作人员政府信息公开工作业务培训不够。</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进一步完善机制，提高信息公开质量的同时丰富政务公开形式。对原有的政府信息公开目录进行补充完善，保证公开信息的完整性和准确性。努力探索工作创新，把信息公开工作与日常工作相结合，与服务群众相结合，以信息公开促进群众监督参与，以信息公开促进依法行政水平，不断提高服务质量，切实维护公众的知情权、参与权和监督权。二是将政府信息公开工作责任落实到科室，持续抓好主动公开政府信息发布的及时性、规范性，加强政府信息公开工作业务培训。三是强化政府网站和政务新媒体优势互补，切实抓好政府信息公开工作落实，实现政府信息公开工作时效、质量再提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560" w:firstLineChars="200"/>
        <w:rPr>
          <w:rFonts w:ascii="仿宋_GB2312" w:eastAsia="仿宋_GB2312"/>
          <w:sz w:val="28"/>
          <w:szCs w:val="28"/>
        </w:rPr>
      </w:pPr>
      <w:r>
        <w:rPr>
          <w:rFonts w:hint="eastAsia" w:ascii="仿宋_GB2312" w:eastAsia="仿宋_GB2312"/>
          <w:sz w:val="28"/>
          <w:szCs w:val="28"/>
        </w:rPr>
        <w:t>无。</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1170"/>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16E"/>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0A1C"/>
    <w:rsid w:val="00361769"/>
    <w:rsid w:val="003A551A"/>
    <w:rsid w:val="003B7614"/>
    <w:rsid w:val="003C1CCB"/>
    <w:rsid w:val="003C66CF"/>
    <w:rsid w:val="003D1317"/>
    <w:rsid w:val="003F3C5A"/>
    <w:rsid w:val="004020BC"/>
    <w:rsid w:val="00417E4F"/>
    <w:rsid w:val="00431DC0"/>
    <w:rsid w:val="0044469E"/>
    <w:rsid w:val="0044565B"/>
    <w:rsid w:val="004622B9"/>
    <w:rsid w:val="004622CB"/>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4098"/>
    <w:rsid w:val="00AD7912"/>
    <w:rsid w:val="00AE68F1"/>
    <w:rsid w:val="00AE6F46"/>
    <w:rsid w:val="00AF0C03"/>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22E087B"/>
    <w:rsid w:val="03F65C6A"/>
    <w:rsid w:val="05D412EF"/>
    <w:rsid w:val="067412CB"/>
    <w:rsid w:val="073C5652"/>
    <w:rsid w:val="0C5E14DA"/>
    <w:rsid w:val="0E0F79AA"/>
    <w:rsid w:val="13B47DDA"/>
    <w:rsid w:val="1553204C"/>
    <w:rsid w:val="160E3A82"/>
    <w:rsid w:val="17A73865"/>
    <w:rsid w:val="18C12302"/>
    <w:rsid w:val="18F720FF"/>
    <w:rsid w:val="198F58CF"/>
    <w:rsid w:val="19B27893"/>
    <w:rsid w:val="19FD0802"/>
    <w:rsid w:val="1A1545F5"/>
    <w:rsid w:val="23162591"/>
    <w:rsid w:val="258A1E2D"/>
    <w:rsid w:val="25B34846"/>
    <w:rsid w:val="25BA688D"/>
    <w:rsid w:val="29BB16A2"/>
    <w:rsid w:val="2AD62F9D"/>
    <w:rsid w:val="2ADB7E91"/>
    <w:rsid w:val="2B625FC9"/>
    <w:rsid w:val="2D1A0D63"/>
    <w:rsid w:val="2F312ED7"/>
    <w:rsid w:val="31B46521"/>
    <w:rsid w:val="31E109FE"/>
    <w:rsid w:val="32453EE7"/>
    <w:rsid w:val="336354CA"/>
    <w:rsid w:val="33FA5F37"/>
    <w:rsid w:val="351C10CB"/>
    <w:rsid w:val="35F45FD7"/>
    <w:rsid w:val="39D86E45"/>
    <w:rsid w:val="3AB7401C"/>
    <w:rsid w:val="3AF70C68"/>
    <w:rsid w:val="3B7B1DEB"/>
    <w:rsid w:val="3F8B33DF"/>
    <w:rsid w:val="3FE1370B"/>
    <w:rsid w:val="40211328"/>
    <w:rsid w:val="404A39F8"/>
    <w:rsid w:val="405B40D5"/>
    <w:rsid w:val="45160E9E"/>
    <w:rsid w:val="4597145B"/>
    <w:rsid w:val="473F1C53"/>
    <w:rsid w:val="511D3C1A"/>
    <w:rsid w:val="513E63DA"/>
    <w:rsid w:val="52456A5C"/>
    <w:rsid w:val="52B17D68"/>
    <w:rsid w:val="570259B0"/>
    <w:rsid w:val="59DA1D58"/>
    <w:rsid w:val="5D3B1E20"/>
    <w:rsid w:val="5EA43356"/>
    <w:rsid w:val="5F5C71E4"/>
    <w:rsid w:val="61FB6F6A"/>
    <w:rsid w:val="622509E4"/>
    <w:rsid w:val="63C9486C"/>
    <w:rsid w:val="6839213C"/>
    <w:rsid w:val="6E7A66BE"/>
    <w:rsid w:val="6E8F3E21"/>
    <w:rsid w:val="70E33EBA"/>
    <w:rsid w:val="776E326D"/>
    <w:rsid w:val="796A5B71"/>
    <w:rsid w:val="7A005D01"/>
    <w:rsid w:val="7FA9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ascii="Verdana" w:hAnsi="Verdana" w:eastAsia="仿宋_GB2312" w:cs="Verdana"/>
      <w:b/>
      <w:bCs/>
      <w:kern w:val="0"/>
      <w:sz w:val="28"/>
      <w:szCs w:val="28"/>
      <w:lang w:eastAsia="en-US"/>
    </w:rPr>
  </w:style>
  <w:style w:type="character" w:customStyle="1" w:styleId="10">
    <w:name w:val="批注框文本 Char"/>
    <w:basedOn w:val="8"/>
    <w:link w:val="3"/>
    <w:semiHidden/>
    <w:qFormat/>
    <w:uiPriority w:val="99"/>
    <w:rPr>
      <w:sz w:val="18"/>
      <w:szCs w:val="18"/>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643</Words>
  <Characters>3671</Characters>
  <Lines>30</Lines>
  <Paragraphs>8</Paragraphs>
  <TotalTime>49</TotalTime>
  <ScaleCrop>false</ScaleCrop>
  <LinksUpToDate>false</LinksUpToDate>
  <CharactersWithSpaces>4306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Administrator</cp:lastModifiedBy>
  <dcterms:modified xsi:type="dcterms:W3CDTF">2021-06-01T22:19:30Z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