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881" w:rsidRDefault="00574244">
      <w:pPr>
        <w:spacing w:line="600" w:lineRule="exact"/>
        <w:ind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高青县</w:t>
      </w:r>
      <w:r>
        <w:rPr>
          <w:rFonts w:ascii="方正小标宋简体" w:eastAsia="方正小标宋简体" w:hAnsi="方正小标宋简体" w:cs="方正小标宋简体" w:hint="eastAsia"/>
          <w:sz w:val="44"/>
          <w:szCs w:val="44"/>
        </w:rPr>
        <w:t>民政</w:t>
      </w:r>
      <w:r>
        <w:rPr>
          <w:rFonts w:ascii="方正小标宋简体" w:eastAsia="方正小标宋简体" w:hAnsi="方正小标宋简体" w:cs="方正小标宋简体" w:hint="eastAsia"/>
          <w:sz w:val="44"/>
          <w:szCs w:val="44"/>
        </w:rPr>
        <w:t>局</w:t>
      </w:r>
    </w:p>
    <w:p w:rsidR="00963AE0" w:rsidRDefault="00574244">
      <w:pPr>
        <w:spacing w:line="600" w:lineRule="exact"/>
        <w:ind w:firstLine="0"/>
        <w:jc w:val="center"/>
        <w:rPr>
          <w:rFonts w:ascii="仿宋_GB2312" w:eastAsia="仿宋_GB2312"/>
        </w:rPr>
      </w:pP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年政府信息公开工作</w:t>
      </w:r>
      <w:r>
        <w:rPr>
          <w:rFonts w:ascii="方正小标宋简体" w:eastAsia="方正小标宋简体" w:hAnsi="方正小标宋简体" w:cs="方正小标宋简体" w:hint="eastAsia"/>
          <w:sz w:val="44"/>
          <w:szCs w:val="44"/>
        </w:rPr>
        <w:t>年度报告</w:t>
      </w:r>
    </w:p>
    <w:p w:rsidR="00963AE0" w:rsidRDefault="00963AE0">
      <w:pPr>
        <w:spacing w:line="600" w:lineRule="exact"/>
        <w:ind w:firstLineChars="200" w:firstLine="640"/>
        <w:rPr>
          <w:rFonts w:ascii="仿宋_GB2312" w:eastAsia="仿宋_GB2312"/>
        </w:rPr>
      </w:pPr>
    </w:p>
    <w:p w:rsidR="00963AE0" w:rsidRDefault="00574244">
      <w:pPr>
        <w:spacing w:line="600" w:lineRule="exact"/>
        <w:ind w:firstLineChars="200" w:firstLine="640"/>
        <w:rPr>
          <w:rFonts w:ascii="仿宋_GB2312" w:eastAsia="仿宋_GB2312"/>
        </w:rPr>
      </w:pPr>
      <w:r>
        <w:rPr>
          <w:rFonts w:ascii="仿宋_GB2312" w:eastAsia="仿宋_GB2312" w:hint="eastAsia"/>
        </w:rPr>
        <w:t>本报告根据《中华人民共和国政府信息公开条例》（国务院令第</w:t>
      </w:r>
      <w:r>
        <w:rPr>
          <w:rFonts w:ascii="仿宋_GB2312" w:eastAsia="仿宋_GB2312" w:hint="eastAsia"/>
        </w:rPr>
        <w:t>711</w:t>
      </w:r>
      <w:r>
        <w:rPr>
          <w:rFonts w:ascii="仿宋_GB2312" w:eastAsia="仿宋_GB2312" w:hint="eastAsia"/>
        </w:rPr>
        <w:t>号，以下简称《条例》）</w:t>
      </w:r>
      <w:r>
        <w:rPr>
          <w:rFonts w:ascii="仿宋_GB2312" w:eastAsia="仿宋_GB2312" w:hint="eastAsia"/>
          <w:szCs w:val="32"/>
        </w:rPr>
        <w:t>和《国务院办公厅政府信息与政务公开办公室关于印发</w:t>
      </w:r>
      <w:r>
        <w:rPr>
          <w:rFonts w:ascii="仿宋_GB2312" w:eastAsia="仿宋_GB2312" w:hint="eastAsia"/>
          <w:szCs w:val="32"/>
        </w:rPr>
        <w:t>&lt;</w:t>
      </w:r>
      <w:r>
        <w:rPr>
          <w:rFonts w:ascii="仿宋_GB2312" w:eastAsia="仿宋_GB2312" w:hint="eastAsia"/>
          <w:szCs w:val="32"/>
        </w:rPr>
        <w:t>中华人民共和国政府信息公开工作年度报告格式</w:t>
      </w:r>
      <w:r>
        <w:rPr>
          <w:rFonts w:ascii="仿宋_GB2312" w:eastAsia="仿宋_GB2312" w:hint="eastAsia"/>
          <w:szCs w:val="32"/>
        </w:rPr>
        <w:t>&gt;</w:t>
      </w:r>
      <w:r>
        <w:rPr>
          <w:rFonts w:ascii="仿宋_GB2312" w:eastAsia="仿宋_GB2312" w:hint="eastAsia"/>
          <w:szCs w:val="32"/>
        </w:rPr>
        <w:t>的通知》（国办公开办函〔</w:t>
      </w:r>
      <w:r>
        <w:rPr>
          <w:rFonts w:ascii="仿宋_GB2312" w:eastAsia="仿宋_GB2312"/>
          <w:szCs w:val="32"/>
        </w:rPr>
        <w:t>2021</w:t>
      </w:r>
      <w:r>
        <w:rPr>
          <w:rFonts w:ascii="仿宋_GB2312" w:eastAsia="仿宋_GB2312"/>
          <w:szCs w:val="32"/>
        </w:rPr>
        <w:t>〕</w:t>
      </w:r>
      <w:r>
        <w:rPr>
          <w:rFonts w:ascii="仿宋_GB2312" w:eastAsia="仿宋_GB2312"/>
          <w:szCs w:val="32"/>
        </w:rPr>
        <w:t>30</w:t>
      </w:r>
      <w:r>
        <w:rPr>
          <w:rFonts w:ascii="仿宋_GB2312" w:eastAsia="仿宋_GB2312"/>
          <w:szCs w:val="32"/>
        </w:rPr>
        <w:t>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w:t>
      </w:r>
      <w:r>
        <w:rPr>
          <w:rFonts w:ascii="仿宋_GB2312" w:eastAsia="仿宋_GB2312" w:hint="eastAsia"/>
        </w:rPr>
        <w:t>6</w:t>
      </w:r>
      <w:r>
        <w:rPr>
          <w:rFonts w:ascii="仿宋_GB2312" w:eastAsia="仿宋_GB2312" w:hint="eastAsia"/>
        </w:rPr>
        <w:t>个部分。</w:t>
      </w:r>
    </w:p>
    <w:p w:rsidR="00963AE0" w:rsidRDefault="00574244">
      <w:pPr>
        <w:spacing w:line="600" w:lineRule="exact"/>
        <w:ind w:firstLineChars="200" w:firstLine="640"/>
        <w:rPr>
          <w:rFonts w:ascii="仿宋_GB2312" w:eastAsia="仿宋_GB2312" w:hAnsi="黑体"/>
        </w:rPr>
      </w:pPr>
      <w:r>
        <w:rPr>
          <w:rFonts w:ascii="仿宋_GB2312" w:eastAsia="仿宋_GB2312" w:hint="eastAsia"/>
        </w:rPr>
        <w:t>报告中所列数据统计期限自</w:t>
      </w:r>
      <w:r>
        <w:rPr>
          <w:rFonts w:ascii="仿宋_GB2312" w:eastAsia="仿宋_GB2312" w:hint="eastAsia"/>
        </w:rPr>
        <w:t>2022</w:t>
      </w:r>
      <w:r>
        <w:rPr>
          <w:rFonts w:ascii="仿宋_GB2312" w:eastAsia="仿宋_GB2312" w:hint="eastAsia"/>
        </w:rPr>
        <w:t>年</w:t>
      </w:r>
      <w:r>
        <w:rPr>
          <w:rFonts w:ascii="仿宋_GB2312" w:eastAsia="仿宋_GB2312" w:hint="eastAsia"/>
        </w:rPr>
        <w:t>1</w:t>
      </w:r>
      <w:r>
        <w:rPr>
          <w:rFonts w:ascii="仿宋_GB2312" w:eastAsia="仿宋_GB2312" w:hint="eastAsia"/>
        </w:rPr>
        <w:t>月</w:t>
      </w:r>
      <w:r>
        <w:rPr>
          <w:rFonts w:ascii="仿宋_GB2312" w:eastAsia="仿宋_GB2312" w:hint="eastAsia"/>
        </w:rPr>
        <w:t>1</w:t>
      </w:r>
      <w:r>
        <w:rPr>
          <w:rFonts w:ascii="仿宋_GB2312" w:eastAsia="仿宋_GB2312" w:hint="eastAsia"/>
        </w:rPr>
        <w:t>日始，至</w:t>
      </w:r>
      <w:r>
        <w:rPr>
          <w:rFonts w:ascii="仿宋_GB2312" w:eastAsia="仿宋_GB2312" w:hint="eastAsia"/>
        </w:rPr>
        <w:t>2022</w:t>
      </w:r>
      <w:r>
        <w:rPr>
          <w:rFonts w:ascii="仿宋_GB2312" w:eastAsia="仿宋_GB2312" w:hint="eastAsia"/>
        </w:rPr>
        <w:t>年</w:t>
      </w:r>
      <w:r>
        <w:rPr>
          <w:rFonts w:ascii="仿宋_GB2312" w:eastAsia="仿宋_GB2312" w:hint="eastAsia"/>
        </w:rPr>
        <w:t>12</w:t>
      </w:r>
      <w:r>
        <w:rPr>
          <w:rFonts w:ascii="仿宋_GB2312" w:eastAsia="仿宋_GB2312" w:hint="eastAsia"/>
        </w:rPr>
        <w:t>月</w:t>
      </w:r>
      <w:r>
        <w:rPr>
          <w:rFonts w:ascii="仿宋_GB2312" w:eastAsia="仿宋_GB2312" w:hint="eastAsia"/>
        </w:rPr>
        <w:t>31</w:t>
      </w:r>
      <w:r>
        <w:rPr>
          <w:rFonts w:ascii="仿宋_GB2312" w:eastAsia="仿宋_GB2312" w:hint="eastAsia"/>
        </w:rPr>
        <w:t>日止。报告电子版可在高青县人民政府门户网站（</w:t>
      </w:r>
      <w:r>
        <w:rPr>
          <w:rFonts w:ascii="仿宋_GB2312" w:eastAsia="仿宋_GB2312" w:hint="eastAsia"/>
        </w:rPr>
        <w:t>www.gaoqing.gov.cn</w:t>
      </w:r>
      <w:r>
        <w:rPr>
          <w:rFonts w:ascii="仿宋_GB2312" w:eastAsia="仿宋_GB2312" w:hint="eastAsia"/>
        </w:rPr>
        <w:t>）查阅和下载。如对报告内容有疑问，请与高青县</w:t>
      </w:r>
      <w:r>
        <w:rPr>
          <w:rFonts w:ascii="仿宋_GB2312" w:eastAsia="仿宋_GB2312" w:hint="eastAsia"/>
        </w:rPr>
        <w:t>民政</w:t>
      </w:r>
      <w:r>
        <w:rPr>
          <w:rFonts w:ascii="仿宋_GB2312" w:eastAsia="仿宋_GB2312" w:hint="eastAsia"/>
        </w:rPr>
        <w:t>局办公室联系（地址：山东省淄博市高青</w:t>
      </w:r>
      <w:proofErr w:type="gramStart"/>
      <w:r>
        <w:rPr>
          <w:rFonts w:ascii="仿宋_GB2312" w:eastAsia="仿宋_GB2312" w:hint="eastAsia"/>
        </w:rPr>
        <w:t>县高苑东路</w:t>
      </w:r>
      <w:proofErr w:type="gramEnd"/>
      <w:r>
        <w:rPr>
          <w:rFonts w:ascii="仿宋_GB2312" w:eastAsia="仿宋_GB2312" w:hint="eastAsia"/>
        </w:rPr>
        <w:t>9</w:t>
      </w:r>
      <w:r>
        <w:rPr>
          <w:rFonts w:ascii="仿宋_GB2312" w:eastAsia="仿宋_GB2312" w:hint="eastAsia"/>
        </w:rPr>
        <w:t>号；邮编：</w:t>
      </w:r>
      <w:r>
        <w:rPr>
          <w:rFonts w:ascii="仿宋_GB2312" w:eastAsia="仿宋_GB2312" w:hint="eastAsia"/>
        </w:rPr>
        <w:t>256300</w:t>
      </w:r>
      <w:r>
        <w:rPr>
          <w:rFonts w:ascii="仿宋_GB2312" w:eastAsia="仿宋_GB2312" w:hint="eastAsia"/>
        </w:rPr>
        <w:t>；电话：</w:t>
      </w:r>
      <w:r>
        <w:rPr>
          <w:rFonts w:ascii="仿宋_GB2312" w:eastAsia="仿宋_GB2312" w:hint="eastAsia"/>
        </w:rPr>
        <w:t>0533-6961753</w:t>
      </w:r>
      <w:r>
        <w:rPr>
          <w:rFonts w:ascii="仿宋_GB2312" w:eastAsia="仿宋_GB2312" w:hint="eastAsia"/>
        </w:rPr>
        <w:t>；传真：</w:t>
      </w:r>
      <w:r>
        <w:rPr>
          <w:rFonts w:ascii="仿宋_GB2312" w:eastAsia="仿宋_GB2312" w:hint="eastAsia"/>
        </w:rPr>
        <w:t>0533-6961753</w:t>
      </w:r>
      <w:r>
        <w:rPr>
          <w:rFonts w:ascii="仿宋_GB2312" w:eastAsia="仿宋_GB2312" w:hint="eastAsia"/>
        </w:rPr>
        <w:t>；电子邮箱：</w:t>
      </w:r>
      <w:r>
        <w:rPr>
          <w:rFonts w:ascii="仿宋_GB2312" w:eastAsia="仿宋_GB2312" w:hint="eastAsia"/>
        </w:rPr>
        <w:t>gqmz@zb.shandong.cn</w:t>
      </w:r>
      <w:r>
        <w:rPr>
          <w:rFonts w:ascii="仿宋_GB2312" w:eastAsia="仿宋_GB2312" w:hint="eastAsia"/>
        </w:rPr>
        <w:t>）。</w:t>
      </w:r>
    </w:p>
    <w:p w:rsidR="00963AE0" w:rsidRDefault="00574244">
      <w:pPr>
        <w:spacing w:line="600" w:lineRule="exact"/>
        <w:ind w:firstLineChars="200" w:firstLine="640"/>
        <w:rPr>
          <w:rFonts w:ascii="黑体" w:eastAsia="黑体" w:hAnsi="黑体"/>
          <w:szCs w:val="32"/>
        </w:rPr>
      </w:pPr>
      <w:r>
        <w:rPr>
          <w:rFonts w:ascii="黑体" w:eastAsia="黑体" w:hAnsi="黑体" w:hint="eastAsia"/>
          <w:szCs w:val="32"/>
        </w:rPr>
        <w:t>一、总体情况</w:t>
      </w:r>
    </w:p>
    <w:p w:rsidR="00963AE0" w:rsidRDefault="00574244">
      <w:pPr>
        <w:spacing w:line="600" w:lineRule="exact"/>
        <w:ind w:firstLineChars="200" w:firstLine="640"/>
        <w:rPr>
          <w:rFonts w:ascii="仿宋_GB2312" w:eastAsia="仿宋_GB2312"/>
          <w:szCs w:val="32"/>
        </w:rPr>
      </w:pPr>
      <w:r>
        <w:rPr>
          <w:rFonts w:ascii="仿宋_GB2312" w:eastAsia="仿宋_GB2312"/>
          <w:szCs w:val="32"/>
        </w:rPr>
        <w:t>202</w:t>
      </w:r>
      <w:r>
        <w:rPr>
          <w:rFonts w:ascii="仿宋_GB2312" w:eastAsia="仿宋_GB2312" w:hint="eastAsia"/>
          <w:szCs w:val="32"/>
        </w:rPr>
        <w:t>2</w:t>
      </w:r>
      <w:r>
        <w:rPr>
          <w:rFonts w:ascii="仿宋_GB2312" w:eastAsia="仿宋_GB2312" w:hint="eastAsia"/>
          <w:szCs w:val="32"/>
        </w:rPr>
        <w:t>年，高青县</w:t>
      </w:r>
      <w:r>
        <w:rPr>
          <w:rFonts w:ascii="仿宋_GB2312" w:eastAsia="仿宋_GB2312" w:hint="eastAsia"/>
          <w:szCs w:val="32"/>
        </w:rPr>
        <w:t>民政</w:t>
      </w:r>
      <w:r>
        <w:rPr>
          <w:rFonts w:ascii="仿宋_GB2312" w:eastAsia="仿宋_GB2312" w:hint="eastAsia"/>
          <w:szCs w:val="32"/>
        </w:rPr>
        <w:t>局坚持以习近平新时代中国特色社会主义思想为指导，认真落实国家和省市县政务公开工作部署，坚持</w:t>
      </w:r>
      <w:r>
        <w:rPr>
          <w:rFonts w:ascii="仿宋_GB2312" w:eastAsia="仿宋_GB2312" w:hint="eastAsia"/>
          <w:szCs w:val="32"/>
        </w:rPr>
        <w:t>以公开为常态、不公开为例外，</w:t>
      </w:r>
      <w:r>
        <w:rPr>
          <w:rFonts w:ascii="仿宋_GB2312" w:eastAsia="仿宋_GB2312" w:hint="eastAsia"/>
          <w:szCs w:val="32"/>
        </w:rPr>
        <w:t>推动</w:t>
      </w:r>
      <w:r>
        <w:rPr>
          <w:rFonts w:ascii="仿宋_GB2312" w:eastAsia="仿宋_GB2312" w:hint="eastAsia"/>
          <w:szCs w:val="32"/>
        </w:rPr>
        <w:t>决策和管理服务透明化、规范化、便利化，不断提升</w:t>
      </w:r>
      <w:r w:rsidR="00B52357">
        <w:rPr>
          <w:rFonts w:ascii="仿宋_GB2312" w:eastAsia="仿宋_GB2312" w:hint="eastAsia"/>
          <w:szCs w:val="32"/>
        </w:rPr>
        <w:t>政务公开</w:t>
      </w:r>
      <w:r>
        <w:rPr>
          <w:rFonts w:ascii="仿宋_GB2312" w:eastAsia="仿宋_GB2312" w:hint="eastAsia"/>
          <w:szCs w:val="32"/>
        </w:rPr>
        <w:t>工作质效。</w:t>
      </w:r>
    </w:p>
    <w:p w:rsidR="00963AE0" w:rsidRDefault="00574244">
      <w:pPr>
        <w:spacing w:line="600" w:lineRule="exact"/>
        <w:jc w:val="left"/>
        <w:rPr>
          <w:rFonts w:ascii="楷体_GB2312" w:eastAsia="楷体_GB2312"/>
        </w:rPr>
      </w:pPr>
      <w:r>
        <w:rPr>
          <w:rFonts w:ascii="楷体_GB2312" w:eastAsia="楷体_GB2312" w:hint="eastAsia"/>
        </w:rPr>
        <w:t>（一）主动公开</w:t>
      </w:r>
    </w:p>
    <w:p w:rsidR="00B52357" w:rsidRPr="004B2BCB" w:rsidRDefault="00574244">
      <w:pPr>
        <w:spacing w:line="600" w:lineRule="exact"/>
        <w:jc w:val="left"/>
        <w:rPr>
          <w:rFonts w:ascii="仿宋_GB2312" w:eastAsia="仿宋_GB2312" w:hint="eastAsia"/>
        </w:rPr>
      </w:pPr>
      <w:r>
        <w:rPr>
          <w:rFonts w:ascii="仿宋_GB2312" w:eastAsia="仿宋_GB2312" w:hint="eastAsia"/>
        </w:rPr>
        <w:lastRenderedPageBreak/>
        <w:t>建立健全政府信息主动公开机制，</w:t>
      </w:r>
      <w:r>
        <w:rPr>
          <w:rFonts w:ascii="仿宋_GB2312" w:eastAsia="仿宋_GB2312" w:hint="eastAsia"/>
        </w:rPr>
        <w:t>制定出台了《高青县民政局</w:t>
      </w:r>
      <w:r>
        <w:rPr>
          <w:rFonts w:ascii="仿宋_GB2312" w:eastAsia="仿宋_GB2312" w:hint="eastAsia"/>
        </w:rPr>
        <w:t>2022</w:t>
      </w:r>
      <w:r>
        <w:rPr>
          <w:rFonts w:ascii="仿宋_GB2312" w:eastAsia="仿宋_GB2312" w:hint="eastAsia"/>
        </w:rPr>
        <w:t>年政务公开工作实施方案》，全面压实工作责任</w:t>
      </w:r>
      <w:r>
        <w:rPr>
          <w:rFonts w:ascii="仿宋_GB2312" w:eastAsia="仿宋_GB2312" w:hint="eastAsia"/>
        </w:rPr>
        <w:t>，</w:t>
      </w:r>
      <w:r>
        <w:rPr>
          <w:rFonts w:ascii="仿宋_GB2312" w:eastAsia="仿宋_GB2312" w:hint="eastAsia"/>
        </w:rPr>
        <w:t>规范政府信息公开内容</w:t>
      </w:r>
      <w:r>
        <w:rPr>
          <w:rFonts w:ascii="仿宋_GB2312" w:eastAsia="仿宋_GB2312" w:hint="eastAsia"/>
        </w:rPr>
        <w:t>。进一步健全政务信息公开流程，不断完善</w:t>
      </w:r>
      <w:r w:rsidR="00B52357">
        <w:rPr>
          <w:rFonts w:ascii="仿宋_GB2312" w:eastAsia="仿宋_GB2312" w:hint="eastAsia"/>
        </w:rPr>
        <w:t>政府信息公开</w:t>
      </w:r>
      <w:r>
        <w:rPr>
          <w:rFonts w:ascii="仿宋_GB2312" w:eastAsia="仿宋_GB2312" w:hint="eastAsia"/>
        </w:rPr>
        <w:t>审核发布机制，严格遵循签批流程和保密审查</w:t>
      </w:r>
      <w:r>
        <w:rPr>
          <w:rFonts w:ascii="仿宋_GB2312" w:eastAsia="仿宋_GB2312" w:hint="eastAsia"/>
        </w:rPr>
        <w:t>。</w:t>
      </w:r>
      <w:r>
        <w:rPr>
          <w:rFonts w:ascii="仿宋_GB2312" w:eastAsia="仿宋_GB2312" w:hint="eastAsia"/>
        </w:rPr>
        <w:t>202</w:t>
      </w:r>
      <w:r>
        <w:rPr>
          <w:rFonts w:ascii="仿宋_GB2312" w:eastAsia="仿宋_GB2312" w:hint="eastAsia"/>
        </w:rPr>
        <w:t>2</w:t>
      </w:r>
      <w:r>
        <w:rPr>
          <w:rFonts w:ascii="仿宋_GB2312" w:eastAsia="仿宋_GB2312" w:hint="eastAsia"/>
        </w:rPr>
        <w:t>年，通过高青</w:t>
      </w:r>
      <w:r>
        <w:rPr>
          <w:rFonts w:ascii="仿宋_GB2312" w:eastAsia="仿宋_GB2312" w:hint="eastAsia"/>
        </w:rPr>
        <w:t>县政府网站和政务新媒体等多种渠道</w:t>
      </w:r>
      <w:r>
        <w:rPr>
          <w:rFonts w:ascii="仿宋_GB2312" w:eastAsia="仿宋_GB2312" w:hint="eastAsia"/>
        </w:rPr>
        <w:t>主动公</w:t>
      </w:r>
      <w:r>
        <w:rPr>
          <w:rFonts w:ascii="仿宋_GB2312" w:eastAsia="仿宋_GB2312" w:hint="eastAsia"/>
        </w:rPr>
        <w:t>开</w:t>
      </w:r>
      <w:r>
        <w:rPr>
          <w:rFonts w:ascii="仿宋_GB2312" w:eastAsia="仿宋_GB2312" w:hint="eastAsia"/>
        </w:rPr>
        <w:t>政务信息</w:t>
      </w:r>
      <w:r>
        <w:rPr>
          <w:rFonts w:ascii="仿宋_GB2312" w:eastAsia="仿宋_GB2312" w:hint="eastAsia"/>
        </w:rPr>
        <w:t>607</w:t>
      </w:r>
      <w:r>
        <w:rPr>
          <w:rFonts w:ascii="仿宋_GB2312" w:eastAsia="仿宋_GB2312" w:hint="eastAsia"/>
        </w:rPr>
        <w:t>条，其中政府网站</w:t>
      </w:r>
      <w:r>
        <w:rPr>
          <w:rFonts w:ascii="仿宋_GB2312" w:eastAsia="仿宋_GB2312" w:hint="eastAsia"/>
        </w:rPr>
        <w:t>360</w:t>
      </w:r>
      <w:r>
        <w:rPr>
          <w:rFonts w:ascii="仿宋_GB2312" w:eastAsia="仿宋_GB2312" w:hint="eastAsia"/>
        </w:rPr>
        <w:t>条，</w:t>
      </w:r>
      <w:proofErr w:type="gramStart"/>
      <w:r>
        <w:rPr>
          <w:rFonts w:ascii="仿宋_GB2312" w:eastAsia="仿宋_GB2312" w:hint="eastAsia"/>
        </w:rPr>
        <w:t>微信公众号</w:t>
      </w:r>
      <w:proofErr w:type="gramEnd"/>
      <w:r>
        <w:rPr>
          <w:rFonts w:ascii="仿宋_GB2312" w:eastAsia="仿宋_GB2312" w:hint="eastAsia"/>
        </w:rPr>
        <w:t>247</w:t>
      </w:r>
      <w:r>
        <w:rPr>
          <w:rFonts w:ascii="仿宋_GB2312" w:eastAsia="仿宋_GB2312" w:hint="eastAsia"/>
        </w:rPr>
        <w:t>条，重点做好社会救助、社会福利和养老服务重点领域政府信息公开。</w:t>
      </w:r>
      <w:r w:rsidR="004B2BCB">
        <w:rPr>
          <w:rFonts w:ascii="仿宋_GB2312" w:eastAsia="仿宋_GB2312" w:hint="eastAsia"/>
        </w:rPr>
        <w:t>丰富政策解读形式，采取简明问答、文稿解读和领导干部解读等形式解读政策，2022年发布解读材料3件。积极回应群众关切，</w:t>
      </w:r>
      <w:r w:rsidR="004B2BCB">
        <w:rPr>
          <w:rFonts w:ascii="仿宋_GB2312" w:eastAsia="仿宋_GB2312"/>
        </w:rPr>
        <w:t>办理</w:t>
      </w:r>
      <w:r w:rsidR="004B2BCB">
        <w:rPr>
          <w:rFonts w:ascii="仿宋_GB2312" w:eastAsia="仿宋_GB2312" w:hint="eastAsia"/>
        </w:rPr>
        <w:t>政府信箱回复群众留言</w:t>
      </w:r>
      <w:r w:rsidR="004B2BCB">
        <w:rPr>
          <w:rFonts w:ascii="仿宋_GB2312" w:eastAsia="仿宋_GB2312"/>
        </w:rPr>
        <w:t>事项</w:t>
      </w:r>
      <w:r w:rsidR="004B2BCB">
        <w:rPr>
          <w:rFonts w:ascii="仿宋_GB2312" w:eastAsia="仿宋_GB2312" w:hint="eastAsia"/>
        </w:rPr>
        <w:t>3</w:t>
      </w:r>
      <w:r w:rsidR="004B2BCB">
        <w:rPr>
          <w:rFonts w:ascii="仿宋_GB2312" w:eastAsia="仿宋_GB2312"/>
        </w:rPr>
        <w:t>件，主要涉及社会救助、</w:t>
      </w:r>
      <w:r w:rsidR="004B2BCB">
        <w:rPr>
          <w:rFonts w:ascii="仿宋_GB2312" w:eastAsia="仿宋_GB2312" w:hint="eastAsia"/>
        </w:rPr>
        <w:t>婚姻登记</w:t>
      </w:r>
      <w:r w:rsidR="004B2BCB">
        <w:rPr>
          <w:rFonts w:ascii="仿宋_GB2312" w:eastAsia="仿宋_GB2312"/>
        </w:rPr>
        <w:t>等方面，办理满意率100%。</w:t>
      </w:r>
    </w:p>
    <w:p w:rsidR="004B2BCB" w:rsidRDefault="004B2BCB" w:rsidP="004B2BCB">
      <w:pPr>
        <w:spacing w:line="240" w:lineRule="auto"/>
        <w:jc w:val="left"/>
        <w:rPr>
          <w:rFonts w:ascii="仿宋_GB2312" w:eastAsia="仿宋_GB2312" w:hint="eastAsia"/>
        </w:rPr>
      </w:pPr>
      <w:r>
        <w:rPr>
          <w:rFonts w:ascii="仿宋_GB2312" w:eastAsia="仿宋_GB2312" w:hint="eastAsia"/>
          <w:noProof/>
        </w:rPr>
        <w:drawing>
          <wp:inline distT="0" distB="0" distL="0" distR="0">
            <wp:extent cx="4651200" cy="2865600"/>
            <wp:effectExtent l="0" t="0" r="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651200" cy="2865600"/>
                    </a:xfrm>
                    <a:prstGeom prst="rect">
                      <a:avLst/>
                    </a:prstGeom>
                  </pic:spPr>
                </pic:pic>
              </a:graphicData>
            </a:graphic>
          </wp:inline>
        </w:drawing>
      </w:r>
    </w:p>
    <w:p w:rsidR="004B2BCB" w:rsidRDefault="004B2BCB" w:rsidP="004B2BCB">
      <w:pPr>
        <w:spacing w:line="240" w:lineRule="auto"/>
        <w:jc w:val="left"/>
        <w:rPr>
          <w:rFonts w:ascii="仿宋_GB2312" w:eastAsia="仿宋_GB2312" w:hint="eastAsia"/>
        </w:rPr>
      </w:pPr>
    </w:p>
    <w:p w:rsidR="004B2BCB" w:rsidRDefault="004B2BCB" w:rsidP="004B2BCB">
      <w:pPr>
        <w:spacing w:line="240" w:lineRule="auto"/>
        <w:jc w:val="left"/>
        <w:rPr>
          <w:rFonts w:ascii="仿宋_GB2312" w:eastAsia="仿宋_GB2312" w:hint="eastAsia"/>
        </w:rPr>
      </w:pPr>
    </w:p>
    <w:p w:rsidR="004B2BCB" w:rsidRDefault="004B2BCB" w:rsidP="004B2BCB">
      <w:pPr>
        <w:spacing w:line="240" w:lineRule="auto"/>
        <w:jc w:val="left"/>
        <w:rPr>
          <w:rFonts w:ascii="仿宋_GB2312" w:eastAsia="仿宋_GB2312" w:hint="eastAsia"/>
        </w:rPr>
      </w:pPr>
      <w:r>
        <w:rPr>
          <w:rFonts w:ascii="仿宋_GB2312" w:eastAsia="仿宋_GB2312" w:hint="eastAsia"/>
          <w:noProof/>
        </w:rPr>
        <w:lastRenderedPageBreak/>
        <w:drawing>
          <wp:inline distT="0" distB="0" distL="0" distR="0">
            <wp:extent cx="5270400" cy="3236400"/>
            <wp:effectExtent l="0" t="0" r="6985" b="2540"/>
            <wp:docPr id="2" name="图片 2" descr="cabfeea5012bc257dddbdc42e1e81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abfeea5012bc257dddbdc42e1e815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0400" cy="3236400"/>
                    </a:xfrm>
                    <a:prstGeom prst="rect">
                      <a:avLst/>
                    </a:prstGeom>
                  </pic:spPr>
                </pic:pic>
              </a:graphicData>
            </a:graphic>
          </wp:inline>
        </w:drawing>
      </w:r>
    </w:p>
    <w:p w:rsidR="00963AE0" w:rsidRDefault="00963AE0" w:rsidP="004B2BCB">
      <w:pPr>
        <w:spacing w:line="240" w:lineRule="auto"/>
        <w:jc w:val="left"/>
        <w:rPr>
          <w:rFonts w:ascii="仿宋_GB2312" w:eastAsia="仿宋_GB2312"/>
        </w:rPr>
      </w:pPr>
    </w:p>
    <w:p w:rsidR="00963AE0" w:rsidRDefault="00574244">
      <w:pPr>
        <w:spacing w:line="600" w:lineRule="exact"/>
        <w:jc w:val="left"/>
        <w:rPr>
          <w:rFonts w:ascii="楷体_GB2312" w:eastAsia="楷体_GB2312"/>
        </w:rPr>
      </w:pPr>
      <w:r>
        <w:rPr>
          <w:rFonts w:ascii="楷体_GB2312" w:eastAsia="楷体_GB2312" w:hint="eastAsia"/>
        </w:rPr>
        <w:t>（二）依申请公开</w:t>
      </w:r>
    </w:p>
    <w:p w:rsidR="00963AE0" w:rsidRDefault="00574244">
      <w:pPr>
        <w:spacing w:line="600" w:lineRule="exact"/>
        <w:jc w:val="left"/>
        <w:rPr>
          <w:rFonts w:ascii="仿宋_GB2312" w:eastAsia="仿宋_GB2312"/>
        </w:rPr>
      </w:pPr>
      <w:r>
        <w:rPr>
          <w:rFonts w:ascii="仿宋_GB2312" w:eastAsia="仿宋_GB2312" w:hint="eastAsia"/>
        </w:rPr>
        <w:t>2022</w:t>
      </w:r>
      <w:r>
        <w:rPr>
          <w:rFonts w:ascii="仿宋_GB2312" w:eastAsia="仿宋_GB2312" w:hint="eastAsia"/>
        </w:rPr>
        <w:t>年，收到政府信息公开申请</w:t>
      </w:r>
      <w:r>
        <w:rPr>
          <w:rFonts w:ascii="仿宋_GB2312" w:eastAsia="仿宋_GB2312" w:hint="eastAsia"/>
        </w:rPr>
        <w:t>1</w:t>
      </w:r>
      <w:r>
        <w:rPr>
          <w:rFonts w:ascii="仿宋_GB2312" w:eastAsia="仿宋_GB2312" w:hint="eastAsia"/>
        </w:rPr>
        <w:t>件，与</w:t>
      </w:r>
      <w:r>
        <w:rPr>
          <w:rFonts w:ascii="仿宋_GB2312" w:eastAsia="仿宋_GB2312" w:hint="eastAsia"/>
        </w:rPr>
        <w:t>2021</w:t>
      </w:r>
      <w:r>
        <w:rPr>
          <w:rFonts w:ascii="仿宋_GB2312" w:eastAsia="仿宋_GB2312" w:hint="eastAsia"/>
        </w:rPr>
        <w:t>年持平</w:t>
      </w:r>
      <w:r w:rsidR="004B2BCB">
        <w:rPr>
          <w:rFonts w:ascii="仿宋_GB2312" w:eastAsia="仿宋_GB2312" w:hint="eastAsia"/>
        </w:rPr>
        <w:t>，上年度结转0件。申请内容为本县毕业生落户政策。</w:t>
      </w:r>
      <w:r>
        <w:rPr>
          <w:rFonts w:ascii="仿宋_GB2312" w:eastAsia="仿宋_GB2312" w:hint="eastAsia"/>
        </w:rPr>
        <w:t>共</w:t>
      </w:r>
      <w:proofErr w:type="gramStart"/>
      <w:r>
        <w:rPr>
          <w:rFonts w:ascii="仿宋_GB2312" w:eastAsia="仿宋_GB2312" w:hint="eastAsia"/>
        </w:rPr>
        <w:t>作出</w:t>
      </w:r>
      <w:proofErr w:type="gramEnd"/>
      <w:r>
        <w:rPr>
          <w:rFonts w:ascii="仿宋_GB2312" w:eastAsia="仿宋_GB2312" w:hint="eastAsia"/>
        </w:rPr>
        <w:t>政府信息公开申请答复</w:t>
      </w:r>
      <w:r>
        <w:rPr>
          <w:rFonts w:ascii="仿宋_GB2312" w:eastAsia="仿宋_GB2312" w:hint="eastAsia"/>
        </w:rPr>
        <w:t>1</w:t>
      </w:r>
      <w:r>
        <w:rPr>
          <w:rFonts w:ascii="仿宋_GB2312" w:eastAsia="仿宋_GB2312" w:hint="eastAsia"/>
        </w:rPr>
        <w:t>件，其中</w:t>
      </w:r>
      <w:r>
        <w:rPr>
          <w:rFonts w:ascii="仿宋_GB2312" w:eastAsia="仿宋_GB2312" w:hint="eastAsia"/>
        </w:rPr>
        <w:t>无法提供</w:t>
      </w:r>
      <w:r>
        <w:rPr>
          <w:rFonts w:ascii="仿宋_GB2312" w:eastAsia="仿宋_GB2312" w:hint="eastAsia"/>
        </w:rPr>
        <w:t>1</w:t>
      </w:r>
      <w:r>
        <w:rPr>
          <w:rFonts w:ascii="仿宋_GB2312" w:eastAsia="仿宋_GB2312" w:hint="eastAsia"/>
        </w:rPr>
        <w:t>件</w:t>
      </w:r>
      <w:r>
        <w:rPr>
          <w:rFonts w:ascii="仿宋_GB2312" w:eastAsia="仿宋_GB2312" w:hint="eastAsia"/>
        </w:rPr>
        <w:t>。结转下年度继续办理</w:t>
      </w:r>
      <w:r>
        <w:rPr>
          <w:rFonts w:ascii="仿宋_GB2312" w:eastAsia="仿宋_GB2312" w:hint="eastAsia"/>
        </w:rPr>
        <w:t>0</w:t>
      </w:r>
      <w:r>
        <w:rPr>
          <w:rFonts w:ascii="仿宋_GB2312" w:eastAsia="仿宋_GB2312" w:hint="eastAsia"/>
        </w:rPr>
        <w:t>件。</w:t>
      </w:r>
      <w:r>
        <w:rPr>
          <w:rFonts w:ascii="仿宋_GB2312" w:eastAsia="仿宋_GB2312" w:hint="eastAsia"/>
        </w:rPr>
        <w:t>本机关依申请公开政府信息未收取任何费用，未因政府信息公开被申请行政复议、提起行政诉讼。</w:t>
      </w:r>
    </w:p>
    <w:p w:rsidR="00963AE0" w:rsidRDefault="00574244">
      <w:pPr>
        <w:numPr>
          <w:ilvl w:val="0"/>
          <w:numId w:val="1"/>
        </w:numPr>
        <w:spacing w:line="600" w:lineRule="exact"/>
        <w:jc w:val="left"/>
        <w:rPr>
          <w:rFonts w:ascii="楷体_GB2312" w:eastAsia="楷体_GB2312"/>
        </w:rPr>
      </w:pPr>
      <w:r>
        <w:rPr>
          <w:rFonts w:ascii="楷体_GB2312" w:eastAsia="楷体_GB2312" w:hint="eastAsia"/>
        </w:rPr>
        <w:t>政府信息管理</w:t>
      </w:r>
    </w:p>
    <w:p w:rsidR="00963AE0" w:rsidRDefault="00574244">
      <w:pPr>
        <w:spacing w:line="600" w:lineRule="exact"/>
        <w:jc w:val="left"/>
        <w:rPr>
          <w:rFonts w:ascii="仿宋_GB2312" w:eastAsia="仿宋_GB2312"/>
        </w:rPr>
      </w:pPr>
      <w:r>
        <w:rPr>
          <w:rFonts w:ascii="仿宋_GB2312" w:eastAsia="仿宋_GB2312" w:hint="eastAsia"/>
        </w:rPr>
        <w:t>及时调整《高青县民政局政府信息主动公开基本目录》，参照目录要求相关科室确定信息发布负责人，落实政府信息公开属性源头认定机制，严格信息发布审查制度，加强信息公开的定期自检自查，准确把握信息公开的内容、范围、形式和时限。</w:t>
      </w:r>
      <w:r>
        <w:rPr>
          <w:rFonts w:ascii="仿宋_GB2312" w:eastAsia="仿宋_GB2312" w:hint="eastAsia"/>
        </w:rPr>
        <w:t>修订了《高青县民政局政府信息公开指南》，并及时更新发布。</w:t>
      </w:r>
    </w:p>
    <w:p w:rsidR="00963AE0" w:rsidRDefault="00574244">
      <w:pPr>
        <w:spacing w:line="600" w:lineRule="exact"/>
        <w:jc w:val="left"/>
        <w:rPr>
          <w:rFonts w:ascii="楷体_GB2312" w:eastAsia="楷体_GB2312" w:hint="eastAsia"/>
        </w:rPr>
      </w:pPr>
      <w:r>
        <w:rPr>
          <w:rFonts w:ascii="楷体_GB2312" w:eastAsia="楷体_GB2312" w:hint="eastAsia"/>
        </w:rPr>
        <w:t>（四）政府信息公开平台建设</w:t>
      </w:r>
    </w:p>
    <w:p w:rsidR="00963AE0" w:rsidRDefault="00B52357">
      <w:pPr>
        <w:spacing w:line="600" w:lineRule="exact"/>
        <w:jc w:val="left"/>
        <w:rPr>
          <w:rFonts w:ascii="仿宋_GB2312" w:eastAsia="仿宋_GB2312"/>
        </w:rPr>
      </w:pPr>
      <w:r>
        <w:rPr>
          <w:rFonts w:ascii="仿宋_GB2312" w:eastAsia="仿宋_GB2312" w:hint="eastAsia"/>
        </w:rPr>
        <w:lastRenderedPageBreak/>
        <w:t>充分发挥政府网站信息发布“第一平台”作用，不断延伸政务公开的广度和深度。</w:t>
      </w:r>
      <w:r w:rsidR="00574244">
        <w:rPr>
          <w:rFonts w:ascii="仿宋_GB2312" w:eastAsia="仿宋_GB2312" w:hint="eastAsia"/>
        </w:rPr>
        <w:t>强化政务新媒体平台管理，做好“高青民政”</w:t>
      </w:r>
      <w:proofErr w:type="gramStart"/>
      <w:r w:rsidR="00574244">
        <w:rPr>
          <w:rFonts w:ascii="仿宋_GB2312" w:eastAsia="仿宋_GB2312" w:hint="eastAsia"/>
        </w:rPr>
        <w:t>微信公众号</w:t>
      </w:r>
      <w:proofErr w:type="gramEnd"/>
      <w:r w:rsidR="00574244">
        <w:rPr>
          <w:rFonts w:ascii="仿宋_GB2312" w:eastAsia="仿宋_GB2312" w:hint="eastAsia"/>
        </w:rPr>
        <w:t>的运营，拓展公开渠道和形式，充分发挥</w:t>
      </w:r>
      <w:proofErr w:type="gramStart"/>
      <w:r w:rsidR="00574244">
        <w:rPr>
          <w:rFonts w:ascii="仿宋_GB2312" w:eastAsia="仿宋_GB2312" w:hint="eastAsia"/>
        </w:rPr>
        <w:t>好微信公众号传播广</w:t>
      </w:r>
      <w:proofErr w:type="gramEnd"/>
      <w:r w:rsidR="00574244">
        <w:rPr>
          <w:rFonts w:ascii="仿宋_GB2312" w:eastAsia="仿宋_GB2312" w:hint="eastAsia"/>
        </w:rPr>
        <w:t>、信息及时等特点，以通俗易懂的形式详细做好各类社会救助和社会福利政策公开。</w:t>
      </w:r>
    </w:p>
    <w:p w:rsidR="00963AE0" w:rsidRDefault="00574244">
      <w:pPr>
        <w:spacing w:line="600" w:lineRule="exact"/>
        <w:jc w:val="left"/>
        <w:rPr>
          <w:rFonts w:ascii="仿宋_GB2312" w:eastAsia="仿宋_GB2312"/>
        </w:rPr>
      </w:pPr>
      <w:r>
        <w:rPr>
          <w:rFonts w:ascii="仿宋_GB2312" w:eastAsia="仿宋_GB2312" w:hint="eastAsia"/>
          <w:noProof/>
        </w:rPr>
        <w:drawing>
          <wp:anchor distT="0" distB="0" distL="114300" distR="114300" simplePos="0" relativeHeight="251662336" behindDoc="0" locked="0" layoutInCell="1" allowOverlap="1">
            <wp:simplePos x="0" y="0"/>
            <wp:positionH relativeFrom="column">
              <wp:posOffset>2723515</wp:posOffset>
            </wp:positionH>
            <wp:positionV relativeFrom="paragraph">
              <wp:posOffset>255905</wp:posOffset>
            </wp:positionV>
            <wp:extent cx="2573020" cy="1095375"/>
            <wp:effectExtent l="0" t="0" r="17780" b="9525"/>
            <wp:wrapNone/>
            <wp:docPr id="4" name="图片 4" descr="微信图片_20230109090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109090536"/>
                    <pic:cNvPicPr>
                      <a:picLocks noChangeAspect="1"/>
                    </pic:cNvPicPr>
                  </pic:nvPicPr>
                  <pic:blipFill>
                    <a:blip r:embed="rId10"/>
                    <a:stretch>
                      <a:fillRect/>
                    </a:stretch>
                  </pic:blipFill>
                  <pic:spPr>
                    <a:xfrm>
                      <a:off x="0" y="0"/>
                      <a:ext cx="2573020" cy="1095375"/>
                    </a:xfrm>
                    <a:prstGeom prst="rect">
                      <a:avLst/>
                    </a:prstGeom>
                  </pic:spPr>
                </pic:pic>
              </a:graphicData>
            </a:graphic>
          </wp:anchor>
        </w:drawing>
      </w:r>
      <w:r>
        <w:rPr>
          <w:rFonts w:ascii="仿宋_GB2312" w:eastAsia="仿宋_GB2312" w:hint="eastAsia"/>
          <w:noProof/>
        </w:rPr>
        <w:drawing>
          <wp:anchor distT="0" distB="0" distL="114300" distR="114300" simplePos="0" relativeHeight="251661312" behindDoc="0" locked="0" layoutInCell="1" allowOverlap="1">
            <wp:simplePos x="0" y="0"/>
            <wp:positionH relativeFrom="column">
              <wp:posOffset>12065</wp:posOffset>
            </wp:positionH>
            <wp:positionV relativeFrom="paragraph">
              <wp:posOffset>264795</wp:posOffset>
            </wp:positionV>
            <wp:extent cx="2581275" cy="1098550"/>
            <wp:effectExtent l="0" t="0" r="9525" b="6350"/>
            <wp:wrapNone/>
            <wp:docPr id="3" name="图片 3" descr="微信图片_202301090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109090525"/>
                    <pic:cNvPicPr>
                      <a:picLocks noChangeAspect="1"/>
                    </pic:cNvPicPr>
                  </pic:nvPicPr>
                  <pic:blipFill>
                    <a:blip r:embed="rId11"/>
                    <a:stretch>
                      <a:fillRect/>
                    </a:stretch>
                  </pic:blipFill>
                  <pic:spPr>
                    <a:xfrm>
                      <a:off x="0" y="0"/>
                      <a:ext cx="2581275" cy="1098550"/>
                    </a:xfrm>
                    <a:prstGeom prst="rect">
                      <a:avLst/>
                    </a:prstGeom>
                  </pic:spPr>
                </pic:pic>
              </a:graphicData>
            </a:graphic>
          </wp:anchor>
        </w:drawing>
      </w:r>
    </w:p>
    <w:p w:rsidR="00963AE0" w:rsidRDefault="00963AE0">
      <w:pPr>
        <w:spacing w:line="600" w:lineRule="exact"/>
        <w:jc w:val="left"/>
        <w:rPr>
          <w:rFonts w:ascii="仿宋_GB2312" w:eastAsia="仿宋_GB2312"/>
        </w:rPr>
      </w:pPr>
    </w:p>
    <w:p w:rsidR="00963AE0" w:rsidRDefault="00963AE0">
      <w:pPr>
        <w:spacing w:line="600" w:lineRule="exact"/>
        <w:jc w:val="left"/>
        <w:rPr>
          <w:rFonts w:ascii="仿宋_GB2312" w:eastAsia="仿宋_GB2312"/>
        </w:rPr>
      </w:pPr>
    </w:p>
    <w:p w:rsidR="00963AE0" w:rsidRDefault="00963AE0">
      <w:pPr>
        <w:spacing w:line="600" w:lineRule="exact"/>
        <w:jc w:val="left"/>
        <w:rPr>
          <w:rFonts w:ascii="仿宋_GB2312" w:eastAsia="仿宋_GB2312"/>
        </w:rPr>
      </w:pPr>
    </w:p>
    <w:p w:rsidR="00963AE0" w:rsidRDefault="00574244">
      <w:pPr>
        <w:spacing w:line="600" w:lineRule="exact"/>
        <w:jc w:val="left"/>
        <w:rPr>
          <w:rFonts w:ascii="楷体_GB2312" w:eastAsia="楷体_GB2312"/>
        </w:rPr>
      </w:pPr>
      <w:r>
        <w:rPr>
          <w:rFonts w:ascii="楷体_GB2312" w:eastAsia="楷体_GB2312" w:hint="eastAsia"/>
        </w:rPr>
        <w:t>（五）监督保障</w:t>
      </w:r>
    </w:p>
    <w:p w:rsidR="00231B31" w:rsidRDefault="00231B31">
      <w:pPr>
        <w:spacing w:line="600" w:lineRule="exact"/>
        <w:ind w:firstLineChars="200" w:firstLine="640"/>
        <w:rPr>
          <w:rFonts w:ascii="仿宋_GB2312" w:eastAsia="仿宋_GB2312" w:hint="eastAsia"/>
        </w:rPr>
      </w:pPr>
      <w:r>
        <w:rPr>
          <w:rFonts w:ascii="仿宋_GB2312" w:eastAsia="仿宋_GB2312" w:hint="eastAsia"/>
        </w:rPr>
        <w:t>健全完善领导体制，</w:t>
      </w:r>
      <w:r w:rsidR="00574244">
        <w:rPr>
          <w:rFonts w:ascii="仿宋_GB2312" w:eastAsia="仿宋_GB2312" w:hint="eastAsia"/>
        </w:rPr>
        <w:t>调整</w:t>
      </w:r>
      <w:r w:rsidR="00574244">
        <w:rPr>
          <w:rFonts w:ascii="仿宋_GB2312" w:eastAsia="仿宋_GB2312" w:hint="eastAsia"/>
        </w:rPr>
        <w:t>政务公开领导小组，</w:t>
      </w:r>
      <w:r>
        <w:rPr>
          <w:rFonts w:ascii="仿宋_GB2312" w:eastAsia="仿宋_GB2312" w:hint="eastAsia"/>
        </w:rPr>
        <w:t>明确办公室作为政务公开工作责任科室，</w:t>
      </w:r>
      <w:r w:rsidR="00574244">
        <w:rPr>
          <w:rFonts w:ascii="仿宋_GB2312" w:eastAsia="仿宋_GB2312" w:hint="eastAsia"/>
        </w:rPr>
        <w:t>安排</w:t>
      </w:r>
      <w:r>
        <w:rPr>
          <w:rFonts w:ascii="仿宋_GB2312" w:eastAsia="仿宋_GB2312" w:hint="eastAsia"/>
        </w:rPr>
        <w:t>1名专职人员</w:t>
      </w:r>
      <w:r w:rsidR="00574244">
        <w:rPr>
          <w:rFonts w:ascii="仿宋_GB2312" w:eastAsia="仿宋_GB2312" w:hint="eastAsia"/>
        </w:rPr>
        <w:t>负责</w:t>
      </w:r>
      <w:r w:rsidR="00574244">
        <w:rPr>
          <w:rFonts w:ascii="仿宋_GB2312" w:eastAsia="仿宋_GB2312" w:hint="eastAsia"/>
        </w:rPr>
        <w:t>政务公开</w:t>
      </w:r>
      <w:r w:rsidR="00574244">
        <w:rPr>
          <w:rFonts w:ascii="仿宋_GB2312" w:eastAsia="仿宋_GB2312" w:hint="eastAsia"/>
        </w:rPr>
        <w:t>工作</w:t>
      </w:r>
      <w:r w:rsidR="00574244">
        <w:rPr>
          <w:rFonts w:ascii="仿宋_GB2312" w:eastAsia="仿宋_GB2312" w:hint="eastAsia"/>
        </w:rPr>
        <w:t>。</w:t>
      </w:r>
      <w:r>
        <w:rPr>
          <w:rFonts w:ascii="仿宋_GB2312" w:eastAsia="仿宋_GB2312" w:hint="eastAsia"/>
        </w:rPr>
        <w:t>制定2022年政务公开工作培训计划，组织开展政务公开培训1次，</w:t>
      </w:r>
      <w:r>
        <w:rPr>
          <w:rFonts w:ascii="仿宋_GB2312" w:eastAsia="仿宋_GB2312" w:hint="eastAsia"/>
        </w:rPr>
        <w:t>详细讲解政务公开相关知识，梳理本单位政务公开主要栏目内容。</w:t>
      </w:r>
    </w:p>
    <w:p w:rsidR="00963AE0" w:rsidRDefault="00963AE0">
      <w:pPr>
        <w:spacing w:afterLines="50" w:after="156" w:line="240" w:lineRule="auto"/>
        <w:ind w:firstLineChars="200" w:firstLine="640"/>
        <w:rPr>
          <w:rFonts w:ascii="黑体" w:eastAsia="黑体" w:hAnsi="黑体" w:hint="eastAsia"/>
          <w:szCs w:val="32"/>
        </w:rPr>
      </w:pPr>
    </w:p>
    <w:p w:rsidR="00231B31" w:rsidRDefault="00231B31">
      <w:pPr>
        <w:spacing w:afterLines="50" w:after="156" w:line="240" w:lineRule="auto"/>
        <w:ind w:firstLineChars="200" w:firstLine="640"/>
        <w:rPr>
          <w:rFonts w:ascii="黑体" w:eastAsia="黑体" w:hAnsi="黑体" w:hint="eastAsia"/>
          <w:szCs w:val="32"/>
        </w:rPr>
      </w:pPr>
    </w:p>
    <w:p w:rsidR="00231B31" w:rsidRDefault="00231B31">
      <w:pPr>
        <w:spacing w:afterLines="50" w:after="156" w:line="240" w:lineRule="auto"/>
        <w:ind w:firstLineChars="200" w:firstLine="640"/>
        <w:rPr>
          <w:rFonts w:ascii="黑体" w:eastAsia="黑体" w:hAnsi="黑体" w:hint="eastAsia"/>
          <w:szCs w:val="32"/>
        </w:rPr>
      </w:pPr>
    </w:p>
    <w:p w:rsidR="00231B31" w:rsidRDefault="00231B31">
      <w:pPr>
        <w:spacing w:afterLines="50" w:after="156" w:line="240" w:lineRule="auto"/>
        <w:ind w:firstLineChars="200" w:firstLine="640"/>
        <w:rPr>
          <w:rFonts w:ascii="黑体" w:eastAsia="黑体" w:hAnsi="黑体" w:hint="eastAsia"/>
          <w:szCs w:val="32"/>
        </w:rPr>
      </w:pPr>
    </w:p>
    <w:p w:rsidR="00231B31" w:rsidRDefault="00231B31">
      <w:pPr>
        <w:spacing w:afterLines="50" w:after="156" w:line="240" w:lineRule="auto"/>
        <w:ind w:firstLineChars="200" w:firstLine="640"/>
        <w:rPr>
          <w:rFonts w:ascii="黑体" w:eastAsia="黑体" w:hAnsi="黑体" w:hint="eastAsia"/>
          <w:szCs w:val="32"/>
        </w:rPr>
      </w:pPr>
    </w:p>
    <w:p w:rsidR="00231B31" w:rsidRDefault="00231B31">
      <w:pPr>
        <w:spacing w:afterLines="50" w:after="156" w:line="240" w:lineRule="auto"/>
        <w:ind w:firstLineChars="200" w:firstLine="640"/>
        <w:rPr>
          <w:rFonts w:ascii="黑体" w:eastAsia="黑体" w:hAnsi="黑体" w:hint="eastAsia"/>
          <w:szCs w:val="32"/>
        </w:rPr>
      </w:pPr>
    </w:p>
    <w:p w:rsidR="00231B31" w:rsidRDefault="00231B31">
      <w:pPr>
        <w:spacing w:afterLines="50" w:after="156" w:line="240" w:lineRule="auto"/>
        <w:ind w:firstLineChars="200" w:firstLine="640"/>
        <w:rPr>
          <w:rFonts w:ascii="黑体" w:eastAsia="黑体" w:hAnsi="黑体" w:hint="eastAsia"/>
          <w:szCs w:val="32"/>
        </w:rPr>
      </w:pPr>
    </w:p>
    <w:p w:rsidR="00231B31" w:rsidRDefault="00231B31">
      <w:pPr>
        <w:spacing w:afterLines="50" w:after="156" w:line="240" w:lineRule="auto"/>
        <w:ind w:firstLineChars="200" w:firstLine="640"/>
        <w:rPr>
          <w:rFonts w:ascii="黑体" w:eastAsia="黑体" w:hAnsi="黑体"/>
          <w:szCs w:val="32"/>
        </w:rPr>
      </w:pPr>
    </w:p>
    <w:p w:rsidR="00963AE0" w:rsidRDefault="00574244">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5"/>
        <w:tblW w:w="0" w:type="auto"/>
        <w:jc w:val="center"/>
        <w:tblLook w:val="04A0" w:firstRow="1" w:lastRow="0" w:firstColumn="1" w:lastColumn="0" w:noHBand="0" w:noVBand="1"/>
      </w:tblPr>
      <w:tblGrid>
        <w:gridCol w:w="2454"/>
        <w:gridCol w:w="2022"/>
        <w:gridCol w:w="2023"/>
        <w:gridCol w:w="2023"/>
      </w:tblGrid>
      <w:tr w:rsidR="00963AE0">
        <w:trPr>
          <w:trHeight w:hRule="exact" w:val="567"/>
          <w:jc w:val="center"/>
        </w:trPr>
        <w:tc>
          <w:tcPr>
            <w:tcW w:w="8981" w:type="dxa"/>
            <w:gridSpan w:val="4"/>
            <w:vAlign w:val="center"/>
          </w:tcPr>
          <w:p w:rsidR="00963AE0" w:rsidRDefault="00574244">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963AE0">
        <w:trPr>
          <w:trHeight w:hRule="exact" w:val="567"/>
          <w:jc w:val="center"/>
        </w:trPr>
        <w:tc>
          <w:tcPr>
            <w:tcW w:w="2589" w:type="dxa"/>
            <w:vAlign w:val="center"/>
          </w:tcPr>
          <w:p w:rsidR="00963AE0" w:rsidRDefault="0057424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963AE0" w:rsidRDefault="0057424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963AE0" w:rsidRDefault="0057424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963AE0" w:rsidRDefault="0057424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963AE0">
        <w:trPr>
          <w:trHeight w:hRule="exact" w:val="567"/>
          <w:jc w:val="center"/>
        </w:trPr>
        <w:tc>
          <w:tcPr>
            <w:tcW w:w="2589" w:type="dxa"/>
            <w:vAlign w:val="center"/>
          </w:tcPr>
          <w:p w:rsidR="00963AE0" w:rsidRDefault="0057424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963AE0" w:rsidRPr="00231B31" w:rsidRDefault="00574244">
            <w:pPr>
              <w:spacing w:line="240" w:lineRule="auto"/>
              <w:ind w:firstLine="0"/>
              <w:jc w:val="center"/>
              <w:rPr>
                <w:rFonts w:ascii="宋体" w:eastAsia="宋体" w:hAnsi="宋体" w:cs="宋体"/>
                <w:snapToGrid/>
                <w:color w:val="000000"/>
                <w:sz w:val="20"/>
              </w:rPr>
            </w:pPr>
            <w:r w:rsidRPr="00231B31">
              <w:rPr>
                <w:rFonts w:ascii="宋体" w:eastAsia="宋体" w:hAnsi="宋体" w:cs="宋体" w:hint="eastAsia"/>
                <w:snapToGrid/>
                <w:color w:val="000000"/>
                <w:sz w:val="20"/>
              </w:rPr>
              <w:t>0</w:t>
            </w:r>
          </w:p>
        </w:tc>
        <w:tc>
          <w:tcPr>
            <w:tcW w:w="2131" w:type="dxa"/>
            <w:vAlign w:val="center"/>
          </w:tcPr>
          <w:p w:rsidR="00963AE0" w:rsidRPr="00231B31" w:rsidRDefault="00574244">
            <w:pPr>
              <w:spacing w:line="240" w:lineRule="auto"/>
              <w:ind w:firstLine="0"/>
              <w:jc w:val="center"/>
              <w:rPr>
                <w:rFonts w:ascii="宋体" w:eastAsia="宋体" w:hAnsi="宋体" w:cs="宋体"/>
                <w:snapToGrid/>
                <w:color w:val="000000"/>
                <w:sz w:val="20"/>
              </w:rPr>
            </w:pPr>
            <w:r w:rsidRPr="00231B31">
              <w:rPr>
                <w:rFonts w:ascii="宋体" w:eastAsia="宋体" w:hAnsi="宋体" w:cs="宋体" w:hint="eastAsia"/>
                <w:snapToGrid/>
                <w:color w:val="000000"/>
                <w:sz w:val="20"/>
              </w:rPr>
              <w:t>0</w:t>
            </w:r>
          </w:p>
        </w:tc>
        <w:tc>
          <w:tcPr>
            <w:tcW w:w="2131" w:type="dxa"/>
            <w:vAlign w:val="center"/>
          </w:tcPr>
          <w:p w:rsidR="00963AE0" w:rsidRPr="00231B31" w:rsidRDefault="00574244">
            <w:pPr>
              <w:spacing w:line="240" w:lineRule="auto"/>
              <w:ind w:firstLine="0"/>
              <w:jc w:val="center"/>
              <w:rPr>
                <w:rFonts w:ascii="宋体" w:eastAsia="宋体" w:hAnsi="宋体" w:cs="宋体"/>
                <w:snapToGrid/>
                <w:color w:val="000000"/>
                <w:sz w:val="20"/>
              </w:rPr>
            </w:pPr>
            <w:r w:rsidRPr="00231B31">
              <w:rPr>
                <w:rFonts w:ascii="宋体" w:eastAsia="宋体" w:hAnsi="宋体" w:cs="宋体" w:hint="eastAsia"/>
                <w:snapToGrid/>
                <w:color w:val="000000"/>
                <w:sz w:val="20"/>
              </w:rPr>
              <w:t>0</w:t>
            </w:r>
          </w:p>
        </w:tc>
      </w:tr>
      <w:tr w:rsidR="00963AE0">
        <w:trPr>
          <w:trHeight w:hRule="exact" w:val="567"/>
          <w:jc w:val="center"/>
        </w:trPr>
        <w:tc>
          <w:tcPr>
            <w:tcW w:w="2589" w:type="dxa"/>
            <w:vAlign w:val="center"/>
          </w:tcPr>
          <w:p w:rsidR="00963AE0" w:rsidRDefault="0057424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963AE0" w:rsidRPr="00231B31" w:rsidRDefault="00574244">
            <w:pPr>
              <w:spacing w:line="240" w:lineRule="auto"/>
              <w:ind w:firstLine="0"/>
              <w:jc w:val="center"/>
              <w:rPr>
                <w:rFonts w:ascii="宋体" w:eastAsia="宋体" w:hAnsi="宋体" w:cs="宋体"/>
                <w:snapToGrid/>
                <w:color w:val="000000"/>
                <w:sz w:val="20"/>
              </w:rPr>
            </w:pPr>
            <w:r w:rsidRPr="00231B31">
              <w:rPr>
                <w:rFonts w:ascii="宋体" w:eastAsia="宋体" w:hAnsi="宋体" w:cs="宋体" w:hint="eastAsia"/>
                <w:snapToGrid/>
                <w:color w:val="000000"/>
                <w:sz w:val="20"/>
              </w:rPr>
              <w:t>0</w:t>
            </w:r>
          </w:p>
        </w:tc>
        <w:tc>
          <w:tcPr>
            <w:tcW w:w="2131" w:type="dxa"/>
            <w:vAlign w:val="center"/>
          </w:tcPr>
          <w:p w:rsidR="00963AE0" w:rsidRPr="00231B31" w:rsidRDefault="00574244">
            <w:pPr>
              <w:spacing w:line="240" w:lineRule="auto"/>
              <w:ind w:firstLine="0"/>
              <w:jc w:val="center"/>
              <w:rPr>
                <w:rFonts w:ascii="宋体" w:eastAsia="宋体" w:hAnsi="宋体" w:cs="宋体"/>
                <w:snapToGrid/>
                <w:color w:val="000000"/>
                <w:sz w:val="20"/>
              </w:rPr>
            </w:pPr>
            <w:r w:rsidRPr="00231B31">
              <w:rPr>
                <w:rFonts w:ascii="宋体" w:eastAsia="宋体" w:hAnsi="宋体" w:cs="宋体" w:hint="eastAsia"/>
                <w:snapToGrid/>
                <w:color w:val="000000"/>
                <w:sz w:val="20"/>
              </w:rPr>
              <w:t>0</w:t>
            </w:r>
          </w:p>
        </w:tc>
        <w:tc>
          <w:tcPr>
            <w:tcW w:w="2131" w:type="dxa"/>
            <w:vAlign w:val="center"/>
          </w:tcPr>
          <w:p w:rsidR="00963AE0" w:rsidRPr="00231B31" w:rsidRDefault="00574244">
            <w:pPr>
              <w:spacing w:line="240" w:lineRule="auto"/>
              <w:ind w:firstLine="0"/>
              <w:jc w:val="center"/>
              <w:rPr>
                <w:rFonts w:ascii="宋体" w:eastAsia="宋体" w:hAnsi="宋体" w:cs="宋体"/>
                <w:snapToGrid/>
                <w:color w:val="000000"/>
                <w:sz w:val="20"/>
              </w:rPr>
            </w:pPr>
            <w:r w:rsidRPr="00231B31">
              <w:rPr>
                <w:rFonts w:ascii="宋体" w:eastAsia="宋体" w:hAnsi="宋体" w:cs="宋体" w:hint="eastAsia"/>
                <w:snapToGrid/>
                <w:color w:val="000000"/>
                <w:sz w:val="20"/>
              </w:rPr>
              <w:t>0</w:t>
            </w:r>
          </w:p>
        </w:tc>
      </w:tr>
      <w:tr w:rsidR="00963AE0">
        <w:trPr>
          <w:trHeight w:hRule="exact" w:val="567"/>
          <w:jc w:val="center"/>
        </w:trPr>
        <w:tc>
          <w:tcPr>
            <w:tcW w:w="8981" w:type="dxa"/>
            <w:gridSpan w:val="4"/>
            <w:vAlign w:val="center"/>
          </w:tcPr>
          <w:p w:rsidR="00963AE0" w:rsidRDefault="00574244">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963AE0">
        <w:trPr>
          <w:trHeight w:hRule="exact" w:val="567"/>
          <w:jc w:val="center"/>
        </w:trPr>
        <w:tc>
          <w:tcPr>
            <w:tcW w:w="2589" w:type="dxa"/>
            <w:vAlign w:val="center"/>
          </w:tcPr>
          <w:p w:rsidR="00963AE0" w:rsidRDefault="0057424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963AE0" w:rsidRDefault="00574244">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963AE0">
        <w:trPr>
          <w:trHeight w:hRule="exact" w:val="567"/>
          <w:jc w:val="center"/>
        </w:trPr>
        <w:tc>
          <w:tcPr>
            <w:tcW w:w="2589" w:type="dxa"/>
            <w:vAlign w:val="center"/>
          </w:tcPr>
          <w:p w:rsidR="00963AE0" w:rsidRDefault="0057424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963AE0" w:rsidRPr="00231B31" w:rsidRDefault="00574244">
            <w:pPr>
              <w:spacing w:line="240" w:lineRule="auto"/>
              <w:ind w:firstLine="0"/>
              <w:jc w:val="center"/>
              <w:rPr>
                <w:rFonts w:ascii="宋体" w:eastAsia="宋体" w:hAnsi="宋体" w:cs="宋体"/>
                <w:snapToGrid/>
                <w:color w:val="000000"/>
                <w:sz w:val="20"/>
              </w:rPr>
            </w:pPr>
            <w:r w:rsidRPr="00231B31">
              <w:rPr>
                <w:rFonts w:ascii="宋体" w:eastAsia="宋体" w:hAnsi="宋体" w:cs="宋体" w:hint="eastAsia"/>
                <w:snapToGrid/>
                <w:color w:val="000000"/>
                <w:sz w:val="20"/>
              </w:rPr>
              <w:t>0</w:t>
            </w:r>
          </w:p>
        </w:tc>
      </w:tr>
      <w:tr w:rsidR="00963AE0">
        <w:trPr>
          <w:trHeight w:hRule="exact" w:val="567"/>
          <w:jc w:val="center"/>
        </w:trPr>
        <w:tc>
          <w:tcPr>
            <w:tcW w:w="8981" w:type="dxa"/>
            <w:gridSpan w:val="4"/>
            <w:vAlign w:val="center"/>
          </w:tcPr>
          <w:p w:rsidR="00963AE0" w:rsidRDefault="00574244">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963AE0">
        <w:trPr>
          <w:trHeight w:hRule="exact" w:val="567"/>
          <w:jc w:val="center"/>
        </w:trPr>
        <w:tc>
          <w:tcPr>
            <w:tcW w:w="2589" w:type="dxa"/>
            <w:vAlign w:val="center"/>
          </w:tcPr>
          <w:p w:rsidR="00963AE0" w:rsidRDefault="0057424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963AE0" w:rsidRDefault="00574244">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963AE0">
        <w:trPr>
          <w:trHeight w:hRule="exact" w:val="567"/>
          <w:jc w:val="center"/>
        </w:trPr>
        <w:tc>
          <w:tcPr>
            <w:tcW w:w="2589" w:type="dxa"/>
            <w:vAlign w:val="center"/>
          </w:tcPr>
          <w:p w:rsidR="00963AE0" w:rsidRDefault="0057424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963AE0" w:rsidRPr="00231B31" w:rsidRDefault="00574244">
            <w:pPr>
              <w:spacing w:line="240" w:lineRule="auto"/>
              <w:ind w:firstLine="0"/>
              <w:jc w:val="center"/>
              <w:rPr>
                <w:rFonts w:ascii="宋体" w:eastAsia="宋体" w:hAnsi="宋体" w:cs="宋体"/>
                <w:snapToGrid/>
                <w:color w:val="000000"/>
                <w:sz w:val="20"/>
              </w:rPr>
            </w:pPr>
            <w:r w:rsidRPr="00231B31">
              <w:rPr>
                <w:rFonts w:ascii="宋体" w:eastAsia="宋体" w:hAnsi="宋体" w:cs="宋体" w:hint="eastAsia"/>
                <w:snapToGrid/>
                <w:color w:val="000000"/>
                <w:sz w:val="20"/>
              </w:rPr>
              <w:t>0</w:t>
            </w:r>
          </w:p>
        </w:tc>
      </w:tr>
      <w:tr w:rsidR="00963AE0">
        <w:trPr>
          <w:trHeight w:hRule="exact" w:val="567"/>
          <w:jc w:val="center"/>
        </w:trPr>
        <w:tc>
          <w:tcPr>
            <w:tcW w:w="2589" w:type="dxa"/>
            <w:vAlign w:val="center"/>
          </w:tcPr>
          <w:p w:rsidR="00963AE0" w:rsidRDefault="0057424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963AE0" w:rsidRPr="00231B31" w:rsidRDefault="00574244">
            <w:pPr>
              <w:spacing w:line="240" w:lineRule="auto"/>
              <w:ind w:firstLine="0"/>
              <w:jc w:val="center"/>
              <w:rPr>
                <w:rFonts w:ascii="宋体" w:eastAsia="宋体" w:hAnsi="宋体" w:cs="宋体"/>
                <w:snapToGrid/>
                <w:color w:val="000000"/>
                <w:sz w:val="20"/>
              </w:rPr>
            </w:pPr>
            <w:r w:rsidRPr="00231B31">
              <w:rPr>
                <w:rFonts w:ascii="宋体" w:eastAsia="宋体" w:hAnsi="宋体" w:cs="宋体" w:hint="eastAsia"/>
                <w:snapToGrid/>
                <w:color w:val="000000"/>
                <w:sz w:val="20"/>
              </w:rPr>
              <w:t>0</w:t>
            </w:r>
          </w:p>
        </w:tc>
      </w:tr>
      <w:tr w:rsidR="00963AE0">
        <w:trPr>
          <w:trHeight w:hRule="exact" w:val="567"/>
          <w:jc w:val="center"/>
        </w:trPr>
        <w:tc>
          <w:tcPr>
            <w:tcW w:w="8981" w:type="dxa"/>
            <w:gridSpan w:val="4"/>
            <w:vAlign w:val="center"/>
          </w:tcPr>
          <w:p w:rsidR="00963AE0" w:rsidRDefault="00574244">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963AE0">
        <w:trPr>
          <w:trHeight w:hRule="exact" w:val="567"/>
          <w:jc w:val="center"/>
        </w:trPr>
        <w:tc>
          <w:tcPr>
            <w:tcW w:w="2589" w:type="dxa"/>
            <w:vAlign w:val="center"/>
          </w:tcPr>
          <w:p w:rsidR="00963AE0" w:rsidRDefault="0057424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963AE0" w:rsidRDefault="00574244">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963AE0">
        <w:trPr>
          <w:trHeight w:hRule="exact" w:val="567"/>
          <w:jc w:val="center"/>
        </w:trPr>
        <w:tc>
          <w:tcPr>
            <w:tcW w:w="2589" w:type="dxa"/>
            <w:vAlign w:val="center"/>
          </w:tcPr>
          <w:p w:rsidR="00963AE0" w:rsidRDefault="0057424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963AE0" w:rsidRPr="00231B31" w:rsidRDefault="00574244">
            <w:pPr>
              <w:spacing w:line="240" w:lineRule="auto"/>
              <w:ind w:firstLine="0"/>
              <w:jc w:val="center"/>
              <w:rPr>
                <w:rFonts w:ascii="宋体" w:eastAsia="宋体" w:hAnsi="宋体" w:cs="宋体"/>
                <w:snapToGrid/>
                <w:color w:val="000000"/>
                <w:sz w:val="20"/>
              </w:rPr>
            </w:pPr>
            <w:r w:rsidRPr="00231B31">
              <w:rPr>
                <w:rFonts w:ascii="宋体" w:eastAsia="宋体" w:hAnsi="宋体" w:cs="宋体" w:hint="eastAsia"/>
                <w:snapToGrid/>
                <w:color w:val="000000"/>
                <w:sz w:val="20"/>
              </w:rPr>
              <w:t>35</w:t>
            </w:r>
          </w:p>
        </w:tc>
      </w:tr>
    </w:tbl>
    <w:p w:rsidR="00963AE0" w:rsidRDefault="00963AE0">
      <w:pPr>
        <w:spacing w:line="240" w:lineRule="auto"/>
        <w:ind w:firstLine="0"/>
        <w:rPr>
          <w:rFonts w:ascii="黑体" w:eastAsia="黑体" w:hAnsi="黑体"/>
          <w:sz w:val="30"/>
          <w:szCs w:val="30"/>
        </w:rPr>
      </w:pPr>
    </w:p>
    <w:p w:rsidR="00963AE0" w:rsidRDefault="00963AE0">
      <w:pPr>
        <w:spacing w:line="240" w:lineRule="auto"/>
        <w:ind w:firstLine="0"/>
        <w:rPr>
          <w:rFonts w:ascii="黑体" w:eastAsia="黑体" w:hAnsi="黑体"/>
          <w:sz w:val="30"/>
          <w:szCs w:val="30"/>
        </w:rPr>
      </w:pPr>
    </w:p>
    <w:p w:rsidR="00963AE0" w:rsidRDefault="00963AE0" w:rsidP="00231B31">
      <w:pPr>
        <w:spacing w:line="240" w:lineRule="auto"/>
        <w:ind w:firstLine="0"/>
        <w:jc w:val="center"/>
        <w:rPr>
          <w:rFonts w:ascii="黑体" w:eastAsia="黑体" w:hAnsi="黑体" w:hint="eastAsia"/>
          <w:sz w:val="30"/>
          <w:szCs w:val="30"/>
        </w:rPr>
      </w:pPr>
    </w:p>
    <w:p w:rsidR="00231B31" w:rsidRDefault="00231B31" w:rsidP="00231B31">
      <w:pPr>
        <w:spacing w:line="240" w:lineRule="auto"/>
        <w:ind w:firstLine="0"/>
        <w:jc w:val="center"/>
        <w:rPr>
          <w:rFonts w:ascii="黑体" w:eastAsia="黑体" w:hAnsi="黑体" w:hint="eastAsia"/>
          <w:sz w:val="30"/>
          <w:szCs w:val="30"/>
        </w:rPr>
      </w:pPr>
    </w:p>
    <w:p w:rsidR="00231B31" w:rsidRDefault="00231B31" w:rsidP="00231B31">
      <w:pPr>
        <w:spacing w:line="240" w:lineRule="auto"/>
        <w:ind w:firstLine="0"/>
        <w:jc w:val="center"/>
        <w:rPr>
          <w:rFonts w:ascii="黑体" w:eastAsia="黑体" w:hAnsi="黑体" w:hint="eastAsia"/>
          <w:sz w:val="30"/>
          <w:szCs w:val="30"/>
        </w:rPr>
      </w:pPr>
    </w:p>
    <w:p w:rsidR="00231B31" w:rsidRDefault="00231B31" w:rsidP="00231B31">
      <w:pPr>
        <w:spacing w:line="240" w:lineRule="auto"/>
        <w:ind w:firstLine="0"/>
        <w:jc w:val="center"/>
        <w:rPr>
          <w:rFonts w:ascii="黑体" w:eastAsia="黑体" w:hAnsi="黑体" w:hint="eastAsia"/>
          <w:sz w:val="30"/>
          <w:szCs w:val="30"/>
        </w:rPr>
      </w:pPr>
    </w:p>
    <w:p w:rsidR="00231B31" w:rsidRDefault="00231B31" w:rsidP="00231B31">
      <w:pPr>
        <w:spacing w:line="240" w:lineRule="auto"/>
        <w:ind w:firstLine="0"/>
        <w:jc w:val="center"/>
        <w:rPr>
          <w:rFonts w:ascii="黑体" w:eastAsia="黑体" w:hAnsi="黑体" w:hint="eastAsia"/>
          <w:sz w:val="30"/>
          <w:szCs w:val="30"/>
        </w:rPr>
      </w:pPr>
    </w:p>
    <w:p w:rsidR="00231B31" w:rsidRDefault="00231B31" w:rsidP="00231B31">
      <w:pPr>
        <w:spacing w:line="240" w:lineRule="auto"/>
        <w:ind w:firstLine="0"/>
        <w:jc w:val="center"/>
        <w:rPr>
          <w:rFonts w:ascii="黑体" w:eastAsia="黑体" w:hAnsi="黑体" w:hint="eastAsia"/>
          <w:sz w:val="30"/>
          <w:szCs w:val="30"/>
        </w:rPr>
      </w:pPr>
    </w:p>
    <w:p w:rsidR="00231B31" w:rsidRDefault="00231B31" w:rsidP="00231B31">
      <w:pPr>
        <w:spacing w:line="240" w:lineRule="auto"/>
        <w:ind w:firstLine="0"/>
        <w:jc w:val="center"/>
        <w:rPr>
          <w:rFonts w:ascii="黑体" w:eastAsia="黑体" w:hAnsi="黑体" w:hint="eastAsia"/>
          <w:sz w:val="30"/>
          <w:szCs w:val="30"/>
        </w:rPr>
      </w:pPr>
    </w:p>
    <w:p w:rsidR="00231B31" w:rsidRDefault="00231B31" w:rsidP="00231B31">
      <w:pPr>
        <w:spacing w:line="240" w:lineRule="auto"/>
        <w:ind w:firstLine="0"/>
        <w:jc w:val="center"/>
        <w:rPr>
          <w:rFonts w:ascii="黑体" w:eastAsia="黑体" w:hAnsi="黑体" w:hint="eastAsia"/>
          <w:sz w:val="30"/>
          <w:szCs w:val="30"/>
        </w:rPr>
      </w:pPr>
    </w:p>
    <w:p w:rsidR="00231B31" w:rsidRDefault="00231B31" w:rsidP="00231B31">
      <w:pPr>
        <w:spacing w:line="240" w:lineRule="auto"/>
        <w:ind w:firstLine="0"/>
        <w:jc w:val="center"/>
        <w:rPr>
          <w:rFonts w:ascii="黑体" w:eastAsia="黑体" w:hAnsi="黑体" w:hint="eastAsia"/>
          <w:sz w:val="30"/>
          <w:szCs w:val="30"/>
        </w:rPr>
      </w:pPr>
    </w:p>
    <w:p w:rsidR="00231B31" w:rsidRDefault="00231B31" w:rsidP="00231B31">
      <w:pPr>
        <w:spacing w:line="240" w:lineRule="auto"/>
        <w:ind w:firstLine="0"/>
        <w:jc w:val="center"/>
        <w:rPr>
          <w:rFonts w:ascii="黑体" w:eastAsia="黑体" w:hAnsi="黑体" w:hint="eastAsia"/>
          <w:sz w:val="30"/>
          <w:szCs w:val="30"/>
        </w:rPr>
      </w:pPr>
    </w:p>
    <w:p w:rsidR="00231B31" w:rsidRDefault="00231B31" w:rsidP="00231B31">
      <w:pPr>
        <w:spacing w:line="240" w:lineRule="auto"/>
        <w:ind w:firstLine="0"/>
        <w:jc w:val="center"/>
        <w:rPr>
          <w:rFonts w:ascii="黑体" w:eastAsia="黑体" w:hAnsi="黑体"/>
          <w:sz w:val="30"/>
          <w:szCs w:val="30"/>
        </w:rPr>
      </w:pPr>
    </w:p>
    <w:p w:rsidR="00963AE0" w:rsidRDefault="00574244">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963AE0">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963AE0">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963AE0">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r>
      <w:tr w:rsidR="00963AE0" w:rsidTr="00231B31">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1</w:t>
            </w:r>
          </w:p>
        </w:tc>
      </w:tr>
      <w:tr w:rsidR="00963AE0" w:rsidTr="00231B31">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w:t>
            </w:r>
            <w:r>
              <w:rPr>
                <w:rFonts w:ascii="宋体" w:eastAsia="宋体" w:hAnsi="宋体" w:cs="宋体" w:hint="eastAsia"/>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w:t>
            </w:r>
            <w:r>
              <w:rPr>
                <w:rFonts w:ascii="宋体" w:eastAsia="宋体" w:hAnsi="宋体" w:cs="宋体" w:hint="eastAsia"/>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w:t>
            </w:r>
            <w:r>
              <w:rPr>
                <w:rFonts w:ascii="宋体" w:eastAsia="宋体" w:hAnsi="宋体" w:cs="宋体" w:hint="eastAsia"/>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1</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trHeight w:val="779"/>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r w:rsidR="00963AE0" w:rsidTr="00231B31">
        <w:trPr>
          <w:jc w:val="center"/>
        </w:trPr>
        <w:tc>
          <w:tcPr>
            <w:tcW w:w="0" w:type="auto"/>
            <w:vMerge/>
            <w:tcBorders>
              <w:top w:val="nil"/>
              <w:left w:val="single" w:sz="8" w:space="0" w:color="auto"/>
              <w:bottom w:val="inset"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1</w:t>
            </w:r>
          </w:p>
        </w:tc>
      </w:tr>
      <w:tr w:rsidR="00963AE0" w:rsidTr="00231B31">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63AE0" w:rsidRDefault="0057424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bl>
    <w:p w:rsidR="00963AE0" w:rsidRDefault="00963AE0">
      <w:pPr>
        <w:spacing w:line="240" w:lineRule="auto"/>
        <w:ind w:firstLineChars="200" w:firstLine="600"/>
        <w:rPr>
          <w:rFonts w:ascii="黑体" w:eastAsia="黑体" w:hAnsi="黑体"/>
          <w:sz w:val="30"/>
          <w:szCs w:val="30"/>
        </w:rPr>
      </w:pPr>
    </w:p>
    <w:p w:rsidR="00963AE0" w:rsidRDefault="00963AE0">
      <w:pPr>
        <w:spacing w:line="240" w:lineRule="auto"/>
        <w:ind w:firstLineChars="200" w:firstLine="600"/>
        <w:rPr>
          <w:rFonts w:ascii="黑体" w:eastAsia="黑体" w:hAnsi="黑体"/>
          <w:sz w:val="30"/>
          <w:szCs w:val="30"/>
        </w:rPr>
      </w:pPr>
    </w:p>
    <w:p w:rsidR="00963AE0" w:rsidRDefault="00963AE0">
      <w:pPr>
        <w:spacing w:line="240" w:lineRule="auto"/>
        <w:ind w:firstLineChars="200" w:firstLine="600"/>
        <w:rPr>
          <w:rFonts w:ascii="黑体" w:eastAsia="黑体" w:hAnsi="黑体"/>
          <w:sz w:val="30"/>
          <w:szCs w:val="30"/>
        </w:rPr>
      </w:pPr>
    </w:p>
    <w:p w:rsidR="00963AE0" w:rsidRDefault="00963AE0">
      <w:pPr>
        <w:spacing w:line="240" w:lineRule="auto"/>
        <w:ind w:firstLineChars="200" w:firstLine="600"/>
        <w:rPr>
          <w:rFonts w:ascii="黑体" w:eastAsia="黑体" w:hAnsi="黑体"/>
          <w:sz w:val="30"/>
          <w:szCs w:val="30"/>
        </w:rPr>
      </w:pPr>
    </w:p>
    <w:p w:rsidR="00963AE0" w:rsidRDefault="00574244">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963AE0">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963AE0">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其他</w:t>
            </w:r>
          </w:p>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963AE0">
        <w:trPr>
          <w:jc w:val="center"/>
        </w:trPr>
        <w:tc>
          <w:tcPr>
            <w:tcW w:w="0" w:type="auto"/>
            <w:vMerge/>
            <w:tcBorders>
              <w:top w:val="nil"/>
              <w:left w:val="single" w:sz="8" w:space="0" w:color="auto"/>
              <w:bottom w:val="single"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63AE0" w:rsidRDefault="00963AE0">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其他</w:t>
            </w:r>
          </w:p>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其他</w:t>
            </w:r>
          </w:p>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Default="0057424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963AE0" w:rsidTr="00231B31">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3AE0" w:rsidRPr="00231B31" w:rsidRDefault="00574244" w:rsidP="00231B31">
            <w:pPr>
              <w:widowControl/>
              <w:autoSpaceDE/>
              <w:autoSpaceDN/>
              <w:snapToGrid/>
              <w:spacing w:line="240" w:lineRule="auto"/>
              <w:ind w:firstLine="0"/>
              <w:jc w:val="center"/>
              <w:rPr>
                <w:rFonts w:ascii="宋体" w:eastAsia="宋体" w:hAnsi="宋体" w:cs="宋体"/>
                <w:snapToGrid/>
                <w:sz w:val="20"/>
              </w:rPr>
            </w:pPr>
            <w:r w:rsidRPr="00231B31">
              <w:rPr>
                <w:rFonts w:ascii="宋体" w:eastAsia="宋体" w:hAnsi="宋体" w:cs="宋体" w:hint="eastAsia"/>
                <w:snapToGrid/>
                <w:sz w:val="20"/>
              </w:rPr>
              <w:t>0</w:t>
            </w:r>
          </w:p>
        </w:tc>
      </w:tr>
    </w:tbl>
    <w:p w:rsidR="00963AE0" w:rsidRDefault="00963AE0">
      <w:pPr>
        <w:spacing w:line="240" w:lineRule="auto"/>
        <w:ind w:firstLineChars="200" w:firstLine="640"/>
        <w:rPr>
          <w:rFonts w:ascii="黑体" w:eastAsia="黑体" w:hAnsi="黑体"/>
          <w:szCs w:val="32"/>
        </w:rPr>
      </w:pPr>
    </w:p>
    <w:p w:rsidR="00963AE0" w:rsidRDefault="00574244">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963AE0" w:rsidRDefault="00574244">
      <w:pPr>
        <w:spacing w:line="560" w:lineRule="exact"/>
        <w:ind w:firstLineChars="200" w:firstLine="640"/>
        <w:rPr>
          <w:rFonts w:ascii="楷体_GB2312" w:eastAsia="楷体_GB2312" w:hAnsi="黑体"/>
          <w:szCs w:val="32"/>
        </w:rPr>
      </w:pPr>
      <w:r>
        <w:rPr>
          <w:rFonts w:ascii="楷体_GB2312" w:eastAsia="楷体_GB2312" w:hAnsi="黑体" w:hint="eastAsia"/>
          <w:szCs w:val="32"/>
        </w:rPr>
        <w:t>（一）存在问题</w:t>
      </w:r>
    </w:p>
    <w:p w:rsidR="00B52357" w:rsidRDefault="00574244">
      <w:pPr>
        <w:spacing w:line="560" w:lineRule="exact"/>
        <w:ind w:firstLineChars="200" w:firstLine="640"/>
        <w:rPr>
          <w:rFonts w:ascii="楷体_GB2312" w:eastAsia="楷体_GB2312" w:hAnsi="黑体" w:hint="eastAsia"/>
          <w:szCs w:val="32"/>
        </w:rPr>
      </w:pPr>
      <w:r>
        <w:rPr>
          <w:rFonts w:ascii="仿宋_GB2312" w:eastAsia="仿宋_GB2312" w:hAnsi="黑体" w:hint="eastAsia"/>
          <w:szCs w:val="32"/>
        </w:rPr>
        <w:t>2022</w:t>
      </w:r>
      <w:r>
        <w:rPr>
          <w:rFonts w:ascii="仿宋_GB2312" w:eastAsia="仿宋_GB2312" w:hAnsi="黑体" w:hint="eastAsia"/>
          <w:szCs w:val="32"/>
        </w:rPr>
        <w:t>年，</w:t>
      </w:r>
      <w:r>
        <w:rPr>
          <w:rFonts w:ascii="仿宋_GB2312" w:eastAsia="仿宋_GB2312" w:hAnsi="黑体" w:hint="eastAsia"/>
          <w:szCs w:val="32"/>
        </w:rPr>
        <w:t>政府信息</w:t>
      </w:r>
      <w:r>
        <w:rPr>
          <w:rFonts w:ascii="仿宋_GB2312" w:eastAsia="仿宋_GB2312" w:hAnsi="黑体" w:hint="eastAsia"/>
          <w:szCs w:val="32"/>
        </w:rPr>
        <w:t>公开工作</w:t>
      </w:r>
      <w:r w:rsidR="00B52357">
        <w:rPr>
          <w:rFonts w:ascii="仿宋_GB2312" w:eastAsia="仿宋_GB2312" w:hAnsi="黑体" w:hint="eastAsia"/>
          <w:szCs w:val="32"/>
        </w:rPr>
        <w:t>虽然取得了一定实效，但仍存在一些不足之处：一是重点领域的信息公开有待进一步规范，例如养老服务领域还存在基层政务公开标准目录中部分信息公开未落实到位的情况。二是政务公开</w:t>
      </w:r>
      <w:r w:rsidR="004B2BCB">
        <w:rPr>
          <w:rFonts w:ascii="仿宋_GB2312" w:eastAsia="仿宋_GB2312" w:hAnsi="黑体" w:hint="eastAsia"/>
          <w:szCs w:val="32"/>
        </w:rPr>
        <w:t>业务培训次数较少，培训力度有待进一步提升。</w:t>
      </w:r>
    </w:p>
    <w:p w:rsidR="00963AE0" w:rsidRDefault="00574244">
      <w:pPr>
        <w:spacing w:line="560" w:lineRule="exact"/>
        <w:ind w:firstLineChars="200" w:firstLine="640"/>
        <w:rPr>
          <w:rFonts w:ascii="楷体_GB2312" w:eastAsia="楷体_GB2312" w:hAnsi="黑体"/>
          <w:szCs w:val="32"/>
        </w:rPr>
      </w:pPr>
      <w:r>
        <w:rPr>
          <w:rFonts w:ascii="楷体_GB2312" w:eastAsia="楷体_GB2312" w:hAnsi="黑体" w:hint="eastAsia"/>
          <w:szCs w:val="32"/>
        </w:rPr>
        <w:t>（二）改进措施</w:t>
      </w:r>
    </w:p>
    <w:p w:rsidR="004B2BCB" w:rsidRDefault="00574244">
      <w:pPr>
        <w:spacing w:line="560" w:lineRule="exact"/>
        <w:ind w:firstLineChars="200" w:firstLine="640"/>
        <w:rPr>
          <w:rFonts w:ascii="仿宋_GB2312" w:eastAsia="仿宋_GB2312" w:hAnsi="黑体" w:hint="eastAsia"/>
          <w:szCs w:val="32"/>
        </w:rPr>
      </w:pPr>
      <w:r>
        <w:rPr>
          <w:rFonts w:ascii="仿宋_GB2312" w:eastAsia="仿宋_GB2312" w:hAnsi="黑体" w:hint="eastAsia"/>
          <w:szCs w:val="32"/>
        </w:rPr>
        <w:t>一</w:t>
      </w:r>
      <w:r>
        <w:rPr>
          <w:rFonts w:ascii="仿宋_GB2312" w:eastAsia="仿宋_GB2312" w:hAnsi="黑体" w:hint="eastAsia"/>
          <w:szCs w:val="32"/>
        </w:rPr>
        <w:t>是</w:t>
      </w:r>
      <w:r w:rsidR="004B2BCB">
        <w:rPr>
          <w:rFonts w:ascii="仿宋_GB2312" w:eastAsia="仿宋_GB2312" w:hAnsi="黑体" w:hint="eastAsia"/>
          <w:szCs w:val="32"/>
        </w:rPr>
        <w:t>规范重点领域信息公开，严格按照《高青县养老服务领域基层政务公开标准目录》《高青县社会救助领域</w:t>
      </w:r>
      <w:r w:rsidR="004B2BCB">
        <w:rPr>
          <w:rFonts w:ascii="仿宋_GB2312" w:eastAsia="仿宋_GB2312" w:hAnsi="黑体" w:hint="eastAsia"/>
          <w:szCs w:val="32"/>
        </w:rPr>
        <w:t>基层政务公开标准目录</w:t>
      </w:r>
      <w:r w:rsidR="004B2BCB">
        <w:rPr>
          <w:rFonts w:ascii="仿宋_GB2312" w:eastAsia="仿宋_GB2312" w:hAnsi="黑体" w:hint="eastAsia"/>
          <w:szCs w:val="32"/>
        </w:rPr>
        <w:t>》公开信息，进一步明确信息的公开要素、公开主体、公开渠道、公开方式，</w:t>
      </w:r>
      <w:r w:rsidR="004B2BCB">
        <w:rPr>
          <w:rFonts w:ascii="仿宋_GB2312" w:eastAsia="仿宋_GB2312" w:hAnsi="黑体" w:hint="eastAsia"/>
          <w:szCs w:val="32"/>
        </w:rPr>
        <w:t>充实公开内容</w:t>
      </w:r>
      <w:r w:rsidR="004B2BCB">
        <w:rPr>
          <w:rFonts w:ascii="仿宋_GB2312" w:eastAsia="仿宋_GB2312" w:hAnsi="黑体" w:hint="eastAsia"/>
          <w:szCs w:val="32"/>
        </w:rPr>
        <w:t>，</w:t>
      </w:r>
      <w:r w:rsidR="004B2BCB">
        <w:rPr>
          <w:rFonts w:ascii="仿宋_GB2312" w:eastAsia="仿宋_GB2312" w:hAnsi="黑体" w:hint="eastAsia"/>
          <w:szCs w:val="32"/>
        </w:rPr>
        <w:t>对于群众关注度高、社会影响面广的信息准确及时</w:t>
      </w:r>
      <w:r w:rsidR="004B2BCB">
        <w:rPr>
          <w:rFonts w:ascii="仿宋_GB2312" w:eastAsia="仿宋_GB2312" w:hAnsi="黑体" w:hint="eastAsia"/>
          <w:szCs w:val="32"/>
        </w:rPr>
        <w:t>予以公开</w:t>
      </w:r>
      <w:r w:rsidR="004B2BCB">
        <w:rPr>
          <w:rFonts w:ascii="仿宋_GB2312" w:eastAsia="仿宋_GB2312" w:hAnsi="黑体" w:hint="eastAsia"/>
          <w:szCs w:val="32"/>
        </w:rPr>
        <w:t>。</w:t>
      </w:r>
      <w:r w:rsidR="004B2BCB">
        <w:rPr>
          <w:rFonts w:ascii="仿宋_GB2312" w:eastAsia="仿宋_GB2312" w:hAnsi="黑体" w:hint="eastAsia"/>
          <w:szCs w:val="32"/>
        </w:rPr>
        <w:t>二是强化政务公开工作培训，坚持“走出去”与“请进来”相结合，对</w:t>
      </w:r>
      <w:proofErr w:type="gramStart"/>
      <w:r w:rsidR="004B2BCB">
        <w:rPr>
          <w:rFonts w:ascii="仿宋_GB2312" w:eastAsia="仿宋_GB2312" w:hAnsi="黑体" w:hint="eastAsia"/>
          <w:szCs w:val="32"/>
        </w:rPr>
        <w:t>标先进</w:t>
      </w:r>
      <w:proofErr w:type="gramEnd"/>
      <w:r w:rsidR="004B2BCB">
        <w:rPr>
          <w:rFonts w:ascii="仿宋_GB2312" w:eastAsia="仿宋_GB2312" w:hAnsi="黑体" w:hint="eastAsia"/>
          <w:szCs w:val="32"/>
        </w:rPr>
        <w:t>单位，认真学习经验做法，同时邀请政务公开方面的专家进行授课，提升工作人员的理论素养和业务能力。增加政务公开培训次数，采用集中培训、线上培训、小组培训等多种方式灵活开展，推动培训常态化。</w:t>
      </w:r>
    </w:p>
    <w:p w:rsidR="00963AE0" w:rsidRDefault="00574244">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963AE0" w:rsidRDefault="00574244">
      <w:pPr>
        <w:ind w:firstLineChars="200" w:firstLine="640"/>
        <w:jc w:val="left"/>
        <w:rPr>
          <w:rFonts w:ascii="楷体_GB2312" w:eastAsia="楷体_GB2312" w:hAnsi="黑体"/>
          <w:szCs w:val="32"/>
        </w:rPr>
      </w:pPr>
      <w:r>
        <w:rPr>
          <w:rFonts w:ascii="楷体_GB2312" w:eastAsia="楷体_GB2312" w:hAnsi="黑体" w:hint="eastAsia"/>
          <w:szCs w:val="32"/>
        </w:rPr>
        <w:lastRenderedPageBreak/>
        <w:t>（一）政府信息公开信息处理费收取情况</w:t>
      </w:r>
    </w:p>
    <w:p w:rsidR="00963AE0" w:rsidRDefault="00574244">
      <w:pPr>
        <w:ind w:firstLineChars="200" w:firstLine="640"/>
        <w:jc w:val="left"/>
        <w:rPr>
          <w:rFonts w:ascii="仿宋_GB2312" w:eastAsia="仿宋_GB2312" w:hAnsi="黑体"/>
          <w:szCs w:val="32"/>
        </w:rPr>
      </w:pPr>
      <w:r>
        <w:rPr>
          <w:rFonts w:ascii="仿宋_GB2312" w:eastAsia="仿宋_GB2312" w:hAnsi="黑体" w:hint="eastAsia"/>
          <w:szCs w:val="32"/>
        </w:rPr>
        <w:t>本机关依申请提供政府信息，根据《国务院办公厅关于印发</w:t>
      </w:r>
      <w:r>
        <w:rPr>
          <w:rFonts w:ascii="仿宋_GB2312" w:eastAsia="仿宋_GB2312" w:hAnsi="黑体" w:hint="eastAsia"/>
          <w:szCs w:val="32"/>
        </w:rPr>
        <w:t>&lt;</w:t>
      </w:r>
      <w:r>
        <w:rPr>
          <w:rFonts w:ascii="仿宋_GB2312" w:eastAsia="仿宋_GB2312" w:hAnsi="黑体" w:hint="eastAsia"/>
          <w:szCs w:val="32"/>
        </w:rPr>
        <w:t>政府信息公开信息处理费管理办法</w:t>
      </w:r>
      <w:r>
        <w:rPr>
          <w:rFonts w:ascii="仿宋_GB2312" w:eastAsia="仿宋_GB2312" w:hAnsi="黑体" w:hint="eastAsia"/>
          <w:szCs w:val="32"/>
        </w:rPr>
        <w:t>&gt;</w:t>
      </w:r>
      <w:r>
        <w:rPr>
          <w:rFonts w:ascii="仿宋_GB2312" w:eastAsia="仿宋_GB2312" w:hAnsi="黑体" w:hint="eastAsia"/>
          <w:szCs w:val="32"/>
        </w:rPr>
        <w:t>的通知》（国办函〔</w:t>
      </w:r>
      <w:r>
        <w:rPr>
          <w:rFonts w:ascii="仿宋_GB2312" w:eastAsia="仿宋_GB2312" w:hAnsi="黑体" w:hint="eastAsia"/>
          <w:szCs w:val="32"/>
        </w:rPr>
        <w:t>2020</w:t>
      </w:r>
      <w:r>
        <w:rPr>
          <w:rFonts w:ascii="仿宋_GB2312" w:eastAsia="仿宋_GB2312" w:hAnsi="黑体" w:hint="eastAsia"/>
          <w:szCs w:val="32"/>
        </w:rPr>
        <w:t>〕</w:t>
      </w:r>
      <w:r>
        <w:rPr>
          <w:rFonts w:ascii="仿宋_GB2312" w:eastAsia="仿宋_GB2312" w:hAnsi="黑体" w:hint="eastAsia"/>
          <w:szCs w:val="32"/>
        </w:rPr>
        <w:t>109</w:t>
      </w:r>
      <w:r>
        <w:rPr>
          <w:rFonts w:ascii="仿宋_GB2312" w:eastAsia="仿宋_GB2312" w:hAnsi="黑体" w:hint="eastAsia"/>
          <w:szCs w:val="32"/>
        </w:rPr>
        <w:t>号）和《山东省人民政府办公厅关于做好政府信息公开信息处理费管理工作有关事项的通知》（鲁政办字〔</w:t>
      </w:r>
      <w:r>
        <w:rPr>
          <w:rFonts w:ascii="仿宋_GB2312" w:eastAsia="仿宋_GB2312" w:hAnsi="黑体" w:hint="eastAsia"/>
          <w:szCs w:val="32"/>
        </w:rPr>
        <w:t>2020</w:t>
      </w:r>
      <w:r>
        <w:rPr>
          <w:rFonts w:ascii="仿宋_GB2312" w:eastAsia="仿宋_GB2312" w:hAnsi="黑体" w:hint="eastAsia"/>
          <w:szCs w:val="32"/>
        </w:rPr>
        <w:t>〕</w:t>
      </w:r>
      <w:r>
        <w:rPr>
          <w:rFonts w:ascii="仿宋_GB2312" w:eastAsia="仿宋_GB2312" w:hAnsi="黑体" w:hint="eastAsia"/>
          <w:szCs w:val="32"/>
        </w:rPr>
        <w:t>179</w:t>
      </w:r>
      <w:r>
        <w:rPr>
          <w:rFonts w:ascii="仿宋_GB2312" w:eastAsia="仿宋_GB2312" w:hAnsi="黑体" w:hint="eastAsia"/>
          <w:szCs w:val="32"/>
        </w:rPr>
        <w:t>号）收取信息处理费。</w:t>
      </w:r>
      <w:r>
        <w:rPr>
          <w:rFonts w:ascii="仿宋_GB2312" w:eastAsia="仿宋_GB2312" w:hAnsi="黑体" w:hint="eastAsia"/>
          <w:szCs w:val="32"/>
        </w:rPr>
        <w:t>2022</w:t>
      </w:r>
      <w:r>
        <w:rPr>
          <w:rFonts w:ascii="仿宋_GB2312" w:eastAsia="仿宋_GB2312" w:hAnsi="黑体" w:hint="eastAsia"/>
          <w:szCs w:val="32"/>
        </w:rPr>
        <w:t>年本机关依申请公开政府信息未收取任何费用。</w:t>
      </w:r>
    </w:p>
    <w:p w:rsidR="00963AE0" w:rsidRDefault="00574244">
      <w:pPr>
        <w:ind w:firstLineChars="200" w:firstLine="640"/>
        <w:jc w:val="left"/>
        <w:rPr>
          <w:rFonts w:ascii="楷体_GB2312" w:eastAsia="楷体_GB2312" w:hAnsi="黑体"/>
          <w:szCs w:val="32"/>
        </w:rPr>
      </w:pPr>
      <w:r>
        <w:rPr>
          <w:rFonts w:ascii="楷体_GB2312" w:eastAsia="楷体_GB2312" w:hAnsi="黑体" w:hint="eastAsia"/>
          <w:szCs w:val="32"/>
        </w:rPr>
        <w:t>（二）落实上级年度政</w:t>
      </w:r>
      <w:r>
        <w:rPr>
          <w:rFonts w:ascii="楷体_GB2312" w:eastAsia="楷体_GB2312" w:hAnsi="黑体" w:hint="eastAsia"/>
          <w:szCs w:val="32"/>
        </w:rPr>
        <w:t>务公开工作要点情况</w:t>
      </w:r>
    </w:p>
    <w:p w:rsidR="00963AE0" w:rsidRDefault="00574244">
      <w:pPr>
        <w:spacing w:line="560" w:lineRule="exact"/>
        <w:ind w:firstLineChars="200" w:firstLine="640"/>
        <w:rPr>
          <w:rFonts w:ascii="楷体_GB2312" w:eastAsia="楷体_GB2312" w:hAnsi="黑体"/>
          <w:color w:val="0000FF"/>
          <w:szCs w:val="32"/>
        </w:rPr>
      </w:pPr>
      <w:r>
        <w:rPr>
          <w:rFonts w:ascii="仿宋_GB2312" w:eastAsia="仿宋_GB2312" w:hAnsi="黑体" w:hint="eastAsia"/>
          <w:szCs w:val="32"/>
        </w:rPr>
        <w:t>本机关严格落实《国务院办公厅关于印发</w:t>
      </w:r>
      <w:r>
        <w:rPr>
          <w:rFonts w:ascii="仿宋_GB2312" w:eastAsia="仿宋_GB2312" w:hAnsi="黑体" w:hint="eastAsia"/>
          <w:szCs w:val="32"/>
        </w:rPr>
        <w:t>2022</w:t>
      </w:r>
      <w:r>
        <w:rPr>
          <w:rFonts w:ascii="仿宋_GB2312" w:eastAsia="仿宋_GB2312" w:hAnsi="黑体" w:hint="eastAsia"/>
          <w:szCs w:val="32"/>
        </w:rPr>
        <w:t>年政务公开工作要点的通知》《山东省人民政府办公厅关于印发</w:t>
      </w:r>
      <w:r>
        <w:rPr>
          <w:rFonts w:ascii="仿宋_GB2312" w:eastAsia="仿宋_GB2312" w:hAnsi="黑体" w:hint="eastAsia"/>
          <w:szCs w:val="32"/>
        </w:rPr>
        <w:t>2022</w:t>
      </w:r>
      <w:r>
        <w:rPr>
          <w:rFonts w:ascii="仿宋_GB2312" w:eastAsia="仿宋_GB2312" w:hAnsi="黑体" w:hint="eastAsia"/>
          <w:szCs w:val="32"/>
        </w:rPr>
        <w:t>年山东省政务公开工作要点的通知》，以及《淄博市人民政府办公室关于印发</w:t>
      </w:r>
      <w:r>
        <w:rPr>
          <w:rFonts w:ascii="仿宋_GB2312" w:eastAsia="仿宋_GB2312" w:hAnsi="黑体" w:hint="eastAsia"/>
          <w:szCs w:val="32"/>
        </w:rPr>
        <w:t>2022</w:t>
      </w:r>
      <w:r>
        <w:rPr>
          <w:rFonts w:ascii="仿宋_GB2312" w:eastAsia="仿宋_GB2312" w:hAnsi="黑体" w:hint="eastAsia"/>
          <w:szCs w:val="32"/>
        </w:rPr>
        <w:t>年淄博市政务公开工作方案的通知》《高青县人民政府办公室关于印发</w:t>
      </w:r>
      <w:r>
        <w:rPr>
          <w:rFonts w:ascii="仿宋_GB2312" w:eastAsia="仿宋_GB2312" w:hAnsi="黑体" w:hint="eastAsia"/>
          <w:szCs w:val="32"/>
        </w:rPr>
        <w:t>2022</w:t>
      </w:r>
      <w:r>
        <w:rPr>
          <w:rFonts w:ascii="仿宋_GB2312" w:eastAsia="仿宋_GB2312" w:hAnsi="黑体" w:hint="eastAsia"/>
          <w:szCs w:val="32"/>
        </w:rPr>
        <w:t>年高青县政务公开工作要点的通知》要求，扎实推进政务公</w:t>
      </w:r>
      <w:r>
        <w:rPr>
          <w:rFonts w:ascii="仿宋_GB2312" w:eastAsia="仿宋_GB2312" w:hAnsi="黑体" w:hint="eastAsia"/>
          <w:szCs w:val="32"/>
        </w:rPr>
        <w:t>开工作。</w:t>
      </w:r>
      <w:r w:rsidR="00231B31">
        <w:rPr>
          <w:rFonts w:ascii="仿宋_GB2312" w:eastAsia="仿宋_GB2312" w:hAnsi="黑体" w:hint="eastAsia"/>
          <w:szCs w:val="32"/>
        </w:rPr>
        <w:t>一是</w:t>
      </w:r>
      <w:r>
        <w:rPr>
          <w:rFonts w:ascii="仿宋_GB2312" w:eastAsia="仿宋_GB2312" w:hAnsi="黑体" w:hint="eastAsia"/>
          <w:szCs w:val="32"/>
        </w:rPr>
        <w:t>着力做好重要部署执行情况信息公开，积极协调相关科室对政府工作报告任务执行情况、年度重点工作完成情况、民生实事工作进展情况积极协调科室按时高质量完成信息发布工作。</w:t>
      </w:r>
      <w:r w:rsidR="00231B31">
        <w:rPr>
          <w:rFonts w:ascii="仿宋_GB2312" w:eastAsia="仿宋_GB2312" w:hAnsi="黑体" w:hint="eastAsia"/>
          <w:szCs w:val="32"/>
        </w:rPr>
        <w:t>二是</w:t>
      </w:r>
      <w:r>
        <w:rPr>
          <w:rFonts w:ascii="仿宋_GB2312" w:eastAsia="仿宋_GB2312" w:hAnsi="黑体" w:hint="eastAsia"/>
          <w:szCs w:val="32"/>
        </w:rPr>
        <w:t>扎实做好行政执法事</w:t>
      </w:r>
      <w:r>
        <w:rPr>
          <w:rFonts w:ascii="仿宋_GB2312" w:eastAsia="仿宋_GB2312" w:hAnsi="黑体" w:hint="eastAsia"/>
          <w:szCs w:val="32"/>
        </w:rPr>
        <w:t>项公示和双随机</w:t>
      </w:r>
      <w:proofErr w:type="gramStart"/>
      <w:r>
        <w:rPr>
          <w:rFonts w:ascii="仿宋_GB2312" w:eastAsia="仿宋_GB2312" w:hAnsi="黑体" w:hint="eastAsia"/>
          <w:szCs w:val="32"/>
        </w:rPr>
        <w:t>一</w:t>
      </w:r>
      <w:proofErr w:type="gramEnd"/>
      <w:r>
        <w:rPr>
          <w:rFonts w:ascii="仿宋_GB2312" w:eastAsia="仿宋_GB2312" w:hAnsi="黑体" w:hint="eastAsia"/>
          <w:szCs w:val="32"/>
        </w:rPr>
        <w:t>公开，认真梳理本单位行政执法事项清单，对年度执法结果和双随机</w:t>
      </w:r>
      <w:proofErr w:type="gramStart"/>
      <w:r>
        <w:rPr>
          <w:rFonts w:ascii="仿宋_GB2312" w:eastAsia="仿宋_GB2312" w:hAnsi="黑体" w:hint="eastAsia"/>
          <w:szCs w:val="32"/>
        </w:rPr>
        <w:t>一</w:t>
      </w:r>
      <w:proofErr w:type="gramEnd"/>
      <w:r>
        <w:rPr>
          <w:rFonts w:ascii="仿宋_GB2312" w:eastAsia="仿宋_GB2312" w:hAnsi="黑体" w:hint="eastAsia"/>
          <w:szCs w:val="32"/>
        </w:rPr>
        <w:t>公开抽查事项及时公开。</w:t>
      </w:r>
      <w:r>
        <w:rPr>
          <w:rFonts w:ascii="仿宋_GB2312" w:eastAsia="仿宋_GB2312" w:hAnsi="黑体" w:hint="eastAsia"/>
          <w:szCs w:val="32"/>
        </w:rPr>
        <w:t>重点做好社会救助、社会福利领域信息公开</w:t>
      </w:r>
      <w:r>
        <w:rPr>
          <w:rFonts w:ascii="仿宋_GB2312" w:eastAsia="仿宋_GB2312" w:hAnsi="黑体" w:hint="eastAsia"/>
          <w:szCs w:val="32"/>
        </w:rPr>
        <w:t>，</w:t>
      </w:r>
      <w:r>
        <w:rPr>
          <w:rFonts w:ascii="仿宋_GB2312" w:eastAsia="仿宋_GB2312" w:hAnsi="黑体" w:hint="eastAsia"/>
          <w:szCs w:val="32"/>
        </w:rPr>
        <w:t>加大公益慈善事业信息公开力度</w:t>
      </w:r>
      <w:r>
        <w:rPr>
          <w:rFonts w:ascii="仿宋_GB2312" w:eastAsia="仿宋_GB2312" w:hAnsi="黑体" w:hint="eastAsia"/>
          <w:szCs w:val="32"/>
        </w:rPr>
        <w:t>。</w:t>
      </w:r>
      <w:r w:rsidR="00231B31">
        <w:rPr>
          <w:rFonts w:ascii="仿宋_GB2312" w:eastAsia="仿宋_GB2312" w:hAnsi="黑体" w:hint="eastAsia"/>
          <w:szCs w:val="32"/>
        </w:rPr>
        <w:t>三</w:t>
      </w:r>
      <w:r>
        <w:rPr>
          <w:rFonts w:ascii="仿宋_GB2312" w:eastAsia="仿宋_GB2312" w:hAnsi="黑体" w:hint="eastAsia"/>
          <w:szCs w:val="32"/>
        </w:rPr>
        <w:t>是做好</w:t>
      </w:r>
      <w:r>
        <w:rPr>
          <w:rFonts w:ascii="仿宋_GB2312" w:eastAsia="仿宋_GB2312" w:hAnsi="黑体" w:hint="eastAsia"/>
          <w:szCs w:val="32"/>
        </w:rPr>
        <w:t>政策</w:t>
      </w:r>
      <w:r>
        <w:rPr>
          <w:rFonts w:ascii="仿宋_GB2312" w:eastAsia="仿宋_GB2312" w:hAnsi="黑体" w:hint="eastAsia"/>
          <w:szCs w:val="32"/>
        </w:rPr>
        <w:t>层面信息</w:t>
      </w:r>
      <w:r>
        <w:rPr>
          <w:rFonts w:ascii="仿宋_GB2312" w:eastAsia="仿宋_GB2312" w:hAnsi="黑体" w:hint="eastAsia"/>
          <w:szCs w:val="32"/>
        </w:rPr>
        <w:t>公开</w:t>
      </w:r>
      <w:r>
        <w:rPr>
          <w:rFonts w:ascii="仿宋_GB2312" w:eastAsia="仿宋_GB2312" w:hAnsi="黑体" w:hint="eastAsia"/>
          <w:szCs w:val="32"/>
        </w:rPr>
        <w:t>，</w:t>
      </w:r>
      <w:r>
        <w:rPr>
          <w:rFonts w:ascii="仿宋_GB2312" w:eastAsia="仿宋_GB2312" w:hAnsi="黑体" w:hint="eastAsia"/>
          <w:szCs w:val="32"/>
        </w:rPr>
        <w:t>将</w:t>
      </w:r>
      <w:r>
        <w:rPr>
          <w:rFonts w:ascii="仿宋_GB2312" w:eastAsia="仿宋_GB2312" w:hAnsi="黑体" w:hint="eastAsia"/>
          <w:szCs w:val="32"/>
        </w:rPr>
        <w:t>国家和</w:t>
      </w:r>
      <w:r>
        <w:rPr>
          <w:rFonts w:ascii="仿宋_GB2312" w:eastAsia="仿宋_GB2312" w:hAnsi="黑体" w:hint="eastAsia"/>
          <w:szCs w:val="32"/>
        </w:rPr>
        <w:t>省市</w:t>
      </w:r>
      <w:r>
        <w:rPr>
          <w:rFonts w:ascii="仿宋_GB2312" w:eastAsia="仿宋_GB2312" w:hAnsi="黑体" w:hint="eastAsia"/>
          <w:szCs w:val="32"/>
        </w:rPr>
        <w:t>相关法律、法规、政策文件</w:t>
      </w:r>
      <w:r>
        <w:rPr>
          <w:rFonts w:ascii="仿宋_GB2312" w:eastAsia="仿宋_GB2312" w:hAnsi="黑体" w:hint="eastAsia"/>
          <w:szCs w:val="32"/>
        </w:rPr>
        <w:t>及时更新，本县政策文件发布的同时做好相关文件解读工作。</w:t>
      </w:r>
      <w:r w:rsidR="00231B31">
        <w:rPr>
          <w:rFonts w:ascii="仿宋_GB2312" w:eastAsia="仿宋_GB2312" w:hAnsi="黑体" w:hint="eastAsia"/>
          <w:szCs w:val="32"/>
        </w:rPr>
        <w:t>四</w:t>
      </w:r>
      <w:r>
        <w:rPr>
          <w:rFonts w:ascii="仿宋_GB2312" w:eastAsia="仿宋_GB2312" w:hAnsi="黑体" w:hint="eastAsia"/>
          <w:szCs w:val="32"/>
        </w:rPr>
        <w:t>是完善各类救助和补贴资金发放情况信息公开，按月及时更新</w:t>
      </w:r>
      <w:r>
        <w:rPr>
          <w:rFonts w:ascii="仿宋_GB2312" w:eastAsia="仿宋_GB2312" w:hAnsi="黑体" w:hint="eastAsia"/>
          <w:szCs w:val="32"/>
        </w:rPr>
        <w:lastRenderedPageBreak/>
        <w:t>申领数量、审核通过数量和审核通过名单。</w:t>
      </w:r>
      <w:r w:rsidR="00231B31">
        <w:rPr>
          <w:rFonts w:ascii="仿宋_GB2312" w:eastAsia="仿宋_GB2312" w:hAnsi="黑体" w:hint="eastAsia"/>
          <w:szCs w:val="32"/>
        </w:rPr>
        <w:t>五</w:t>
      </w:r>
      <w:bookmarkStart w:id="0" w:name="_GoBack"/>
      <w:bookmarkEnd w:id="0"/>
      <w:r>
        <w:rPr>
          <w:rFonts w:ascii="仿宋_GB2312" w:eastAsia="仿宋_GB2312" w:hAnsi="黑体" w:hint="eastAsia"/>
          <w:szCs w:val="32"/>
        </w:rPr>
        <w:t>是加大对养老服务信息公开的深度和广度，对养老机构扶持政策、投资、备案、评估、服务质量等信息多层次多角度公开</w:t>
      </w:r>
      <w:r>
        <w:rPr>
          <w:rFonts w:ascii="仿宋_GB2312" w:eastAsia="仿宋_GB2312" w:hAnsi="黑体" w:hint="eastAsia"/>
          <w:szCs w:val="32"/>
        </w:rPr>
        <w:t>，</w:t>
      </w:r>
      <w:r>
        <w:rPr>
          <w:rFonts w:ascii="仿宋_GB2312" w:eastAsia="仿宋_GB2312" w:hAnsi="黑体" w:hint="eastAsia"/>
          <w:szCs w:val="32"/>
        </w:rPr>
        <w:t>主动接受社会监督。</w:t>
      </w:r>
    </w:p>
    <w:p w:rsidR="00963AE0" w:rsidRDefault="00574244">
      <w:pPr>
        <w:ind w:firstLineChars="200" w:firstLine="640"/>
        <w:jc w:val="left"/>
        <w:rPr>
          <w:rFonts w:ascii="楷体_GB2312" w:eastAsia="楷体_GB2312" w:hAnsi="黑体"/>
          <w:szCs w:val="32"/>
        </w:rPr>
      </w:pPr>
      <w:r>
        <w:rPr>
          <w:rFonts w:ascii="楷体_GB2312" w:eastAsia="楷体_GB2312" w:hAnsi="黑体" w:hint="eastAsia"/>
          <w:szCs w:val="32"/>
        </w:rPr>
        <w:t>（</w:t>
      </w:r>
      <w:r>
        <w:rPr>
          <w:rFonts w:ascii="楷体_GB2312" w:eastAsia="楷体_GB2312" w:hAnsi="黑体" w:hint="eastAsia"/>
          <w:szCs w:val="32"/>
        </w:rPr>
        <w:t>三）人大代表建议和政协委员提案办理结果公开情况</w:t>
      </w:r>
    </w:p>
    <w:p w:rsidR="00963AE0" w:rsidRDefault="00574244">
      <w:pPr>
        <w:ind w:firstLineChars="200" w:firstLine="640"/>
        <w:jc w:val="left"/>
        <w:rPr>
          <w:rFonts w:ascii="仿宋_GB2312" w:eastAsia="仿宋_GB2312" w:hAnsi="黑体"/>
          <w:szCs w:val="32"/>
        </w:rPr>
      </w:pPr>
      <w:r>
        <w:rPr>
          <w:rFonts w:ascii="仿宋_GB2312" w:eastAsia="仿宋_GB2312" w:hAnsi="黑体" w:hint="eastAsia"/>
          <w:szCs w:val="32"/>
        </w:rPr>
        <w:t>2022</w:t>
      </w:r>
      <w:r>
        <w:rPr>
          <w:rFonts w:ascii="仿宋_GB2312" w:eastAsia="仿宋_GB2312" w:hAnsi="黑体" w:hint="eastAsia"/>
          <w:szCs w:val="32"/>
        </w:rPr>
        <w:t>年，本机关共</w:t>
      </w:r>
      <w:proofErr w:type="gramStart"/>
      <w:r>
        <w:rPr>
          <w:rFonts w:ascii="仿宋_GB2312" w:eastAsia="仿宋_GB2312" w:hAnsi="黑体" w:hint="eastAsia"/>
          <w:szCs w:val="32"/>
        </w:rPr>
        <w:t>承办县</w:t>
      </w:r>
      <w:proofErr w:type="gramEnd"/>
      <w:r>
        <w:rPr>
          <w:rFonts w:ascii="仿宋_GB2312" w:eastAsia="仿宋_GB2312" w:hAnsi="黑体" w:hint="eastAsia"/>
          <w:szCs w:val="32"/>
        </w:rPr>
        <w:t>十八届人大一次会议建议</w:t>
      </w:r>
      <w:r>
        <w:rPr>
          <w:rFonts w:ascii="仿宋_GB2312" w:eastAsia="仿宋_GB2312" w:hAnsi="黑体" w:hint="eastAsia"/>
          <w:szCs w:val="32"/>
        </w:rPr>
        <w:t>2</w:t>
      </w:r>
      <w:r>
        <w:rPr>
          <w:rFonts w:ascii="仿宋_GB2312" w:eastAsia="仿宋_GB2312" w:hAnsi="黑体" w:hint="eastAsia"/>
          <w:szCs w:val="32"/>
        </w:rPr>
        <w:t>件，</w:t>
      </w:r>
      <w:proofErr w:type="gramStart"/>
      <w:r>
        <w:rPr>
          <w:rFonts w:ascii="仿宋_GB2312" w:eastAsia="仿宋_GB2312" w:hAnsi="黑体" w:hint="eastAsia"/>
          <w:szCs w:val="32"/>
        </w:rPr>
        <w:t>承办县</w:t>
      </w:r>
      <w:proofErr w:type="gramEnd"/>
      <w:r>
        <w:rPr>
          <w:rFonts w:ascii="仿宋_GB2312" w:eastAsia="仿宋_GB2312" w:hAnsi="黑体" w:hint="eastAsia"/>
          <w:szCs w:val="32"/>
        </w:rPr>
        <w:t>政协十五届一次会议提案</w:t>
      </w:r>
      <w:r>
        <w:rPr>
          <w:rFonts w:ascii="仿宋_GB2312" w:eastAsia="仿宋_GB2312" w:hAnsi="黑体" w:hint="eastAsia"/>
          <w:szCs w:val="32"/>
        </w:rPr>
        <w:t>9</w:t>
      </w:r>
      <w:r>
        <w:rPr>
          <w:rFonts w:ascii="仿宋_GB2312" w:eastAsia="仿宋_GB2312" w:hAnsi="黑体" w:hint="eastAsia"/>
          <w:szCs w:val="32"/>
        </w:rPr>
        <w:t>件，办复率均为</w:t>
      </w:r>
      <w:r>
        <w:rPr>
          <w:rFonts w:ascii="仿宋_GB2312" w:eastAsia="仿宋_GB2312" w:hAnsi="黑体" w:hint="eastAsia"/>
          <w:szCs w:val="32"/>
        </w:rPr>
        <w:t>100%</w:t>
      </w:r>
      <w:r>
        <w:rPr>
          <w:rFonts w:ascii="仿宋_GB2312" w:eastAsia="仿宋_GB2312" w:hAnsi="黑体" w:hint="eastAsia"/>
          <w:szCs w:val="32"/>
        </w:rPr>
        <w:t>。除涉及国家秘密、工作秘密的，所有建议提案办理复文或摘要以及办理总体情况均在县政府门户网站建议提案办理</w:t>
      </w:r>
      <w:proofErr w:type="gramStart"/>
      <w:r>
        <w:rPr>
          <w:rFonts w:ascii="仿宋_GB2312" w:eastAsia="仿宋_GB2312" w:hAnsi="黑体" w:hint="eastAsia"/>
          <w:szCs w:val="32"/>
        </w:rPr>
        <w:t>专题专题</w:t>
      </w:r>
      <w:proofErr w:type="gramEnd"/>
      <w:r>
        <w:rPr>
          <w:rFonts w:ascii="仿宋_GB2312" w:eastAsia="仿宋_GB2312" w:hAnsi="黑体" w:hint="eastAsia"/>
          <w:szCs w:val="32"/>
        </w:rPr>
        <w:t>中予以公开。</w:t>
      </w:r>
    </w:p>
    <w:p w:rsidR="00963AE0" w:rsidRDefault="00574244">
      <w:pPr>
        <w:ind w:firstLineChars="200" w:firstLine="640"/>
        <w:jc w:val="left"/>
        <w:rPr>
          <w:rFonts w:ascii="楷体_GB2312" w:eastAsia="楷体_GB2312" w:hAnsi="黑体"/>
          <w:szCs w:val="32"/>
        </w:rPr>
      </w:pPr>
      <w:r>
        <w:rPr>
          <w:rFonts w:ascii="楷体_GB2312" w:eastAsia="楷体_GB2312" w:hAnsi="黑体" w:hint="eastAsia"/>
          <w:szCs w:val="32"/>
        </w:rPr>
        <w:t>（四）政务公开工作创新情况</w:t>
      </w:r>
    </w:p>
    <w:p w:rsidR="00963AE0" w:rsidRDefault="00574244">
      <w:pPr>
        <w:spacing w:line="560" w:lineRule="exact"/>
        <w:ind w:firstLineChars="200" w:firstLine="640"/>
        <w:rPr>
          <w:rFonts w:ascii="楷体_GB2312" w:eastAsia="楷体_GB2312" w:hAnsi="黑体"/>
          <w:szCs w:val="32"/>
        </w:rPr>
      </w:pPr>
      <w:r>
        <w:rPr>
          <w:rFonts w:ascii="仿宋_GB2312" w:eastAsia="仿宋_GB2312" w:hAnsi="黑体" w:hint="eastAsia"/>
          <w:szCs w:val="32"/>
        </w:rPr>
        <w:t>一是充分发挥</w:t>
      </w:r>
      <w:proofErr w:type="gramStart"/>
      <w:r>
        <w:rPr>
          <w:rFonts w:ascii="仿宋_GB2312" w:eastAsia="仿宋_GB2312" w:hAnsi="黑体" w:hint="eastAsia"/>
          <w:szCs w:val="32"/>
        </w:rPr>
        <w:t>好微信公众号传播广</w:t>
      </w:r>
      <w:proofErr w:type="gramEnd"/>
      <w:r>
        <w:rPr>
          <w:rFonts w:ascii="仿宋_GB2312" w:eastAsia="仿宋_GB2312" w:hAnsi="黑体" w:hint="eastAsia"/>
          <w:szCs w:val="32"/>
        </w:rPr>
        <w:t>、信息及时等特点，以通俗易懂的形式详细做好各</w:t>
      </w:r>
      <w:proofErr w:type="gramStart"/>
      <w:r>
        <w:rPr>
          <w:rFonts w:ascii="仿宋_GB2312" w:eastAsia="仿宋_GB2312" w:hAnsi="黑体" w:hint="eastAsia"/>
          <w:szCs w:val="32"/>
        </w:rPr>
        <w:t>类政策</w:t>
      </w:r>
      <w:proofErr w:type="gramEnd"/>
      <w:r>
        <w:rPr>
          <w:rFonts w:ascii="仿宋_GB2312" w:eastAsia="仿宋_GB2312" w:hAnsi="黑体" w:hint="eastAsia"/>
          <w:szCs w:val="32"/>
        </w:rPr>
        <w:t>信息公开。开设“走近民政</w:t>
      </w:r>
      <w:r>
        <w:rPr>
          <w:rFonts w:ascii="仿宋_GB2312" w:eastAsia="仿宋_GB2312" w:hAnsi="黑体" w:hint="eastAsia"/>
          <w:szCs w:val="32"/>
        </w:rPr>
        <w:t>-</w:t>
      </w:r>
      <w:r>
        <w:rPr>
          <w:rFonts w:ascii="仿宋_GB2312" w:eastAsia="仿宋_GB2312" w:hAnsi="黑体" w:hint="eastAsia"/>
          <w:szCs w:val="32"/>
        </w:rPr>
        <w:t>惠民政策”栏目，将民政相关政策认真梳理，形成专题，方便群众查询和理解，内容涵盖：</w:t>
      </w:r>
      <w:proofErr w:type="gramStart"/>
      <w:r>
        <w:rPr>
          <w:rFonts w:ascii="仿宋_GB2312" w:eastAsia="仿宋_GB2312" w:hAnsi="黑体" w:hint="eastAsia"/>
          <w:szCs w:val="32"/>
        </w:rPr>
        <w:t>城乡低保救助</w:t>
      </w:r>
      <w:proofErr w:type="gramEnd"/>
      <w:r>
        <w:rPr>
          <w:rFonts w:ascii="仿宋_GB2312" w:eastAsia="仿宋_GB2312" w:hAnsi="黑体" w:hint="eastAsia"/>
          <w:szCs w:val="32"/>
        </w:rPr>
        <w:t>、特困人员救助、临时救助、经济困难老年人救助、</w:t>
      </w:r>
      <w:proofErr w:type="gramStart"/>
      <w:r>
        <w:rPr>
          <w:rFonts w:ascii="仿宋_GB2312" w:eastAsia="仿宋_GB2312" w:hAnsi="黑体" w:hint="eastAsia"/>
          <w:szCs w:val="32"/>
        </w:rPr>
        <w:t>低保本科</w:t>
      </w:r>
      <w:proofErr w:type="gramEnd"/>
      <w:r>
        <w:rPr>
          <w:rFonts w:ascii="仿宋_GB2312" w:eastAsia="仿宋_GB2312" w:hAnsi="黑体" w:hint="eastAsia"/>
          <w:szCs w:val="32"/>
        </w:rPr>
        <w:t>新生救助、残疾人救助、孤儿生活补贴、惠民殡葬政策等方面内容。二是积极推进数字养老网络建设，建成智慧养老大数据平台，其中的养老监管模块，为养老监管工作持续赋能，让全县</w:t>
      </w:r>
      <w:r>
        <w:rPr>
          <w:rFonts w:ascii="仿宋_GB2312" w:eastAsia="仿宋_GB2312" w:hAnsi="黑体" w:hint="eastAsia"/>
          <w:szCs w:val="32"/>
        </w:rPr>
        <w:t>8</w:t>
      </w:r>
      <w:r>
        <w:rPr>
          <w:rFonts w:ascii="仿宋_GB2312" w:eastAsia="仿宋_GB2312" w:hAnsi="黑体" w:hint="eastAsia"/>
          <w:szCs w:val="32"/>
        </w:rPr>
        <w:t>家养老机构“一屏监管”成为看得见、</w:t>
      </w:r>
      <w:proofErr w:type="gramStart"/>
      <w:r>
        <w:rPr>
          <w:rFonts w:ascii="仿宋_GB2312" w:eastAsia="仿宋_GB2312" w:hAnsi="黑体" w:hint="eastAsia"/>
          <w:szCs w:val="32"/>
        </w:rPr>
        <w:t>有迹循的</w:t>
      </w:r>
      <w:proofErr w:type="gramEnd"/>
      <w:r>
        <w:rPr>
          <w:rFonts w:ascii="仿宋_GB2312" w:eastAsia="仿宋_GB2312" w:hAnsi="黑体" w:hint="eastAsia"/>
          <w:szCs w:val="32"/>
        </w:rPr>
        <w:t>现实。三是积极做好民政部门出台文件和相关政策解读工作</w:t>
      </w:r>
      <w:r>
        <w:rPr>
          <w:rFonts w:ascii="仿宋_GB2312" w:eastAsia="仿宋_GB2312" w:hAnsi="黑体" w:hint="eastAsia"/>
          <w:szCs w:val="32"/>
        </w:rPr>
        <w:t>，依托政务公开专区认真梳理群众关心的热点问题，如养老服务、社会救助、社会组织等方面新出台的政策，采取简明问答、文稿解读和领导干部解读等形式让群众理解的更明白、更透</w:t>
      </w:r>
      <w:r>
        <w:rPr>
          <w:rFonts w:ascii="仿宋_GB2312" w:eastAsia="仿宋_GB2312" w:hAnsi="黑体" w:hint="eastAsia"/>
          <w:szCs w:val="32"/>
        </w:rPr>
        <w:lastRenderedPageBreak/>
        <w:t>彻。</w:t>
      </w:r>
    </w:p>
    <w:p w:rsidR="00963AE0" w:rsidRDefault="00574244">
      <w:pPr>
        <w:ind w:firstLineChars="200" w:firstLine="640"/>
        <w:jc w:val="left"/>
        <w:rPr>
          <w:rFonts w:ascii="楷体_GB2312" w:eastAsia="楷体_GB2312" w:hAnsi="黑体"/>
          <w:szCs w:val="32"/>
        </w:rPr>
      </w:pPr>
      <w:r>
        <w:rPr>
          <w:rFonts w:ascii="楷体_GB2312" w:eastAsia="楷体_GB2312" w:hAnsi="黑体" w:hint="eastAsia"/>
          <w:szCs w:val="32"/>
        </w:rPr>
        <w:t>（五）有关数据统计说明</w:t>
      </w:r>
    </w:p>
    <w:p w:rsidR="00963AE0" w:rsidRDefault="00574244">
      <w:pPr>
        <w:spacing w:line="560" w:lineRule="exact"/>
        <w:ind w:firstLineChars="200" w:firstLine="640"/>
        <w:rPr>
          <w:rFonts w:ascii="仿宋_GB2312" w:eastAsia="仿宋_GB2312" w:hAnsi="黑体"/>
          <w:szCs w:val="32"/>
        </w:rPr>
      </w:pPr>
      <w:r>
        <w:rPr>
          <w:rFonts w:ascii="仿宋_GB2312" w:eastAsia="仿宋_GB2312" w:hAnsi="黑体" w:hint="eastAsia"/>
          <w:szCs w:val="32"/>
        </w:rPr>
        <w:t>1.</w:t>
      </w:r>
      <w:r>
        <w:rPr>
          <w:rFonts w:ascii="仿宋_GB2312" w:eastAsia="仿宋_GB2312" w:hAnsi="黑体" w:hint="eastAsia"/>
          <w:szCs w:val="32"/>
        </w:rPr>
        <w:t>报告中所列数据可能因四舍五入原因与数据直接相加之和存在尾数差异。</w:t>
      </w:r>
    </w:p>
    <w:p w:rsidR="00963AE0" w:rsidRDefault="00574244">
      <w:pPr>
        <w:spacing w:line="560" w:lineRule="exact"/>
        <w:ind w:firstLineChars="200" w:firstLine="640"/>
        <w:rPr>
          <w:rFonts w:ascii="仿宋_GB2312" w:eastAsia="仿宋_GB2312" w:hAnsi="黑体"/>
          <w:szCs w:val="32"/>
        </w:rPr>
      </w:pPr>
      <w:r>
        <w:rPr>
          <w:rFonts w:ascii="仿宋_GB2312" w:eastAsia="仿宋_GB2312" w:hAnsi="黑体" w:hint="eastAsia"/>
          <w:szCs w:val="32"/>
        </w:rPr>
        <w:t>2.</w:t>
      </w:r>
      <w:r>
        <w:rPr>
          <w:rFonts w:ascii="仿宋_GB2312" w:eastAsia="仿宋_GB2312" w:hAnsi="黑体" w:hint="eastAsia"/>
          <w:szCs w:val="32"/>
        </w:rPr>
        <w:t>行政许可数量、行政处罚和行政强制数量，包括已公开和</w:t>
      </w:r>
      <w:proofErr w:type="gramStart"/>
      <w:r>
        <w:rPr>
          <w:rFonts w:ascii="仿宋_GB2312" w:eastAsia="仿宋_GB2312" w:hAnsi="黑体" w:hint="eastAsia"/>
          <w:szCs w:val="32"/>
        </w:rPr>
        <w:t>依法未</w:t>
      </w:r>
      <w:proofErr w:type="gramEnd"/>
      <w:r>
        <w:rPr>
          <w:rFonts w:ascii="仿宋_GB2312" w:eastAsia="仿宋_GB2312" w:hAnsi="黑体" w:hint="eastAsia"/>
          <w:szCs w:val="32"/>
        </w:rPr>
        <w:t>公开的全部处理决定。</w:t>
      </w:r>
    </w:p>
    <w:p w:rsidR="00963AE0" w:rsidRDefault="00574244">
      <w:pPr>
        <w:spacing w:line="560" w:lineRule="exact"/>
        <w:ind w:firstLineChars="200" w:firstLine="640"/>
        <w:rPr>
          <w:rFonts w:ascii="黑体" w:eastAsia="黑体" w:hAnsi="黑体"/>
          <w:szCs w:val="32"/>
        </w:rPr>
      </w:pPr>
      <w:r>
        <w:rPr>
          <w:rFonts w:ascii="仿宋_GB2312" w:eastAsia="仿宋_GB2312" w:hAnsi="黑体" w:hint="eastAsia"/>
          <w:szCs w:val="32"/>
        </w:rPr>
        <w:t>3.</w:t>
      </w:r>
      <w:r>
        <w:rPr>
          <w:rFonts w:ascii="仿宋_GB2312" w:eastAsia="仿宋_GB2312" w:hAnsi="黑体" w:hint="eastAsia"/>
          <w:szCs w:val="32"/>
        </w:rPr>
        <w:t>行政复议机关作为共同被告的行政诉讼案件，只计算</w:t>
      </w:r>
      <w:proofErr w:type="gramStart"/>
      <w:r>
        <w:rPr>
          <w:rFonts w:ascii="仿宋_GB2312" w:eastAsia="仿宋_GB2312" w:hAnsi="黑体" w:hint="eastAsia"/>
          <w:szCs w:val="32"/>
        </w:rPr>
        <w:t>原行为</w:t>
      </w:r>
      <w:proofErr w:type="gramEnd"/>
      <w:r>
        <w:rPr>
          <w:rFonts w:ascii="仿宋_GB2312" w:eastAsia="仿宋_GB2312" w:hAnsi="黑体" w:hint="eastAsia"/>
          <w:szCs w:val="32"/>
        </w:rPr>
        <w:t>主体的案件数量，不计算行政复议机关的案件数量。</w:t>
      </w:r>
    </w:p>
    <w:sectPr w:rsidR="00963A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244" w:rsidRDefault="00574244">
      <w:pPr>
        <w:spacing w:line="240" w:lineRule="auto"/>
      </w:pPr>
      <w:r>
        <w:separator/>
      </w:r>
    </w:p>
  </w:endnote>
  <w:endnote w:type="continuationSeparator" w:id="0">
    <w:p w:rsidR="00574244" w:rsidRDefault="00574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auto"/>
    <w:pitch w:val="default"/>
    <w:sig w:usb0="00000000" w:usb1="00000000"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244" w:rsidRDefault="00574244">
      <w:pPr>
        <w:spacing w:line="240" w:lineRule="auto"/>
      </w:pPr>
      <w:r>
        <w:separator/>
      </w:r>
    </w:p>
  </w:footnote>
  <w:footnote w:type="continuationSeparator" w:id="0">
    <w:p w:rsidR="00574244" w:rsidRDefault="005742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E70B7"/>
    <w:multiLevelType w:val="singleLevel"/>
    <w:tmpl w:val="117E70B7"/>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ZTk5ZGZlM2I3N2EzMGQyMWM3ZDY3MGZiZTMzODkifQ=="/>
    <w:docVar w:name="KSO_WPS_MARK_KEY" w:val="2181e859-ba99-4e57-8fae-5073a5b7d439"/>
  </w:docVars>
  <w:rsids>
    <w:rsidRoot w:val="002E3543"/>
    <w:rsid w:val="000164E6"/>
    <w:rsid w:val="00024945"/>
    <w:rsid w:val="00110130"/>
    <w:rsid w:val="00117733"/>
    <w:rsid w:val="00121DCF"/>
    <w:rsid w:val="00211942"/>
    <w:rsid w:val="002133C7"/>
    <w:rsid w:val="00231B31"/>
    <w:rsid w:val="002E3543"/>
    <w:rsid w:val="003B5255"/>
    <w:rsid w:val="003E75A6"/>
    <w:rsid w:val="00415AB1"/>
    <w:rsid w:val="004622F8"/>
    <w:rsid w:val="004B2BCB"/>
    <w:rsid w:val="004C1750"/>
    <w:rsid w:val="00515DB1"/>
    <w:rsid w:val="00523855"/>
    <w:rsid w:val="00574244"/>
    <w:rsid w:val="00591E5D"/>
    <w:rsid w:val="005C0F41"/>
    <w:rsid w:val="0065765D"/>
    <w:rsid w:val="00673AC7"/>
    <w:rsid w:val="00704FCD"/>
    <w:rsid w:val="008C4ED2"/>
    <w:rsid w:val="00963AE0"/>
    <w:rsid w:val="009B028C"/>
    <w:rsid w:val="00B52357"/>
    <w:rsid w:val="00C542CC"/>
    <w:rsid w:val="00C67940"/>
    <w:rsid w:val="00C73BD0"/>
    <w:rsid w:val="00CC2BE7"/>
    <w:rsid w:val="00CC521B"/>
    <w:rsid w:val="00CD1D00"/>
    <w:rsid w:val="00EA0721"/>
    <w:rsid w:val="00EF5607"/>
    <w:rsid w:val="00FA216A"/>
    <w:rsid w:val="00FC6881"/>
    <w:rsid w:val="00FD5381"/>
    <w:rsid w:val="029307AF"/>
    <w:rsid w:val="04F73278"/>
    <w:rsid w:val="06B86A37"/>
    <w:rsid w:val="07754928"/>
    <w:rsid w:val="080906FB"/>
    <w:rsid w:val="0A00672A"/>
    <w:rsid w:val="0A522CFE"/>
    <w:rsid w:val="0B9F6417"/>
    <w:rsid w:val="0F7548C8"/>
    <w:rsid w:val="1045133B"/>
    <w:rsid w:val="11C742E6"/>
    <w:rsid w:val="121B538A"/>
    <w:rsid w:val="13196AAF"/>
    <w:rsid w:val="146B333A"/>
    <w:rsid w:val="16C531D6"/>
    <w:rsid w:val="17EA0A1A"/>
    <w:rsid w:val="19054107"/>
    <w:rsid w:val="19962C07"/>
    <w:rsid w:val="1E54045A"/>
    <w:rsid w:val="213C22E6"/>
    <w:rsid w:val="21717AB6"/>
    <w:rsid w:val="226F2881"/>
    <w:rsid w:val="23377209"/>
    <w:rsid w:val="23B56380"/>
    <w:rsid w:val="25665B84"/>
    <w:rsid w:val="272F01F7"/>
    <w:rsid w:val="279C3FA0"/>
    <w:rsid w:val="27B32BD6"/>
    <w:rsid w:val="27CC3C98"/>
    <w:rsid w:val="286A598B"/>
    <w:rsid w:val="2895052E"/>
    <w:rsid w:val="28E05C4D"/>
    <w:rsid w:val="2AEF03C9"/>
    <w:rsid w:val="2B0B4AD7"/>
    <w:rsid w:val="2B966A97"/>
    <w:rsid w:val="2BE30CED"/>
    <w:rsid w:val="2C4464F3"/>
    <w:rsid w:val="2C4E7372"/>
    <w:rsid w:val="2D4D13D7"/>
    <w:rsid w:val="2DDC5DE6"/>
    <w:rsid w:val="2E424CB4"/>
    <w:rsid w:val="2EBD258D"/>
    <w:rsid w:val="30534F57"/>
    <w:rsid w:val="31DD5420"/>
    <w:rsid w:val="3207424B"/>
    <w:rsid w:val="33F00D0E"/>
    <w:rsid w:val="348002E4"/>
    <w:rsid w:val="37070849"/>
    <w:rsid w:val="3715740A"/>
    <w:rsid w:val="382A0C93"/>
    <w:rsid w:val="38606463"/>
    <w:rsid w:val="38C033A5"/>
    <w:rsid w:val="3986014B"/>
    <w:rsid w:val="39BF540B"/>
    <w:rsid w:val="39D8471E"/>
    <w:rsid w:val="3B6C15C2"/>
    <w:rsid w:val="3C6504EB"/>
    <w:rsid w:val="3CED04E1"/>
    <w:rsid w:val="3F8E1B07"/>
    <w:rsid w:val="3FAE03FB"/>
    <w:rsid w:val="40953E7A"/>
    <w:rsid w:val="40997240"/>
    <w:rsid w:val="41C061C4"/>
    <w:rsid w:val="42274495"/>
    <w:rsid w:val="4565155C"/>
    <w:rsid w:val="4594599D"/>
    <w:rsid w:val="471825FE"/>
    <w:rsid w:val="47413903"/>
    <w:rsid w:val="48F52BF7"/>
    <w:rsid w:val="4A6D4A0F"/>
    <w:rsid w:val="4AA91EEB"/>
    <w:rsid w:val="4B1D6435"/>
    <w:rsid w:val="4B3F5169"/>
    <w:rsid w:val="4CCA6149"/>
    <w:rsid w:val="4DF07E31"/>
    <w:rsid w:val="4E9904C8"/>
    <w:rsid w:val="4EE31744"/>
    <w:rsid w:val="4F9F38BD"/>
    <w:rsid w:val="4FF43C08"/>
    <w:rsid w:val="503F29AA"/>
    <w:rsid w:val="504A7CCC"/>
    <w:rsid w:val="52067C23"/>
    <w:rsid w:val="54996B2C"/>
    <w:rsid w:val="55256612"/>
    <w:rsid w:val="55C20305"/>
    <w:rsid w:val="578515EA"/>
    <w:rsid w:val="592310BA"/>
    <w:rsid w:val="596040BD"/>
    <w:rsid w:val="5A186745"/>
    <w:rsid w:val="5A1B6236"/>
    <w:rsid w:val="5AAE0E58"/>
    <w:rsid w:val="5BB4249E"/>
    <w:rsid w:val="5C82259C"/>
    <w:rsid w:val="5CE9261B"/>
    <w:rsid w:val="5CEC5C67"/>
    <w:rsid w:val="5EFC6636"/>
    <w:rsid w:val="5F2E07B9"/>
    <w:rsid w:val="5F553F98"/>
    <w:rsid w:val="5F61293D"/>
    <w:rsid w:val="5F7563E8"/>
    <w:rsid w:val="5FA10F8B"/>
    <w:rsid w:val="609C19A5"/>
    <w:rsid w:val="611918F2"/>
    <w:rsid w:val="61A84853"/>
    <w:rsid w:val="61BA6334"/>
    <w:rsid w:val="65183A9D"/>
    <w:rsid w:val="666A657B"/>
    <w:rsid w:val="678E6299"/>
    <w:rsid w:val="69873F24"/>
    <w:rsid w:val="6A0A5658"/>
    <w:rsid w:val="6A2353BE"/>
    <w:rsid w:val="6AE44AD1"/>
    <w:rsid w:val="6C2471CC"/>
    <w:rsid w:val="6D3671B7"/>
    <w:rsid w:val="6DD62748"/>
    <w:rsid w:val="6ED547AD"/>
    <w:rsid w:val="6F347726"/>
    <w:rsid w:val="70A72179"/>
    <w:rsid w:val="73A225CD"/>
    <w:rsid w:val="749D5D6D"/>
    <w:rsid w:val="7610393E"/>
    <w:rsid w:val="7A0D74F1"/>
    <w:rsid w:val="7A8C48BA"/>
    <w:rsid w:val="7AD84D8E"/>
    <w:rsid w:val="7B6770D5"/>
    <w:rsid w:val="7B737828"/>
    <w:rsid w:val="7EE35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 w:type="paragraph" w:styleId="a6">
    <w:name w:val="Balloon Text"/>
    <w:basedOn w:val="a"/>
    <w:link w:val="Char1"/>
    <w:uiPriority w:val="99"/>
    <w:semiHidden/>
    <w:unhideWhenUsed/>
    <w:rsid w:val="004B2BCB"/>
    <w:pPr>
      <w:spacing w:line="240" w:lineRule="auto"/>
    </w:pPr>
    <w:rPr>
      <w:sz w:val="18"/>
      <w:szCs w:val="18"/>
    </w:rPr>
  </w:style>
  <w:style w:type="character" w:customStyle="1" w:styleId="Char1">
    <w:name w:val="批注框文本 Char"/>
    <w:basedOn w:val="a0"/>
    <w:link w:val="a6"/>
    <w:uiPriority w:val="99"/>
    <w:semiHidden/>
    <w:rsid w:val="004B2BCB"/>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qFormat/>
    <w:rPr>
      <w:rFonts w:ascii="Times New Roman" w:eastAsia="方正仿宋_GBK" w:hAnsi="Times New Roman" w:cs="Times New Roman"/>
      <w:snapToGrid w:val="0"/>
      <w:kern w:val="0"/>
      <w:sz w:val="18"/>
      <w:szCs w:val="18"/>
    </w:rPr>
  </w:style>
  <w:style w:type="paragraph" w:styleId="a6">
    <w:name w:val="Balloon Text"/>
    <w:basedOn w:val="a"/>
    <w:link w:val="Char1"/>
    <w:uiPriority w:val="99"/>
    <w:semiHidden/>
    <w:unhideWhenUsed/>
    <w:rsid w:val="004B2BCB"/>
    <w:pPr>
      <w:spacing w:line="240" w:lineRule="auto"/>
    </w:pPr>
    <w:rPr>
      <w:sz w:val="18"/>
      <w:szCs w:val="18"/>
    </w:rPr>
  </w:style>
  <w:style w:type="character" w:customStyle="1" w:styleId="Char1">
    <w:name w:val="批注框文本 Char"/>
    <w:basedOn w:val="a0"/>
    <w:link w:val="a6"/>
    <w:uiPriority w:val="99"/>
    <w:semiHidden/>
    <w:rsid w:val="004B2BCB"/>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10</Pages>
  <Words>666</Words>
  <Characters>3800</Characters>
  <Application>Microsoft Office Word</Application>
  <DocSecurity>0</DocSecurity>
  <Lines>31</Lines>
  <Paragraphs>8</Paragraphs>
  <ScaleCrop>false</ScaleCrop>
  <Company>gq</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17</cp:revision>
  <dcterms:created xsi:type="dcterms:W3CDTF">2022-01-02T01:04:00Z</dcterms:created>
  <dcterms:modified xsi:type="dcterms:W3CDTF">2023-01-14T09:05:00Z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98AF74874C4A42CBB325FBEBEE1E4FD8</vt:lpwstr>
  </property>
</Properties>
</file>