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</w:p>
    <w:p>
      <w:pPr>
        <w:jc w:val="both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t>《</w:t>
      </w:r>
      <w:r>
        <w:rPr>
          <w:rFonts w:hint="eastAsia"/>
          <w:b/>
          <w:bCs/>
          <w:sz w:val="36"/>
          <w:szCs w:val="36"/>
        </w:rPr>
        <w:t>2022年高青县玉米重大病虫害综合防控实施方案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政策解读</w:t>
      </w:r>
    </w:p>
    <w:p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</w:p>
    <w:p>
      <w:pPr>
        <w:ind w:firstLine="640" w:firstLineChars="200"/>
        <w:jc w:val="both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1日</w:t>
      </w:r>
      <w:r>
        <w:rPr>
          <w:rFonts w:hint="eastAsia" w:ascii="仿宋_GB2312" w:eastAsia="仿宋_GB2312" w:hAnsiTheme="minorEastAsia"/>
          <w:sz w:val="32"/>
          <w:szCs w:val="32"/>
        </w:rPr>
        <w:t>，高青县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农业农村局</w:t>
      </w:r>
      <w:r>
        <w:rPr>
          <w:rFonts w:hint="eastAsia" w:ascii="仿宋_GB2312" w:eastAsia="仿宋_GB2312" w:hAnsiTheme="minorEastAsia"/>
          <w:sz w:val="32"/>
          <w:szCs w:val="32"/>
        </w:rPr>
        <w:t>印发了《2022年高青县玉米重大病虫害综合防控实施方案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》</w:t>
      </w:r>
      <w:r>
        <w:rPr>
          <w:rFonts w:hint="eastAsia" w:ascii="仿宋_GB2312" w:eastAsia="仿宋_GB2312" w:hAnsiTheme="minorEastAsia"/>
          <w:sz w:val="32"/>
          <w:szCs w:val="32"/>
        </w:rPr>
        <w:t>（高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农</w:t>
      </w:r>
      <w:r>
        <w:rPr>
          <w:rFonts w:hint="eastAsia" w:ascii="仿宋_GB2312" w:eastAsia="仿宋_GB2312" w:hAnsiTheme="minorEastAsia"/>
          <w:sz w:val="32"/>
          <w:szCs w:val="32"/>
        </w:rPr>
        <w:t>字〔202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EastAsia"/>
          <w:sz w:val="32"/>
          <w:szCs w:val="32"/>
        </w:rPr>
        <w:t>〕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hAnsiTheme="minorEastAsia"/>
          <w:sz w:val="32"/>
          <w:szCs w:val="32"/>
        </w:rPr>
        <w:t>号），现就有关情况解读如下：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一、政策背景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2022年7月15日，</w:t>
      </w:r>
      <w:r>
        <w:rPr>
          <w:rFonts w:hint="eastAsia" w:ascii="仿宋" w:hAnsi="仿宋" w:eastAsia="仿宋"/>
          <w:sz w:val="32"/>
          <w:szCs w:val="32"/>
        </w:rPr>
        <w:t>山东省财政厅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印发</w:t>
      </w:r>
      <w:r>
        <w:rPr>
          <w:rFonts w:hint="eastAsia" w:ascii="仿宋" w:hAnsi="仿宋" w:eastAsia="仿宋"/>
          <w:sz w:val="32"/>
          <w:szCs w:val="32"/>
        </w:rPr>
        <w:t>《山东省财政厅关于下达2022年乡村振兴重大专项资金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中央财政补助）预算指标的通知》鲁财农整指〔2022〕27号文件，为认真贯彻落实通知要求，根据省农业农村厅、市农业农村局的要求，起草了《2022年高青县玉米重大病虫害综合防控实施方案》（高农字〔2022〕69号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二、决策依据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《山东省财政厅关于下达2022年乡村振兴重大专项资金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（中央财政补助）预算指标的通知》鲁财农整指〔2022〕27号。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三、出台目的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玉米是一种重要的粮食作物，我县作为粮食大县，对玉米重大病虫害实施统防统治，提高粮食产量，</w:t>
      </w:r>
      <w:r>
        <w:rPr>
          <w:rFonts w:hint="eastAsia" w:ascii="仿宋" w:hAnsi="仿宋" w:eastAsia="仿宋"/>
          <w:sz w:val="32"/>
          <w:szCs w:val="32"/>
        </w:rPr>
        <w:t>推动农业绿色高质量发展，加快乡村振兴，具有重要意义。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四、重要举措</w:t>
      </w:r>
    </w:p>
    <w:p>
      <w:pPr>
        <w:spacing w:line="540" w:lineRule="exact"/>
        <w:ind w:firstLine="600" w:firstLineChars="200"/>
        <w:rPr>
          <w:rFonts w:hint="eastAsia" w:ascii="仿宋_GB2312" w:eastAsia="仿宋_GB2312" w:hAnsiTheme="minorEastAsia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重要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内容</w:t>
      </w:r>
      <w:r>
        <w:rPr>
          <w:rFonts w:hint="eastAsia" w:ascii="仿宋_GB2312" w:eastAsia="仿宋_GB2312" w:hAnsiTheme="minorEastAsia"/>
          <w:sz w:val="30"/>
          <w:szCs w:val="30"/>
        </w:rPr>
        <w:t>有</w:t>
      </w:r>
      <w:r>
        <w:rPr>
          <w:rFonts w:hint="eastAsia" w:ascii="仿宋_GB2312" w:eastAsia="仿宋_GB2312" w:hAnsiTheme="minorEastAsia"/>
          <w:sz w:val="30"/>
          <w:szCs w:val="30"/>
          <w:lang w:val="en-US" w:eastAsia="zh-CN"/>
        </w:rPr>
        <w:t>两</w:t>
      </w:r>
      <w:r>
        <w:rPr>
          <w:rFonts w:hint="eastAsia" w:ascii="仿宋_GB2312" w:eastAsia="仿宋_GB2312" w:hAnsiTheme="minorEastAsia"/>
          <w:sz w:val="30"/>
          <w:szCs w:val="30"/>
        </w:rPr>
        <w:t>部分：</w:t>
      </w:r>
    </w:p>
    <w:p>
      <w:pPr>
        <w:numPr>
          <w:ilvl w:val="0"/>
          <w:numId w:val="1"/>
        </w:numPr>
        <w:spacing w:line="540" w:lineRule="exact"/>
        <w:ind w:left="30" w:leftChars="0" w:firstLine="600" w:firstLineChars="0"/>
        <w:rPr>
          <w:rFonts w:hint="eastAsia" w:ascii="仿宋_GB2312" w:eastAsia="仿宋_GB2312" w:hAnsi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在全县实施玉米病虫害统防统治1.8万亩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重点推广应用高效、低毒、低残留农药原则，结合专家推荐和本县实际，确定玉米病虫害统防统治喷施氯虫苯甲酰胺(20%乳油,用量5ml/亩)。集中连片500亩以上。玉米虫害统防统治镇办分配面积，</w:t>
      </w:r>
      <w:r>
        <w:rPr>
          <w:rFonts w:ascii="Times New Roman" w:hAnsi="Times New Roman" w:eastAsia="仿宋_GB2312" w:cs="Times New Roman"/>
          <w:sz w:val="32"/>
          <w:szCs w:val="32"/>
        </w:rPr>
        <w:t>田镇街道</w:t>
      </w:r>
      <w:r>
        <w:rPr>
          <w:rFonts w:hint="eastAsia" w:ascii="Times New Roman" w:hAnsi="Times New Roman" w:cs="Times New Roman"/>
          <w:sz w:val="32"/>
          <w:szCs w:val="32"/>
        </w:rPr>
        <w:t>1500</w:t>
      </w:r>
      <w:r>
        <w:rPr>
          <w:rFonts w:ascii="Times New Roman" w:hAnsi="Times New Roman" w:eastAsia="仿宋_GB2312" w:cs="Times New Roman"/>
          <w:sz w:val="32"/>
          <w:szCs w:val="32"/>
        </w:rPr>
        <w:t>亩、芦湖街道</w:t>
      </w:r>
      <w:r>
        <w:rPr>
          <w:rFonts w:hint="eastAsia" w:ascii="Times New Roman" w:hAnsi="Times New Roman" w:cs="Times New Roman"/>
          <w:sz w:val="32"/>
          <w:szCs w:val="32"/>
        </w:rPr>
        <w:t>1500</w:t>
      </w:r>
      <w:r>
        <w:rPr>
          <w:rFonts w:ascii="Times New Roman" w:hAnsi="Times New Roman" w:eastAsia="仿宋_GB2312" w:cs="Times New Roman"/>
          <w:sz w:val="32"/>
          <w:szCs w:val="32"/>
        </w:rPr>
        <w:t>亩、青城镇</w:t>
      </w:r>
      <w:r>
        <w:rPr>
          <w:rFonts w:hint="eastAsia" w:ascii="Times New Roman" w:hAnsi="Times New Roman" w:cs="Times New Roman"/>
          <w:sz w:val="32"/>
          <w:szCs w:val="32"/>
        </w:rPr>
        <w:t>2000</w:t>
      </w:r>
      <w:r>
        <w:rPr>
          <w:rFonts w:ascii="Times New Roman" w:hAnsi="Times New Roman" w:eastAsia="仿宋_GB2312" w:cs="Times New Roman"/>
          <w:sz w:val="32"/>
          <w:szCs w:val="32"/>
        </w:rPr>
        <w:t>亩、高城镇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2500</w:t>
      </w:r>
      <w:r>
        <w:rPr>
          <w:rFonts w:ascii="Times New Roman" w:hAnsi="Times New Roman" w:eastAsia="仿宋_GB2312" w:cs="Times New Roman"/>
          <w:sz w:val="32"/>
          <w:szCs w:val="32"/>
        </w:rPr>
        <w:t>亩、黑里寨镇</w:t>
      </w:r>
      <w:r>
        <w:rPr>
          <w:rFonts w:hint="eastAsia" w:ascii="Times New Roman" w:hAnsi="Times New Roman" w:cs="Times New Roman"/>
          <w:sz w:val="32"/>
          <w:szCs w:val="32"/>
        </w:rPr>
        <w:t>2500</w:t>
      </w:r>
      <w:r>
        <w:rPr>
          <w:rFonts w:ascii="Times New Roman" w:hAnsi="Times New Roman" w:eastAsia="仿宋_GB2312" w:cs="Times New Roman"/>
          <w:sz w:val="32"/>
          <w:szCs w:val="32"/>
        </w:rPr>
        <w:t>亩、唐坊镇</w:t>
      </w:r>
      <w:r>
        <w:rPr>
          <w:rFonts w:hint="eastAsia" w:ascii="Times New Roman" w:hAnsi="Times New Roman" w:cs="Times New Roman"/>
          <w:sz w:val="32"/>
          <w:szCs w:val="32"/>
        </w:rPr>
        <w:t>2000</w:t>
      </w:r>
      <w:r>
        <w:rPr>
          <w:rFonts w:ascii="Times New Roman" w:hAnsi="Times New Roman" w:eastAsia="仿宋_GB2312" w:cs="Times New Roman"/>
          <w:sz w:val="32"/>
          <w:szCs w:val="32"/>
        </w:rPr>
        <w:t>亩、常家镇</w:t>
      </w:r>
      <w:r>
        <w:rPr>
          <w:rFonts w:hint="eastAsia" w:ascii="Times New Roman" w:hAnsi="Times New Roman" w:cs="Times New Roman"/>
          <w:sz w:val="32"/>
          <w:szCs w:val="32"/>
        </w:rPr>
        <w:t>1500</w:t>
      </w:r>
      <w:r>
        <w:rPr>
          <w:rFonts w:ascii="Times New Roman" w:hAnsi="Times New Roman" w:eastAsia="仿宋_GB2312" w:cs="Times New Roman"/>
          <w:sz w:val="32"/>
          <w:szCs w:val="32"/>
        </w:rPr>
        <w:t>亩，花沟镇</w:t>
      </w:r>
      <w:r>
        <w:rPr>
          <w:rFonts w:hint="eastAsia" w:ascii="Times New Roman" w:hAnsi="Times New Roman" w:cs="Times New Roman"/>
          <w:sz w:val="32"/>
          <w:szCs w:val="32"/>
        </w:rPr>
        <w:t>3000</w:t>
      </w:r>
      <w:r>
        <w:rPr>
          <w:rFonts w:ascii="Times New Roman" w:hAnsi="Times New Roman" w:eastAsia="仿宋_GB2312" w:cs="Times New Roman"/>
          <w:sz w:val="32"/>
          <w:szCs w:val="32"/>
        </w:rPr>
        <w:t>亩、木李镇</w:t>
      </w:r>
      <w:r>
        <w:rPr>
          <w:rFonts w:hint="eastAsia" w:ascii="Times New Roman" w:hAnsi="Times New Roman" w:cs="Times New Roman"/>
          <w:sz w:val="32"/>
          <w:szCs w:val="32"/>
        </w:rPr>
        <w:t>1500</w:t>
      </w:r>
      <w:r>
        <w:rPr>
          <w:rFonts w:ascii="Times New Roman" w:hAnsi="Times New Roman" w:eastAsia="仿宋_GB2312" w:cs="Times New Roman"/>
          <w:sz w:val="32"/>
          <w:szCs w:val="32"/>
        </w:rPr>
        <w:t>亩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水稻（玉米）绿色防控1000亩，其中常家镇500亩，芦湖街道500亩。</w:t>
      </w:r>
      <w:r>
        <w:rPr>
          <w:rFonts w:ascii="仿宋" w:hAnsi="仿宋" w:eastAsia="仿宋" w:cs="Times New Roman"/>
          <w:sz w:val="32"/>
          <w:szCs w:val="32"/>
        </w:rPr>
        <w:t>各镇（街道）作业面积因农户自己喷药等原因不能找到作业面积的可动态调整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水稻（玉米）绿色防控0.1万亩。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水稻（玉米）绿色防控选用赤眼蜂，放蜂两次，时间安排9月上旬2次，两次间隔时间5天。       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玉米病虫害综合防控：根据当前农业生产的需求,从农业生产全局和生态系统的观点出发,针对多种病害、多种虫害进行综合治理。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、政策解读单位及联系方式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政策解读单位：高青县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农业农村</w:t>
      </w:r>
      <w:r>
        <w:rPr>
          <w:rFonts w:hint="eastAsia" w:ascii="仿宋_GB2312" w:eastAsia="仿宋_GB2312" w:hAnsiTheme="minorEastAsia"/>
          <w:sz w:val="32"/>
          <w:szCs w:val="32"/>
        </w:rPr>
        <w:t>局</w:t>
      </w:r>
    </w:p>
    <w:p>
      <w:pPr>
        <w:spacing w:line="560" w:lineRule="exact"/>
        <w:ind w:firstLine="640" w:firstLineChars="200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解读人：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孙立新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sz w:val="32"/>
          <w:szCs w:val="32"/>
        </w:rPr>
        <w:t>联系方式：0533-696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7169</w:t>
      </w:r>
    </w:p>
    <w:p/>
    <w:sectPr>
      <w:pgSz w:w="11906" w:h="16838"/>
      <w:pgMar w:top="1213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D845F"/>
    <w:multiLevelType w:val="singleLevel"/>
    <w:tmpl w:val="C2DD845F"/>
    <w:lvl w:ilvl="0" w:tentative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YWQzNmYxZWU4N2YyODAwNWM2OTU4YzA3NGE0YTIifQ=="/>
  </w:docVars>
  <w:rsids>
    <w:rsidRoot w:val="6C8D1A21"/>
    <w:rsid w:val="1A0D2FF0"/>
    <w:rsid w:val="2BCF42AD"/>
    <w:rsid w:val="3D0E3992"/>
    <w:rsid w:val="495C45B6"/>
    <w:rsid w:val="5AFC0C70"/>
    <w:rsid w:val="68331CA7"/>
    <w:rsid w:val="6C8D1A21"/>
    <w:rsid w:val="6E4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1027</Characters>
  <Lines>0</Lines>
  <Paragraphs>0</Paragraphs>
  <TotalTime>3</TotalTime>
  <ScaleCrop>false</ScaleCrop>
  <LinksUpToDate>false</LinksUpToDate>
  <CharactersWithSpaces>1034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2022-02-23T00:57:00Z</dcterms:created>
  <dc:creator>潇墨</dc:creator>
  <cp:lastModifiedBy>Administrator</cp:lastModifiedBy>
  <dcterms:modified xsi:type="dcterms:W3CDTF">2022-12-15T03:26:02Z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AD29CFD3987E4A6C986EFE0A40C55C71</vt:lpwstr>
  </property>
</Properties>
</file>