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80" w:leftChars="343" w:hanging="960" w:hangingChars="3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                                      （A类）</w:t>
      </w:r>
    </w:p>
    <w:p>
      <w:pPr>
        <w:ind w:left="1684" w:leftChars="343" w:hanging="964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left="1684" w:leftChars="343" w:hanging="964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left="1684" w:leftChars="343" w:hanging="964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1684" w:leftChars="343" w:hanging="964" w:hangingChars="300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firstLine="320" w:firstLineChars="100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高农字〔2021〕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号                   签发人：苗光勇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w w:val="100"/>
          <w:sz w:val="40"/>
          <w:szCs w:val="40"/>
        </w:rPr>
        <w:t>对县十七届人大</w:t>
      </w:r>
      <w:r>
        <w:rPr>
          <w:rFonts w:hint="default" w:ascii="Times New Roman" w:hAnsi="Times New Roman" w:eastAsia="方正小标宋简体" w:cs="Times New Roman"/>
          <w:w w:val="100"/>
          <w:sz w:val="40"/>
          <w:szCs w:val="40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w w:val="100"/>
          <w:sz w:val="40"/>
          <w:szCs w:val="40"/>
        </w:rPr>
        <w:t>次会议第</w:t>
      </w:r>
      <w:r>
        <w:rPr>
          <w:rFonts w:hint="default" w:ascii="Times New Roman" w:hAnsi="Times New Roman" w:eastAsia="方正小标宋简体" w:cs="Times New Roman"/>
          <w:w w:val="100"/>
          <w:sz w:val="40"/>
          <w:szCs w:val="40"/>
          <w:lang w:val="en-US" w:eastAsia="zh-CN"/>
        </w:rPr>
        <w:t>17</w:t>
      </w:r>
      <w:r>
        <w:rPr>
          <w:rFonts w:hint="default" w:ascii="Times New Roman" w:hAnsi="Times New Roman" w:eastAsia="方正小标宋简体" w:cs="Times New Roman"/>
          <w:w w:val="100"/>
          <w:sz w:val="40"/>
          <w:szCs w:val="40"/>
        </w:rPr>
        <w:t>号建议的答复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穆立华、闫华代表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花沟镇关于加强村党组织领办合作社扶持力度的建议提案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收悉，现答复如下：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全县各行政村积极成立党组织领办合作社。目前，从数量上看已实现行政村全覆盖，从发展质量和规模上看还存在一些问题。结合工作实际，我局将从以下五个方面入手，做好指导和扶持工作，推进我县党组织领办合作社发展壮大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加快科技成果研发应用。支持各级农业科技人员和镇（街道）事业单位专业技术人员带技术、带项目入股村党组织领办合作社或开展合作经营；加强与农业院校、科研机构的合作，在有条件的村党组织领办合作社建设科研基地、工作站，共同开展新技术、新品种科研攻关和应用推广，保障合作社科学发展，提档升级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协助拓宽销售渠道。积极搭建电商平台与村党组织领办合作社的合作渠道，将合作社农产品纳入销售范围。引导村党组织领办合作社与龙头企业、深加工企业、大型商超等合作，发展订单农业，签订农产品购销合同，为农产品销售提供便捷途径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强化品牌建设。引导村党组织领办合作社发展特色农产品品牌，建立农产品质量可追溯体系，积极申请“三品一标”认证，增强品牌竞争力。开展“村党组织领办合作社十佳合作社”评选，扩大品牌知名度和影响力。重点推荐党组织领办合作社村参加国家级、省级“一村一品”示范村申报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搭建农业社会化服务平台。依托村党组织领办合作社与中化MAP合作，为村集体和农户提供全程社会化服务，提升土地效益，增加集体收入。指导镇（街道）选择部分行政村开展“三变五合”试点，实现适度规模经营，努力扩大农业社会化服务面积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加大财政支持力度。加大财政涉农资金统筹整合力度，将省、市、县三级涉农资金全部纳入统筹整合范围，打造以“高青黑牛”“高青大米”等主导产业为核心的涉农资金整合载体，支持村级集体经济发展。在不违反政策法规前提下，各级财政资金项目优先安排村集体领办、入股、参股的经营主体承担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高青县农业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（联系单位：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县农业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局，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韩凤云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6959615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（依申请公开）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抄送：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县政府办公室，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县政协提案委员会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A1179"/>
    <w:rsid w:val="11172D00"/>
    <w:rsid w:val="14754C60"/>
    <w:rsid w:val="19220650"/>
    <w:rsid w:val="1C4C5DE5"/>
    <w:rsid w:val="330D3985"/>
    <w:rsid w:val="35831497"/>
    <w:rsid w:val="39FC0BAA"/>
    <w:rsid w:val="43ED5649"/>
    <w:rsid w:val="44AD48CC"/>
    <w:rsid w:val="4C017723"/>
    <w:rsid w:val="4EBE390A"/>
    <w:rsid w:val="5CD15A43"/>
    <w:rsid w:val="64227CFB"/>
    <w:rsid w:val="65322B20"/>
    <w:rsid w:val="66BC73B3"/>
    <w:rsid w:val="704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政务网</cp:lastModifiedBy>
  <cp:lastPrinted>2021-05-30T07:30:27Z</cp:lastPrinted>
  <dcterms:modified xsi:type="dcterms:W3CDTF">2021-05-30T07:31:48Z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