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1D08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附件8</w:t>
      </w:r>
    </w:p>
    <w:p w14:paraId="4B7E18D6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7ED133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牛结节性皮肤病免疫技术方案</w:t>
      </w:r>
    </w:p>
    <w:bookmarkEnd w:id="0"/>
    <w:p w14:paraId="5C5A90DE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BC71A7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一、免疫要求</w:t>
      </w:r>
    </w:p>
    <w:p w14:paraId="2CBAA4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根据养殖场实际情况和辖区内疫情状况进行牛结节性皮肤病免疫。</w:t>
      </w:r>
    </w:p>
    <w:p w14:paraId="5980EB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743AA0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采用5倍免疫剂量的山羊痘疫苗，对2月龄以上牛进行免疫，一年免疫一次。</w:t>
      </w:r>
    </w:p>
    <w:p w14:paraId="1936896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218A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选择使用山羊痘活疫苗，疫苗产品信息可在中国兽药信息网“国家兽药基础信息查询”平台“兽药产品批准文号数据”中查询。</w:t>
      </w:r>
    </w:p>
    <w:p w14:paraId="1E99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706913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3CAEE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7300"/>
    <w:rsid w:val="5BE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2025-03-13T06:53:00Z</dcterms:created>
  <dc:creator>嘿小瘦子</dc:creator>
  <cp:lastModifiedBy>嘿小瘦子</cp:lastModifiedBy>
  <dcterms:modified xsi:type="dcterms:W3CDTF">2025-03-13T06:54:15Z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2D020EA05B074189B0DB6D2235711734_11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