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5FA07">
      <w:pPr>
        <w:shd w:val="clear" w:color="auto" w:fill="FFFFFF"/>
        <w:spacing w:line="600" w:lineRule="exact"/>
        <w:jc w:val="left"/>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附件2</w:t>
      </w:r>
    </w:p>
    <w:p w14:paraId="6001DFBC">
      <w:pPr>
        <w:shd w:val="clear" w:color="auto" w:fill="FFFFFF"/>
        <w:spacing w:line="600"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bookmarkStart w:id="0" w:name="_GoBack"/>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口蹄疫免疫技术方案</w:t>
      </w:r>
    </w:p>
    <w:bookmarkEnd w:id="0"/>
    <w:p w14:paraId="4CC315A3">
      <w:pPr>
        <w:shd w:val="clear" w:color="auto" w:fill="FFFFFF"/>
        <w:spacing w:line="60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 xml:space="preserve"> </w:t>
      </w:r>
    </w:p>
    <w:p w14:paraId="5C9C93D0">
      <w:pPr>
        <w:keepNext w:val="0"/>
        <w:keepLines w:val="0"/>
        <w:pageBreakBefore w:val="0"/>
        <w:widowControl w:val="0"/>
        <w:shd w:val="clear" w:color="auto" w:fill="FFFFFF"/>
        <w:kinsoku/>
        <w:wordWrap/>
        <w:overflowPunct/>
        <w:topLinePunct w:val="0"/>
        <w:bidi w:val="0"/>
        <w:snapToGrid/>
        <w:spacing w:line="560" w:lineRule="exact"/>
        <w:jc w:val="left"/>
        <w:textAlignment w:val="auto"/>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 xml:space="preserve">   一、免疫要求</w:t>
      </w:r>
    </w:p>
    <w:p w14:paraId="7FF7DBD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所有牛、羊、骆驼、鹿进行O型和A型口蹄疫免疫；对全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所有猪进行O型口蹄疫免疫。确需对猪实施A型口蹄疫免疫的养殖场户，向县级农业农村（畜牧兽医）主管部门申请同意后，可实施免疫。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将结合省级春秋两季集中监测采样调度各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猪A型口蹄疫免疫情况。</w:t>
      </w:r>
    </w:p>
    <w:p w14:paraId="4AA183B8">
      <w:pPr>
        <w:keepNext w:val="0"/>
        <w:keepLines w:val="0"/>
        <w:pageBreakBefore w:val="0"/>
        <w:widowControl w:val="0"/>
        <w:shd w:val="clear" w:color="auto" w:fill="FFFFFF"/>
        <w:kinsoku/>
        <w:wordWrap/>
        <w:overflowPunct/>
        <w:topLinePunct w:val="0"/>
        <w:bidi w:val="0"/>
        <w:snapToGrid/>
        <w:spacing w:line="560" w:lineRule="exact"/>
        <w:ind w:firstLine="640" w:firstLineChars="200"/>
        <w:jc w:val="left"/>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二、推荐免疫程序</w:t>
      </w:r>
    </w:p>
    <w:p w14:paraId="7C05114E">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（一）规模场及专业户</w:t>
      </w:r>
    </w:p>
    <w:p w14:paraId="5C8195EA">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综合考虑母畜免疫情况、幼畜母源抗体水平等因素，确定幼畜初免日龄。如根据母畜免疫次数、母源抗体等差异，仔猪可选择在28～60日龄进行初免，羔羊可在28～35日龄时进行初免，犊牛可在90日龄左右进行初免。所有新生家畜初免后，间隔1个月后进行一次加强免疫，以后每间隔4～6个月再次进行加强免疫。</w:t>
      </w:r>
    </w:p>
    <w:p w14:paraId="043F87D4">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（二）无法参加“先打后补”的专业户及散养户</w:t>
      </w:r>
    </w:p>
    <w:p w14:paraId="06B0B11B">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春秋两季分别进行一次集中免疫，每月定期补免，鼓励有条件的地方实行每年三次集中免疫或参照规模场的免疫程序进行免疫。</w:t>
      </w:r>
    </w:p>
    <w:p w14:paraId="475D0902">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（三）紧急免疫</w:t>
      </w:r>
    </w:p>
    <w:p w14:paraId="7E2E8E8B">
      <w:pPr>
        <w:keepNext w:val="0"/>
        <w:keepLines w:val="0"/>
        <w:pageBreakBefore w:val="0"/>
        <w:widowControl w:val="0"/>
        <w:shd w:val="clear" w:color="auto" w:fill="FFFFFF"/>
        <w:kinsoku/>
        <w:wordWrap/>
        <w:overflowPunct/>
        <w:topLinePunct w:val="0"/>
        <w:bidi w:val="0"/>
        <w:snapToGrid/>
        <w:spacing w:line="560" w:lineRule="exact"/>
        <w:ind w:firstLine="64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发生疫情时，对疫区、受威胁区域内的养殖场户可根据应急监测或风险评估情况开展紧急免疫。</w:t>
      </w:r>
    </w:p>
    <w:p w14:paraId="407AA613">
      <w:pPr>
        <w:keepNext w:val="0"/>
        <w:keepLines w:val="0"/>
        <w:pageBreakBefore w:val="0"/>
        <w:widowControl w:val="0"/>
        <w:shd w:val="clear" w:color="auto" w:fill="FFFFFF"/>
        <w:kinsoku/>
        <w:wordWrap/>
        <w:overflowPunct/>
        <w:topLinePunct w:val="0"/>
        <w:bidi w:val="0"/>
        <w:snapToGrid/>
        <w:spacing w:line="560" w:lineRule="exact"/>
        <w:ind w:firstLine="640" w:firstLineChars="200"/>
        <w:jc w:val="lef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三、疫苗种类</w:t>
      </w:r>
    </w:p>
    <w:p w14:paraId="5052FE6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选择与本地流行毒株抗原性匹配的疫苗。疫苗产品信息 可在中国兽药信息网“国家兽药基础信息查询”平台“兽药</w:t>
      </w:r>
    </w:p>
    <w:p w14:paraId="06CE2574">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产品批准文号数据”中查询。</w:t>
      </w:r>
    </w:p>
    <w:p w14:paraId="5E52C3FA">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四、免疫方法</w:t>
      </w:r>
    </w:p>
    <w:p w14:paraId="38930903">
      <w:pPr>
        <w:keepNext w:val="0"/>
        <w:keepLines w:val="0"/>
        <w:pageBreakBefore w:val="0"/>
        <w:widowControl w:val="0"/>
        <w:shd w:val="clear" w:color="auto" w:fill="FFFFFF"/>
        <w:kinsoku/>
        <w:wordWrap/>
        <w:overflowPunct/>
        <w:topLinePunct w:val="0"/>
        <w:bidi w:val="0"/>
        <w:snapToGrid/>
        <w:spacing w:line="560" w:lineRule="exact"/>
        <w:ind w:firstLine="64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免疫接种方法及剂量按免疫推荐方案、相关产品说明书或者实际需求操作。</w:t>
      </w:r>
    </w:p>
    <w:p w14:paraId="37CCC1B0">
      <w:pPr>
        <w:keepNext w:val="0"/>
        <w:keepLines w:val="0"/>
        <w:pageBreakBefore w:val="0"/>
        <w:widowControl w:val="0"/>
        <w:shd w:val="clear" w:color="auto" w:fill="FFFFFF"/>
        <w:kinsoku/>
        <w:wordWrap/>
        <w:overflowPunct/>
        <w:topLinePunct w:val="0"/>
        <w:bidi w:val="0"/>
        <w:snapToGrid/>
        <w:spacing w:line="560" w:lineRule="exact"/>
        <w:ind w:firstLine="640" w:firstLineChars="200"/>
        <w:jc w:val="left"/>
        <w:textAlignment w:val="auto"/>
        <w:rPr>
          <w:rFonts w:hint="default" w:ascii="Times New Roman" w:hAnsi="Times New Roman"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五、免疫效果监测</w:t>
      </w:r>
    </w:p>
    <w:p w14:paraId="535F9619">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猪免疫28天后，其他家畜21天后，进行免疫效果监测。</w:t>
      </w:r>
    </w:p>
    <w:p w14:paraId="786FE7A1">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（一）检测方法</w:t>
      </w:r>
    </w:p>
    <w:p w14:paraId="08C591F4">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采用GB/T18935-2018《口蹄疫诊断技术》规定的方法进行抗体检测。使用灭活疫苗免疫的，采用液相阻断ELISA、固相竞争ELISA检测免疫抗体；使用合成肽疫苗免疫的，采用VP1结构蛋白ELISA检测免疫抗体。</w:t>
      </w:r>
    </w:p>
    <w:p w14:paraId="341AE045">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（二）采样数量</w:t>
      </w:r>
    </w:p>
    <w:p w14:paraId="225A4AB3">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每个采样场点随机采集样品不少于30份，不足30份的应全采。</w:t>
      </w:r>
      <w:r>
        <w:rPr>
          <w:rFonts w:hint="default" w:ascii="Times New Roman" w:hAnsi="Times New Roman" w:eastAsia="仿宋_GB2312" w:cs="Times New Roman"/>
          <w:color w:val="000000" w:themeColor="text1"/>
          <w:sz w:val="32"/>
          <w:szCs w:val="32"/>
          <w14:textFill>
            <w14:solidFill>
              <w14:schemeClr w14:val="tx1"/>
            </w14:solidFill>
          </w14:textFill>
        </w:rPr>
        <w:t>散养户以一个自然村作为一个监测采样单元。</w:t>
      </w:r>
    </w:p>
    <w:p w14:paraId="7AA90B91">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（三）免疫效果判定</w:t>
      </w:r>
    </w:p>
    <w:p w14:paraId="21B14A56">
      <w:pPr>
        <w:keepNext w:val="0"/>
        <w:keepLines w:val="0"/>
        <w:pageBreakBefore w:val="0"/>
        <w:widowControl w:val="0"/>
        <w:shd w:val="clear" w:color="auto" w:fill="FFFFFF"/>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抗体效价达到以下标准判定为个体免疫合格：</w:t>
      </w:r>
    </w:p>
    <w:p w14:paraId="46624B1B">
      <w:pPr>
        <w:keepNext w:val="0"/>
        <w:keepLines w:val="0"/>
        <w:pageBreakBefore w:val="0"/>
        <w:widowControl w:val="0"/>
        <w:shd w:val="clear" w:color="auto" w:fill="FFFFFF"/>
        <w:kinsoku/>
        <w:wordWrap/>
        <w:overflowPunct/>
        <w:topLinePunct w:val="0"/>
        <w:bidi w:val="0"/>
        <w:snapToGrid/>
        <w:spacing w:line="560" w:lineRule="exact"/>
        <w:ind w:firstLine="64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液相阻断ELISA：牛、羊等反刍动物抗体效价≥2</w:t>
      </w:r>
      <w:r>
        <w:rPr>
          <w:rFonts w:hint="default" w:ascii="Times New Roman" w:hAnsi="Times New Roman" w:eastAsia="仿宋_GB2312" w:cs="Times New Roman"/>
          <w:color w:val="000000" w:themeColor="text1"/>
          <w:kern w:val="0"/>
          <w:sz w:val="32"/>
          <w:szCs w:val="32"/>
          <w:vertAlign w:val="superscript"/>
          <w14:textFill>
            <w14:solidFill>
              <w14:schemeClr w14:val="tx1"/>
            </w14:solidFill>
          </w14:textFill>
        </w:rPr>
        <w:t>7</w:t>
      </w:r>
      <w:r>
        <w:rPr>
          <w:rFonts w:hint="default" w:ascii="Times New Roman" w:hAnsi="Times New Roman" w:eastAsia="仿宋_GB2312" w:cs="Times New Roman"/>
          <w:color w:val="000000" w:themeColor="text1"/>
          <w:kern w:val="0"/>
          <w:sz w:val="32"/>
          <w:szCs w:val="32"/>
          <w14:textFill>
            <w14:solidFill>
              <w14:schemeClr w14:val="tx1"/>
            </w14:solidFill>
          </w14:textFill>
        </w:rPr>
        <w:t>，猪抗体效价≥2</w:t>
      </w:r>
      <w:r>
        <w:rPr>
          <w:rFonts w:hint="default" w:ascii="Times New Roman" w:hAnsi="Times New Roman" w:eastAsia="仿宋_GB2312" w:cs="Times New Roman"/>
          <w:color w:val="000000" w:themeColor="text1"/>
          <w:kern w:val="0"/>
          <w:sz w:val="32"/>
          <w:szCs w:val="32"/>
          <w:vertAlign w:val="superscript"/>
          <w14:textFill>
            <w14:solidFill>
              <w14:schemeClr w14:val="tx1"/>
            </w14:solidFill>
          </w14:textFill>
        </w:rPr>
        <w:t>6</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14:paraId="2898F26E">
      <w:pPr>
        <w:keepNext w:val="0"/>
        <w:keepLines w:val="0"/>
        <w:pageBreakBefore w:val="0"/>
        <w:widowControl w:val="0"/>
        <w:shd w:val="clear" w:color="auto" w:fill="FFFFFF"/>
        <w:kinsoku/>
        <w:wordWrap/>
        <w:overflowPunct/>
        <w:topLinePunct w:val="0"/>
        <w:bidi w:val="0"/>
        <w:snapToGrid/>
        <w:spacing w:line="560" w:lineRule="exact"/>
        <w:ind w:firstLine="64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固相竞争ELISA：抗体效价≥2</w:t>
      </w:r>
      <w:r>
        <w:rPr>
          <w:rFonts w:hint="default" w:ascii="Times New Roman" w:hAnsi="Times New Roman" w:eastAsia="仿宋_GB2312" w:cs="Times New Roman"/>
          <w:color w:val="000000" w:themeColor="text1"/>
          <w:kern w:val="0"/>
          <w:sz w:val="32"/>
          <w:szCs w:val="32"/>
          <w:vertAlign w:val="superscript"/>
          <w14:textFill>
            <w14:solidFill>
              <w14:schemeClr w14:val="tx1"/>
            </w14:solidFill>
          </w14:textFill>
        </w:rPr>
        <w:t>6</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14:paraId="13FCBE9D">
      <w:pPr>
        <w:keepNext w:val="0"/>
        <w:keepLines w:val="0"/>
        <w:pageBreakBefore w:val="0"/>
        <w:widowControl w:val="0"/>
        <w:shd w:val="clear" w:color="auto" w:fill="FFFFFF"/>
        <w:kinsoku/>
        <w:wordWrap/>
        <w:overflowPunct/>
        <w:topLinePunct w:val="0"/>
        <w:bidi w:val="0"/>
        <w:snapToGrid/>
        <w:spacing w:line="560" w:lineRule="exact"/>
        <w:ind w:firstLine="64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VP1结构蛋白抗体ELISA：按照方法或试剂使用说明判定抗体阳性。</w:t>
      </w:r>
    </w:p>
    <w:p w14:paraId="1783C223">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sectPr>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color w:val="000000" w:themeColor="text1"/>
          <w:kern w:val="0"/>
          <w:sz w:val="32"/>
          <w:szCs w:val="32"/>
          <w14:textFill>
            <w14:solidFill>
              <w14:schemeClr w14:val="tx1"/>
            </w14:solidFill>
          </w14:textFill>
        </w:rPr>
        <w:t>免疫合格个体数量占免疫群体总数不低于80%的，判定为群体免疫合格。</w:t>
      </w:r>
    </w:p>
    <w:p w14:paraId="1F0B9D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137A4"/>
    <w:rsid w:val="6561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2025-03-13T06:49:00Z</dcterms:created>
  <dc:creator>嘿小瘦子</dc:creator>
  <cp:lastModifiedBy>嘿小瘦子</cp:lastModifiedBy>
  <dcterms:modified xsi:type="dcterms:W3CDTF">2025-03-13T06:50:08Z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7D4218DD9B314C2BA1096CDDABF90A23_11</vt:lpwstr>
  </property>
  <property fmtid="{D5CDD505-2E9C-101B-9397-08002B2CF9AE}" pid="4" name="KSOTemplateDocerSaveRecord">
    <vt:lpwstr>eyJoZGlkIjoiMjUyZTU3YWU3NzhlNGNhNmE5NmFhZGRmMzdlN2NkYWQiLCJ1c2VySWQiOiIzMTczNzYzODIifQ==</vt:lpwstr>
  </property>
</Properties>
</file>