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84" w:rsidRDefault="00A418DD" w:rsidP="00F362EE">
      <w:pPr>
        <w:spacing w:line="560" w:lineRule="exact"/>
        <w:ind w:firstLine="0"/>
        <w:jc w:val="center"/>
        <w:rPr>
          <w:rFonts w:ascii="方正小标宋简体" w:eastAsia="方正小标宋简体"/>
          <w:sz w:val="44"/>
          <w:szCs w:val="44"/>
        </w:rPr>
      </w:pPr>
      <w:r w:rsidRPr="001C1D84">
        <w:rPr>
          <w:rFonts w:ascii="方正小标宋简体" w:eastAsia="方正小标宋简体" w:hint="eastAsia"/>
          <w:sz w:val="44"/>
          <w:szCs w:val="44"/>
        </w:rPr>
        <w:t>高青县农业农村局</w:t>
      </w:r>
    </w:p>
    <w:p w:rsidR="00D45CF5" w:rsidRPr="001C1D84" w:rsidRDefault="00A418DD" w:rsidP="00F362EE">
      <w:pPr>
        <w:spacing w:line="560" w:lineRule="exact"/>
        <w:ind w:firstLine="0"/>
        <w:jc w:val="center"/>
        <w:rPr>
          <w:rFonts w:ascii="方正小标宋简体" w:eastAsia="方正小标宋简体"/>
          <w:sz w:val="44"/>
          <w:szCs w:val="44"/>
        </w:rPr>
      </w:pPr>
      <w:r w:rsidRPr="001C1D84">
        <w:rPr>
          <w:rFonts w:ascii="方正小标宋简体" w:eastAsia="方正小标宋简体" w:hint="eastAsia"/>
          <w:sz w:val="44"/>
          <w:szCs w:val="44"/>
        </w:rPr>
        <w:t>2022年政府信息公开工作年度报告</w:t>
      </w:r>
    </w:p>
    <w:p w:rsidR="00D45CF5" w:rsidRDefault="00D45CF5" w:rsidP="00F362EE">
      <w:pPr>
        <w:spacing w:line="560" w:lineRule="exact"/>
        <w:ind w:firstLineChars="200" w:firstLine="640"/>
        <w:rPr>
          <w:rFonts w:ascii="仿宋_GB2312" w:eastAsia="仿宋_GB2312"/>
        </w:rPr>
      </w:pPr>
    </w:p>
    <w:p w:rsidR="00D45CF5" w:rsidRDefault="00A418DD" w:rsidP="00F362EE">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情况、主动公开政府信息情况、收到和处理政府信息公开申请情况、政府信息公开行政复议和行政诉讼情况、存在的主要问题及改进情况、其他需要报告的事项6个部分。</w:t>
      </w:r>
    </w:p>
    <w:p w:rsidR="00D45CF5" w:rsidRDefault="00A418DD" w:rsidP="00F362EE">
      <w:pPr>
        <w:spacing w:line="560" w:lineRule="exact"/>
        <w:ind w:firstLineChars="200" w:firstLine="640"/>
        <w:rPr>
          <w:rFonts w:ascii="仿宋_GB2312" w:eastAsia="仿宋_GB2312" w:hAnsi="黑体"/>
        </w:rPr>
      </w:pPr>
      <w:r>
        <w:rPr>
          <w:rFonts w:ascii="仿宋_GB2312" w:eastAsia="仿宋_GB2312" w:hint="eastAsia"/>
        </w:rPr>
        <w:t>报告中所列数据统计期限自2022年1月1日始，至2022年12月31日止。报告电子版可在高青县人民政府门户网站（www.gaoqing.gov.cn）查阅和下载。如对报告内容有疑问，请与高青县</w:t>
      </w:r>
      <w:r w:rsidR="00E9670F">
        <w:rPr>
          <w:rFonts w:ascii="仿宋_GB2312" w:eastAsia="仿宋_GB2312" w:hint="eastAsia"/>
        </w:rPr>
        <w:t>农业农村</w:t>
      </w:r>
      <w:r>
        <w:rPr>
          <w:rFonts w:ascii="仿宋_GB2312" w:eastAsia="仿宋_GB2312" w:hint="eastAsia"/>
        </w:rPr>
        <w:t>局办公室联系（地址：山东省淄博市高青县黄河路101号；邮编：256300；电话：0533-6967268；传真：0533-6967268；电子邮箱：gqxnyj@zb.shandong.cn）。</w:t>
      </w:r>
    </w:p>
    <w:p w:rsidR="00D45CF5" w:rsidRDefault="00A418DD" w:rsidP="00F362EE">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D45CF5" w:rsidRDefault="00A418DD" w:rsidP="00F362EE">
      <w:pPr>
        <w:spacing w:line="560" w:lineRule="exact"/>
        <w:ind w:firstLineChars="200" w:firstLine="640"/>
        <w:rPr>
          <w:rFonts w:ascii="仿宋_GB2312" w:eastAsia="仿宋_GB2312"/>
          <w:szCs w:val="32"/>
        </w:rPr>
      </w:pPr>
      <w:r>
        <w:rPr>
          <w:rFonts w:ascii="仿宋_GB2312" w:eastAsia="仿宋_GB2312"/>
          <w:szCs w:val="32"/>
        </w:rPr>
        <w:t>202</w:t>
      </w:r>
      <w:r>
        <w:rPr>
          <w:rFonts w:ascii="仿宋_GB2312" w:eastAsia="仿宋_GB2312" w:hint="eastAsia"/>
          <w:szCs w:val="32"/>
        </w:rPr>
        <w:t>2年，高青县农业农村局坚持以习近平新时代中国特色社会主义思想为指导，认真落实国家和省市县政务公开工作部署，将政务公开的理念贯穿到全局的各项工作中，大力推进决策、执行、管理、服务和结果公开，</w:t>
      </w:r>
      <w:r w:rsidR="00E9670F">
        <w:rPr>
          <w:rFonts w:ascii="仿宋_GB2312" w:eastAsia="仿宋_GB2312" w:hint="eastAsia"/>
          <w:szCs w:val="32"/>
        </w:rPr>
        <w:t>政务公开工作取得显著实效。</w:t>
      </w:r>
    </w:p>
    <w:p w:rsidR="00E9670F" w:rsidRDefault="00A418DD" w:rsidP="00F362EE">
      <w:pPr>
        <w:spacing w:line="560" w:lineRule="exact"/>
        <w:rPr>
          <w:rFonts w:ascii="楷体_GB2312" w:eastAsia="楷体_GB2312"/>
        </w:rPr>
      </w:pPr>
      <w:r>
        <w:rPr>
          <w:rFonts w:ascii="楷体_GB2312" w:eastAsia="楷体_GB2312" w:hint="eastAsia"/>
        </w:rPr>
        <w:t>（一）主动公开</w:t>
      </w:r>
    </w:p>
    <w:p w:rsidR="00E9670F" w:rsidRDefault="00E9670F" w:rsidP="00F362EE">
      <w:pPr>
        <w:spacing w:line="560" w:lineRule="exact"/>
        <w:rPr>
          <w:rFonts w:ascii="仿宋_GB2312" w:eastAsia="仿宋_GB2312"/>
          <w:szCs w:val="32"/>
        </w:rPr>
      </w:pPr>
      <w:r>
        <w:rPr>
          <w:rFonts w:ascii="仿宋_GB2312" w:eastAsia="仿宋_GB2312" w:hint="eastAsia"/>
          <w:szCs w:val="32"/>
        </w:rPr>
        <w:lastRenderedPageBreak/>
        <w:t>健全政务公开体制机制，坚持以“公开为常态、不公开为例外”，制定《高青县农业农村局2022年政务公开工作实施方案》，主动公开政策文化、规划计划、工作动态等信息。2022年累计公开信息400余条，比年度增长15%其中通过政府网站公开信息160余条，通过政务新媒体公开信息130余条，通过报纸、电视台等媒介公开信息110余条。牢牢把握高质量发展的根本要求，围绕深入推进乡村振兴等相关政策措施、执行情况和工作成效的解读工作。重点做好相关政策措施的解读工作，2022年发布政策解读材料5件。</w:t>
      </w:r>
    </w:p>
    <w:p w:rsidR="00F362EE" w:rsidRDefault="00F362EE" w:rsidP="00F362EE">
      <w:pPr>
        <w:spacing w:line="240" w:lineRule="auto"/>
        <w:ind w:firstLine="0"/>
        <w:jc w:val="center"/>
        <w:rPr>
          <w:rFonts w:ascii="仿宋_GB2312" w:eastAsia="仿宋_GB2312"/>
          <w:szCs w:val="32"/>
        </w:rPr>
      </w:pPr>
      <w:r>
        <w:rPr>
          <w:noProof/>
          <w:snapToGrid/>
        </w:rPr>
        <w:drawing>
          <wp:inline distT="0" distB="0" distL="0" distR="0" wp14:anchorId="692734AF" wp14:editId="1551AC65">
            <wp:extent cx="4822260" cy="455458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24748" cy="4556932"/>
                    </a:xfrm>
                    <a:prstGeom prst="rect">
                      <a:avLst/>
                    </a:prstGeom>
                  </pic:spPr>
                </pic:pic>
              </a:graphicData>
            </a:graphic>
          </wp:inline>
        </w:drawing>
      </w:r>
    </w:p>
    <w:p w:rsidR="00E9670F" w:rsidRDefault="00E9670F" w:rsidP="00E9670F">
      <w:pPr>
        <w:spacing w:line="560" w:lineRule="exact"/>
        <w:ind w:firstLineChars="200" w:firstLine="640"/>
        <w:rPr>
          <w:rFonts w:ascii="仿宋_GB2312" w:eastAsia="仿宋_GB2312"/>
          <w:szCs w:val="32"/>
        </w:rPr>
      </w:pPr>
      <w:r>
        <w:rPr>
          <w:rFonts w:ascii="楷体_GB2312" w:eastAsia="楷体_GB2312" w:hint="eastAsia"/>
          <w:szCs w:val="32"/>
        </w:rPr>
        <w:t>（二）依申请公开</w:t>
      </w:r>
    </w:p>
    <w:p w:rsidR="00E9670F" w:rsidRDefault="00E9670F" w:rsidP="00E9670F">
      <w:pPr>
        <w:spacing w:line="560" w:lineRule="exact"/>
        <w:ind w:firstLineChars="200" w:firstLine="640"/>
        <w:rPr>
          <w:rFonts w:ascii="仿宋_GB2312" w:eastAsia="仿宋_GB2312"/>
          <w:szCs w:val="32"/>
        </w:rPr>
      </w:pPr>
      <w:r>
        <w:rPr>
          <w:rFonts w:ascii="仿宋_GB2312" w:eastAsia="仿宋_GB2312" w:hint="eastAsia"/>
          <w:szCs w:val="32"/>
        </w:rPr>
        <w:t>2022年本机关共收到政府信息公开申请1件，上年度结转0件。申请内容为</w:t>
      </w:r>
      <w:r w:rsidR="00F362EE" w:rsidRPr="00F362EE">
        <w:rPr>
          <w:rFonts w:ascii="仿宋_GB2312" w:eastAsia="仿宋_GB2312" w:hint="eastAsia"/>
          <w:szCs w:val="32"/>
        </w:rPr>
        <w:t>乡村旅游示范县申报数据</w:t>
      </w:r>
      <w:r w:rsidR="00F362EE">
        <w:rPr>
          <w:rFonts w:ascii="仿宋_GB2312" w:eastAsia="仿宋_GB2312" w:hint="eastAsia"/>
          <w:szCs w:val="32"/>
        </w:rPr>
        <w:t>。共</w:t>
      </w:r>
      <w:proofErr w:type="gramStart"/>
      <w:r w:rsidR="00F362EE">
        <w:rPr>
          <w:rFonts w:ascii="仿宋_GB2312" w:eastAsia="仿宋_GB2312" w:hint="eastAsia"/>
          <w:szCs w:val="32"/>
        </w:rPr>
        <w:t>作出</w:t>
      </w:r>
      <w:proofErr w:type="gramEnd"/>
      <w:r w:rsidR="00F362EE">
        <w:rPr>
          <w:rFonts w:ascii="仿宋_GB2312" w:eastAsia="仿宋_GB2312" w:hint="eastAsia"/>
          <w:szCs w:val="32"/>
        </w:rPr>
        <w:t>政府</w:t>
      </w:r>
      <w:r w:rsidR="00F362EE">
        <w:rPr>
          <w:rFonts w:ascii="仿宋_GB2312" w:eastAsia="仿宋_GB2312" w:hint="eastAsia"/>
          <w:szCs w:val="32"/>
        </w:rPr>
        <w:lastRenderedPageBreak/>
        <w:t>信息公开申请答复1件，其中无法提供1件。无结转下年度继续办理件。</w:t>
      </w:r>
      <w:r>
        <w:rPr>
          <w:rFonts w:ascii="仿宋_GB2312" w:eastAsia="仿宋_GB2312" w:hint="eastAsia"/>
          <w:szCs w:val="32"/>
        </w:rPr>
        <w:t>本机关依申请公开政府信息未收取任何费用，未因政府信息公开被申请行政复议、提起行政诉讼。</w:t>
      </w:r>
    </w:p>
    <w:p w:rsidR="00F362EE" w:rsidRDefault="00F362EE" w:rsidP="00F362EE">
      <w:pPr>
        <w:spacing w:line="560" w:lineRule="exact"/>
        <w:ind w:firstLineChars="200" w:firstLine="640"/>
        <w:rPr>
          <w:rFonts w:ascii="楷体_GB2312" w:eastAsia="楷体_GB2312"/>
          <w:szCs w:val="32"/>
        </w:rPr>
      </w:pPr>
      <w:r>
        <w:rPr>
          <w:rFonts w:ascii="楷体_GB2312" w:eastAsia="楷体_GB2312" w:hint="eastAsia"/>
          <w:szCs w:val="32"/>
        </w:rPr>
        <w:t>（三）政府信息管理</w:t>
      </w:r>
    </w:p>
    <w:p w:rsidR="00F362EE" w:rsidRPr="00F362EE" w:rsidRDefault="00F362EE" w:rsidP="00F362EE">
      <w:pPr>
        <w:spacing w:line="560" w:lineRule="exact"/>
        <w:ind w:firstLineChars="200" w:firstLine="640"/>
        <w:rPr>
          <w:rFonts w:ascii="仿宋_GB2312" w:eastAsia="仿宋_GB2312"/>
          <w:szCs w:val="32"/>
        </w:rPr>
      </w:pPr>
      <w:r w:rsidRPr="00F362EE">
        <w:rPr>
          <w:rFonts w:ascii="仿宋_GB2312" w:eastAsia="仿宋_GB2312" w:hint="eastAsia"/>
          <w:szCs w:val="32"/>
        </w:rPr>
        <w:t>根据上级政务公开工作要点，及时修编《高青县农业农村局政府信息主动公开基本目录》《高青县农业农村局政府信息公开指南》，进一步</w:t>
      </w:r>
      <w:r>
        <w:rPr>
          <w:rFonts w:ascii="仿宋_GB2312" w:eastAsia="仿宋_GB2312" w:hint="eastAsia"/>
          <w:szCs w:val="32"/>
        </w:rPr>
        <w:t>明确信息公开的原则、范围、主体、重点和渠道。健全政府信息公开属性源头认定制度，</w:t>
      </w:r>
      <w:r w:rsidRPr="00F362EE">
        <w:rPr>
          <w:rFonts w:ascii="仿宋_GB2312" w:eastAsia="仿宋_GB2312" w:hint="eastAsia"/>
          <w:szCs w:val="32"/>
        </w:rPr>
        <w:t>明确公文公开属性界定流程</w:t>
      </w:r>
      <w:r>
        <w:rPr>
          <w:rFonts w:ascii="仿宋_GB2312" w:eastAsia="仿宋_GB2312" w:hint="eastAsia"/>
          <w:szCs w:val="32"/>
        </w:rPr>
        <w:t>，属于主动公开公开的信息在法定时限内予以公开，依申请、不予公开的政府信息明确法定事由。</w:t>
      </w:r>
    </w:p>
    <w:p w:rsidR="00F362EE" w:rsidRDefault="00F362EE" w:rsidP="00F362EE">
      <w:pPr>
        <w:spacing w:line="560" w:lineRule="exact"/>
        <w:ind w:firstLineChars="200" w:firstLine="640"/>
        <w:rPr>
          <w:rFonts w:ascii="楷体_GB2312" w:eastAsia="楷体_GB2312"/>
          <w:szCs w:val="32"/>
        </w:rPr>
      </w:pPr>
      <w:r>
        <w:rPr>
          <w:rFonts w:ascii="楷体_GB2312" w:eastAsia="楷体_GB2312" w:hint="eastAsia"/>
          <w:szCs w:val="32"/>
        </w:rPr>
        <w:t>（四）政府信息公开平台建设</w:t>
      </w:r>
    </w:p>
    <w:p w:rsidR="00677C54" w:rsidRDefault="00677C54" w:rsidP="00677C54">
      <w:pPr>
        <w:spacing w:line="560" w:lineRule="exact"/>
        <w:ind w:firstLineChars="200" w:firstLine="640"/>
        <w:rPr>
          <w:rFonts w:ascii="仿宋_GB2312" w:eastAsia="仿宋_GB2312"/>
          <w:szCs w:val="32"/>
        </w:rPr>
      </w:pPr>
      <w:r>
        <w:rPr>
          <w:rFonts w:ascii="仿宋_GB2312" w:eastAsia="仿宋_GB2312" w:hint="eastAsia"/>
          <w:szCs w:val="32"/>
        </w:rPr>
        <w:t>优化信息公开平台建设，利用县政府门户网站、</w:t>
      </w:r>
      <w:proofErr w:type="gramStart"/>
      <w:r>
        <w:rPr>
          <w:rFonts w:ascii="仿宋_GB2312" w:eastAsia="仿宋_GB2312" w:hint="eastAsia"/>
          <w:szCs w:val="32"/>
        </w:rPr>
        <w:t>微信公众号</w:t>
      </w:r>
      <w:proofErr w:type="gramEnd"/>
      <w:r>
        <w:rPr>
          <w:rFonts w:ascii="仿宋_GB2312" w:eastAsia="仿宋_GB2312" w:hint="eastAsia"/>
          <w:szCs w:val="32"/>
        </w:rPr>
        <w:t>等公开政府信息，开启信息公开全媒体时代，形成了以政府门户网站、“高青县农业农村局”</w:t>
      </w:r>
      <w:proofErr w:type="gramStart"/>
      <w:r>
        <w:rPr>
          <w:rFonts w:ascii="仿宋_GB2312" w:eastAsia="仿宋_GB2312" w:hint="eastAsia"/>
          <w:szCs w:val="32"/>
        </w:rPr>
        <w:t>微信公众号</w:t>
      </w:r>
      <w:proofErr w:type="gramEnd"/>
      <w:r>
        <w:rPr>
          <w:rFonts w:ascii="仿宋_GB2312" w:eastAsia="仿宋_GB2312" w:hint="eastAsia"/>
          <w:szCs w:val="32"/>
        </w:rPr>
        <w:t>为载体的多元化政务公开新格局。政府网站开设“涉农补贴”专栏，集中公开农机购置补贴、耕地地力保护、新型农业职业培训等方面信息，政务新媒体开设“政策解读”栏目，对县级出台的农业政策进行解读。</w:t>
      </w:r>
    </w:p>
    <w:p w:rsidR="00677C54" w:rsidRDefault="00677C54" w:rsidP="00677C54">
      <w:pPr>
        <w:spacing w:line="560" w:lineRule="exact"/>
        <w:ind w:firstLineChars="200" w:firstLine="640"/>
        <w:rPr>
          <w:rFonts w:ascii="楷体_GB2312" w:eastAsia="楷体_GB2312"/>
          <w:szCs w:val="32"/>
        </w:rPr>
      </w:pPr>
      <w:r>
        <w:rPr>
          <w:rFonts w:ascii="楷体_GB2312" w:eastAsia="楷体_GB2312" w:hint="eastAsia"/>
          <w:szCs w:val="32"/>
        </w:rPr>
        <w:t>（五）监督保障</w:t>
      </w:r>
    </w:p>
    <w:p w:rsidR="00677C54" w:rsidRDefault="00677C54" w:rsidP="00677C54">
      <w:pPr>
        <w:spacing w:line="560" w:lineRule="exact"/>
        <w:ind w:firstLineChars="200" w:firstLine="640"/>
        <w:rPr>
          <w:rFonts w:ascii="仿宋_GB2312" w:eastAsia="仿宋_GB2312"/>
          <w:szCs w:val="32"/>
        </w:rPr>
      </w:pPr>
      <w:r w:rsidRPr="00677C54">
        <w:rPr>
          <w:rFonts w:ascii="仿宋_GB2312" w:eastAsia="仿宋_GB2312" w:hint="eastAsia"/>
          <w:szCs w:val="32"/>
        </w:rPr>
        <w:t>根据本机关工作人员变动，及时调整政务公开工作领导小组，</w:t>
      </w:r>
      <w:r>
        <w:rPr>
          <w:rFonts w:ascii="仿宋_GB2312" w:eastAsia="仿宋_GB2312" w:hint="eastAsia"/>
          <w:szCs w:val="32"/>
        </w:rPr>
        <w:t>主要负责人亲自研究部署政务公开工作，2022年召开政务公开专题会议1次。明确</w:t>
      </w:r>
      <w:r w:rsidRPr="00677C54">
        <w:rPr>
          <w:rFonts w:ascii="仿宋_GB2312" w:eastAsia="仿宋_GB2312" w:hint="eastAsia"/>
          <w:szCs w:val="32"/>
        </w:rPr>
        <w:t>办公室</w:t>
      </w:r>
      <w:r>
        <w:rPr>
          <w:rFonts w:ascii="仿宋_GB2312" w:eastAsia="仿宋_GB2312" w:hint="eastAsia"/>
          <w:szCs w:val="32"/>
        </w:rPr>
        <w:t>作为政务公开牵头科室，配备专职人员1名。制定2022年政务公开培训计划，组织开展政务公开业务培训1次。</w:t>
      </w:r>
    </w:p>
    <w:p w:rsidR="00677C54" w:rsidRDefault="00677C54">
      <w:pPr>
        <w:spacing w:afterLines="50" w:after="156" w:line="240" w:lineRule="auto"/>
        <w:ind w:firstLineChars="200" w:firstLine="640"/>
        <w:rPr>
          <w:rFonts w:ascii="黑体" w:eastAsia="黑体" w:hAnsi="黑体"/>
          <w:szCs w:val="32"/>
        </w:rPr>
      </w:pPr>
    </w:p>
    <w:p w:rsidR="00D45CF5" w:rsidRDefault="00A418DD">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6"/>
        <w:tblW w:w="0" w:type="auto"/>
        <w:jc w:val="center"/>
        <w:tblLook w:val="04A0" w:firstRow="1" w:lastRow="0" w:firstColumn="1" w:lastColumn="0" w:noHBand="0" w:noVBand="1"/>
      </w:tblPr>
      <w:tblGrid>
        <w:gridCol w:w="2454"/>
        <w:gridCol w:w="2022"/>
        <w:gridCol w:w="2023"/>
        <w:gridCol w:w="2023"/>
      </w:tblGrid>
      <w:tr w:rsidR="00D45CF5">
        <w:trPr>
          <w:trHeight w:hRule="exact" w:val="567"/>
          <w:jc w:val="center"/>
        </w:trPr>
        <w:tc>
          <w:tcPr>
            <w:tcW w:w="8981" w:type="dxa"/>
            <w:gridSpan w:val="4"/>
            <w:vAlign w:val="center"/>
          </w:tcPr>
          <w:p w:rsidR="00D45CF5" w:rsidRDefault="00A418DD">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D45CF5">
        <w:trPr>
          <w:trHeight w:hRule="exact" w:val="567"/>
          <w:jc w:val="center"/>
        </w:trPr>
        <w:tc>
          <w:tcPr>
            <w:tcW w:w="2589" w:type="dxa"/>
            <w:vAlign w:val="center"/>
          </w:tcPr>
          <w:p w:rsidR="00D45CF5" w:rsidRDefault="00A418DD">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D45CF5" w:rsidRDefault="00A418DD">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D45CF5" w:rsidRDefault="00A418DD">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D45CF5" w:rsidRDefault="00A418DD">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D45CF5">
        <w:trPr>
          <w:trHeight w:hRule="exact" w:val="567"/>
          <w:jc w:val="center"/>
        </w:trPr>
        <w:tc>
          <w:tcPr>
            <w:tcW w:w="2589" w:type="dxa"/>
            <w:vAlign w:val="center"/>
          </w:tcPr>
          <w:p w:rsidR="00D45CF5" w:rsidRDefault="00A418DD">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D45CF5" w:rsidRPr="00B0170E" w:rsidRDefault="00A418DD">
            <w:pPr>
              <w:spacing w:line="240" w:lineRule="auto"/>
              <w:ind w:firstLine="0"/>
              <w:jc w:val="center"/>
              <w:rPr>
                <w:rFonts w:ascii="宋体" w:eastAsia="宋体" w:hAnsi="宋体" w:cs="宋体"/>
                <w:snapToGrid/>
                <w:color w:val="000000"/>
                <w:sz w:val="20"/>
              </w:rPr>
            </w:pPr>
            <w:r w:rsidRPr="00B0170E">
              <w:rPr>
                <w:rFonts w:ascii="宋体" w:eastAsia="宋体" w:hAnsi="宋体" w:cs="宋体" w:hint="eastAsia"/>
                <w:snapToGrid/>
                <w:color w:val="000000"/>
                <w:sz w:val="20"/>
              </w:rPr>
              <w:t>0</w:t>
            </w:r>
          </w:p>
        </w:tc>
        <w:tc>
          <w:tcPr>
            <w:tcW w:w="2131" w:type="dxa"/>
            <w:vAlign w:val="center"/>
          </w:tcPr>
          <w:p w:rsidR="00D45CF5" w:rsidRPr="00B0170E" w:rsidRDefault="00A418DD">
            <w:pPr>
              <w:spacing w:line="240" w:lineRule="auto"/>
              <w:ind w:firstLine="0"/>
              <w:jc w:val="center"/>
              <w:rPr>
                <w:rFonts w:ascii="宋体" w:eastAsia="宋体" w:hAnsi="宋体" w:cs="宋体"/>
                <w:snapToGrid/>
                <w:color w:val="000000"/>
                <w:sz w:val="20"/>
              </w:rPr>
            </w:pPr>
            <w:r w:rsidRPr="00B0170E">
              <w:rPr>
                <w:rFonts w:ascii="宋体" w:eastAsia="宋体" w:hAnsi="宋体" w:cs="宋体" w:hint="eastAsia"/>
                <w:snapToGrid/>
                <w:color w:val="000000"/>
                <w:sz w:val="20"/>
              </w:rPr>
              <w:t>0</w:t>
            </w:r>
          </w:p>
        </w:tc>
        <w:tc>
          <w:tcPr>
            <w:tcW w:w="2131" w:type="dxa"/>
            <w:vAlign w:val="center"/>
          </w:tcPr>
          <w:p w:rsidR="00D45CF5" w:rsidRPr="00B0170E" w:rsidRDefault="00A418DD">
            <w:pPr>
              <w:spacing w:line="240" w:lineRule="auto"/>
              <w:ind w:firstLine="0"/>
              <w:jc w:val="center"/>
              <w:rPr>
                <w:rFonts w:ascii="宋体" w:eastAsia="宋体" w:hAnsi="宋体" w:cs="宋体"/>
                <w:snapToGrid/>
                <w:color w:val="000000"/>
                <w:sz w:val="20"/>
              </w:rPr>
            </w:pPr>
            <w:r w:rsidRPr="00B0170E">
              <w:rPr>
                <w:rFonts w:ascii="宋体" w:eastAsia="宋体" w:hAnsi="宋体" w:cs="宋体" w:hint="eastAsia"/>
                <w:snapToGrid/>
                <w:color w:val="000000"/>
                <w:sz w:val="20"/>
              </w:rPr>
              <w:t>0</w:t>
            </w:r>
          </w:p>
        </w:tc>
      </w:tr>
      <w:tr w:rsidR="00D45CF5">
        <w:trPr>
          <w:trHeight w:hRule="exact" w:val="567"/>
          <w:jc w:val="center"/>
        </w:trPr>
        <w:tc>
          <w:tcPr>
            <w:tcW w:w="2589" w:type="dxa"/>
            <w:vAlign w:val="center"/>
          </w:tcPr>
          <w:p w:rsidR="00D45CF5" w:rsidRDefault="00A418DD">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D45CF5" w:rsidRPr="00B0170E" w:rsidRDefault="00A418DD">
            <w:pPr>
              <w:spacing w:line="240" w:lineRule="auto"/>
              <w:ind w:firstLine="0"/>
              <w:jc w:val="center"/>
              <w:rPr>
                <w:rFonts w:ascii="宋体" w:eastAsia="宋体" w:hAnsi="宋体" w:cs="宋体"/>
                <w:snapToGrid/>
                <w:color w:val="000000"/>
                <w:sz w:val="20"/>
              </w:rPr>
            </w:pPr>
            <w:r w:rsidRPr="00B0170E">
              <w:rPr>
                <w:rFonts w:ascii="宋体" w:eastAsia="宋体" w:hAnsi="宋体" w:cs="宋体" w:hint="eastAsia"/>
                <w:snapToGrid/>
                <w:color w:val="000000"/>
                <w:sz w:val="20"/>
              </w:rPr>
              <w:t>0</w:t>
            </w:r>
          </w:p>
        </w:tc>
        <w:tc>
          <w:tcPr>
            <w:tcW w:w="2131" w:type="dxa"/>
            <w:vAlign w:val="center"/>
          </w:tcPr>
          <w:p w:rsidR="00D45CF5" w:rsidRPr="00B0170E" w:rsidRDefault="00A418DD">
            <w:pPr>
              <w:spacing w:line="240" w:lineRule="auto"/>
              <w:ind w:firstLine="0"/>
              <w:jc w:val="center"/>
              <w:rPr>
                <w:rFonts w:ascii="宋体" w:eastAsia="宋体" w:hAnsi="宋体" w:cs="宋体"/>
                <w:snapToGrid/>
                <w:color w:val="000000"/>
                <w:sz w:val="20"/>
              </w:rPr>
            </w:pPr>
            <w:r w:rsidRPr="00B0170E">
              <w:rPr>
                <w:rFonts w:ascii="宋体" w:eastAsia="宋体" w:hAnsi="宋体" w:cs="宋体" w:hint="eastAsia"/>
                <w:snapToGrid/>
                <w:color w:val="000000"/>
                <w:sz w:val="20"/>
              </w:rPr>
              <w:t>0</w:t>
            </w:r>
          </w:p>
        </w:tc>
        <w:tc>
          <w:tcPr>
            <w:tcW w:w="2131" w:type="dxa"/>
            <w:vAlign w:val="center"/>
          </w:tcPr>
          <w:p w:rsidR="00D45CF5" w:rsidRPr="00B0170E" w:rsidRDefault="00A418DD">
            <w:pPr>
              <w:spacing w:line="240" w:lineRule="auto"/>
              <w:ind w:firstLine="0"/>
              <w:jc w:val="center"/>
              <w:rPr>
                <w:rFonts w:ascii="宋体" w:eastAsia="宋体" w:hAnsi="宋体" w:cs="宋体"/>
                <w:snapToGrid/>
                <w:color w:val="000000"/>
                <w:sz w:val="20"/>
              </w:rPr>
            </w:pPr>
            <w:r w:rsidRPr="00B0170E">
              <w:rPr>
                <w:rFonts w:ascii="宋体" w:eastAsia="宋体" w:hAnsi="宋体" w:cs="宋体" w:hint="eastAsia"/>
                <w:snapToGrid/>
                <w:color w:val="000000"/>
                <w:sz w:val="20"/>
              </w:rPr>
              <w:t>0</w:t>
            </w:r>
          </w:p>
        </w:tc>
      </w:tr>
      <w:tr w:rsidR="00D45CF5">
        <w:trPr>
          <w:trHeight w:hRule="exact" w:val="567"/>
          <w:jc w:val="center"/>
        </w:trPr>
        <w:tc>
          <w:tcPr>
            <w:tcW w:w="8981" w:type="dxa"/>
            <w:gridSpan w:val="4"/>
            <w:vAlign w:val="center"/>
          </w:tcPr>
          <w:p w:rsidR="00D45CF5" w:rsidRDefault="00A418DD">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D45CF5">
        <w:trPr>
          <w:trHeight w:hRule="exact" w:val="567"/>
          <w:jc w:val="center"/>
        </w:trPr>
        <w:tc>
          <w:tcPr>
            <w:tcW w:w="2589" w:type="dxa"/>
            <w:vAlign w:val="center"/>
          </w:tcPr>
          <w:p w:rsidR="00D45CF5" w:rsidRDefault="00A418DD">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D45CF5" w:rsidRDefault="00A418DD">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D45CF5">
        <w:trPr>
          <w:trHeight w:hRule="exact" w:val="567"/>
          <w:jc w:val="center"/>
        </w:trPr>
        <w:tc>
          <w:tcPr>
            <w:tcW w:w="2589" w:type="dxa"/>
            <w:vAlign w:val="center"/>
          </w:tcPr>
          <w:p w:rsidR="00D45CF5" w:rsidRDefault="00A418DD">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D45CF5" w:rsidRDefault="00777CF6" w:rsidP="00606121">
            <w:pPr>
              <w:spacing w:line="240" w:lineRule="auto"/>
              <w:ind w:firstLine="0"/>
              <w:jc w:val="center"/>
              <w:rPr>
                <w:rFonts w:ascii="黑体" w:eastAsia="黑体" w:hAnsi="黑体"/>
                <w:sz w:val="20"/>
              </w:rPr>
            </w:pPr>
            <w:r>
              <w:rPr>
                <w:rFonts w:ascii="宋体" w:eastAsia="宋体" w:hAnsi="宋体" w:cs="宋体" w:hint="eastAsia"/>
                <w:snapToGrid/>
                <w:color w:val="000000"/>
                <w:sz w:val="20"/>
              </w:rPr>
              <w:t>35478</w:t>
            </w:r>
            <w:bookmarkStart w:id="0" w:name="_GoBack"/>
            <w:bookmarkEnd w:id="0"/>
          </w:p>
        </w:tc>
      </w:tr>
      <w:tr w:rsidR="00D45CF5">
        <w:trPr>
          <w:trHeight w:hRule="exact" w:val="567"/>
          <w:jc w:val="center"/>
        </w:trPr>
        <w:tc>
          <w:tcPr>
            <w:tcW w:w="8981" w:type="dxa"/>
            <w:gridSpan w:val="4"/>
            <w:vAlign w:val="center"/>
          </w:tcPr>
          <w:p w:rsidR="00D45CF5" w:rsidRDefault="00A418DD">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D45CF5">
        <w:trPr>
          <w:trHeight w:hRule="exact" w:val="567"/>
          <w:jc w:val="center"/>
        </w:trPr>
        <w:tc>
          <w:tcPr>
            <w:tcW w:w="2589" w:type="dxa"/>
            <w:vAlign w:val="center"/>
          </w:tcPr>
          <w:p w:rsidR="00D45CF5" w:rsidRDefault="00A418DD">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D45CF5" w:rsidRDefault="00A418DD">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D45CF5">
        <w:trPr>
          <w:trHeight w:hRule="exact" w:val="567"/>
          <w:jc w:val="center"/>
        </w:trPr>
        <w:tc>
          <w:tcPr>
            <w:tcW w:w="2589" w:type="dxa"/>
            <w:vAlign w:val="center"/>
          </w:tcPr>
          <w:p w:rsidR="00D45CF5" w:rsidRDefault="00A418DD">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D45CF5" w:rsidRDefault="00B0170E" w:rsidP="00B0170E">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20</w:t>
            </w:r>
          </w:p>
        </w:tc>
      </w:tr>
      <w:tr w:rsidR="00D45CF5">
        <w:trPr>
          <w:trHeight w:hRule="exact" w:val="567"/>
          <w:jc w:val="center"/>
        </w:trPr>
        <w:tc>
          <w:tcPr>
            <w:tcW w:w="2589" w:type="dxa"/>
            <w:vAlign w:val="center"/>
          </w:tcPr>
          <w:p w:rsidR="00D45CF5" w:rsidRDefault="00A418DD">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D45CF5" w:rsidRDefault="00A418DD" w:rsidP="00B0170E">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0</w:t>
            </w:r>
          </w:p>
        </w:tc>
      </w:tr>
      <w:tr w:rsidR="00D45CF5">
        <w:trPr>
          <w:trHeight w:hRule="exact" w:val="567"/>
          <w:jc w:val="center"/>
        </w:trPr>
        <w:tc>
          <w:tcPr>
            <w:tcW w:w="8981" w:type="dxa"/>
            <w:gridSpan w:val="4"/>
            <w:vAlign w:val="center"/>
          </w:tcPr>
          <w:p w:rsidR="00D45CF5" w:rsidRDefault="00A418DD">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D45CF5">
        <w:trPr>
          <w:trHeight w:hRule="exact" w:val="567"/>
          <w:jc w:val="center"/>
        </w:trPr>
        <w:tc>
          <w:tcPr>
            <w:tcW w:w="2589" w:type="dxa"/>
            <w:vAlign w:val="center"/>
          </w:tcPr>
          <w:p w:rsidR="00D45CF5" w:rsidRDefault="00A418DD">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D45CF5" w:rsidRDefault="00A418DD">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D45CF5">
        <w:trPr>
          <w:trHeight w:hRule="exact" w:val="567"/>
          <w:jc w:val="center"/>
        </w:trPr>
        <w:tc>
          <w:tcPr>
            <w:tcW w:w="2589" w:type="dxa"/>
            <w:vAlign w:val="center"/>
          </w:tcPr>
          <w:p w:rsidR="00D45CF5" w:rsidRDefault="00A418DD">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D45CF5" w:rsidRDefault="00A418DD">
            <w:pPr>
              <w:spacing w:line="240" w:lineRule="auto"/>
              <w:ind w:firstLine="0"/>
              <w:jc w:val="center"/>
              <w:rPr>
                <w:rFonts w:ascii="黑体" w:eastAsia="黑体" w:hAnsi="黑体"/>
                <w:sz w:val="20"/>
              </w:rPr>
            </w:pPr>
            <w:r>
              <w:rPr>
                <w:rFonts w:ascii="黑体" w:eastAsia="黑体" w:hAnsi="黑体" w:hint="eastAsia"/>
                <w:sz w:val="20"/>
              </w:rPr>
              <w:t>0</w:t>
            </w:r>
          </w:p>
        </w:tc>
      </w:tr>
    </w:tbl>
    <w:p w:rsidR="00D45CF5" w:rsidRDefault="00D45CF5">
      <w:pPr>
        <w:spacing w:line="240" w:lineRule="auto"/>
        <w:ind w:firstLine="0"/>
        <w:rPr>
          <w:rFonts w:ascii="黑体" w:eastAsia="黑体" w:hAnsi="黑体"/>
          <w:sz w:val="30"/>
          <w:szCs w:val="30"/>
        </w:rPr>
      </w:pPr>
    </w:p>
    <w:p w:rsidR="00D45CF5" w:rsidRDefault="00D45CF5">
      <w:pPr>
        <w:spacing w:line="240" w:lineRule="auto"/>
        <w:ind w:firstLine="0"/>
        <w:rPr>
          <w:rFonts w:ascii="黑体" w:eastAsia="黑体" w:hAnsi="黑体"/>
          <w:sz w:val="30"/>
          <w:szCs w:val="30"/>
        </w:rPr>
      </w:pPr>
    </w:p>
    <w:p w:rsidR="00D45CF5" w:rsidRDefault="00D45CF5">
      <w:pPr>
        <w:spacing w:line="240" w:lineRule="auto"/>
        <w:ind w:firstLine="0"/>
        <w:rPr>
          <w:rFonts w:ascii="黑体" w:eastAsia="黑体" w:hAnsi="黑体"/>
          <w:sz w:val="30"/>
          <w:szCs w:val="30"/>
        </w:rPr>
      </w:pPr>
    </w:p>
    <w:p w:rsidR="00D45CF5" w:rsidRDefault="00D45CF5">
      <w:pPr>
        <w:spacing w:line="240" w:lineRule="auto"/>
        <w:ind w:firstLine="0"/>
        <w:rPr>
          <w:rFonts w:ascii="黑体" w:eastAsia="黑体" w:hAnsi="黑体"/>
          <w:sz w:val="30"/>
          <w:szCs w:val="30"/>
        </w:rPr>
      </w:pPr>
    </w:p>
    <w:p w:rsidR="00D45CF5" w:rsidRDefault="00D45CF5">
      <w:pPr>
        <w:spacing w:line="240" w:lineRule="auto"/>
        <w:ind w:firstLine="0"/>
        <w:rPr>
          <w:rFonts w:ascii="黑体" w:eastAsia="黑体" w:hAnsi="黑体"/>
          <w:sz w:val="30"/>
          <w:szCs w:val="30"/>
        </w:rPr>
      </w:pPr>
    </w:p>
    <w:p w:rsidR="00D45CF5" w:rsidRDefault="00D45CF5">
      <w:pPr>
        <w:spacing w:line="240" w:lineRule="auto"/>
        <w:ind w:firstLine="0"/>
        <w:rPr>
          <w:rFonts w:ascii="黑体" w:eastAsia="黑体" w:hAnsi="黑体"/>
          <w:sz w:val="30"/>
          <w:szCs w:val="30"/>
        </w:rPr>
      </w:pPr>
    </w:p>
    <w:p w:rsidR="00D45CF5" w:rsidRDefault="00D45CF5">
      <w:pPr>
        <w:spacing w:line="240" w:lineRule="auto"/>
        <w:ind w:firstLine="0"/>
        <w:rPr>
          <w:rFonts w:ascii="黑体" w:eastAsia="黑体" w:hAnsi="黑体"/>
          <w:sz w:val="30"/>
          <w:szCs w:val="30"/>
        </w:rPr>
      </w:pPr>
    </w:p>
    <w:p w:rsidR="00D45CF5" w:rsidRDefault="00D45CF5">
      <w:pPr>
        <w:spacing w:line="240" w:lineRule="auto"/>
        <w:ind w:firstLine="0"/>
        <w:rPr>
          <w:rFonts w:ascii="黑体" w:eastAsia="黑体" w:hAnsi="黑体"/>
          <w:sz w:val="30"/>
          <w:szCs w:val="30"/>
        </w:rPr>
      </w:pPr>
    </w:p>
    <w:p w:rsidR="00D45CF5" w:rsidRDefault="00D45CF5">
      <w:pPr>
        <w:spacing w:line="240" w:lineRule="auto"/>
        <w:ind w:firstLine="0"/>
        <w:rPr>
          <w:rFonts w:ascii="黑体" w:eastAsia="黑体" w:hAnsi="黑体"/>
          <w:sz w:val="30"/>
          <w:szCs w:val="30"/>
        </w:rPr>
      </w:pPr>
    </w:p>
    <w:p w:rsidR="00D45CF5" w:rsidRDefault="00D45CF5">
      <w:pPr>
        <w:spacing w:line="240" w:lineRule="auto"/>
        <w:ind w:firstLine="0"/>
        <w:rPr>
          <w:rFonts w:ascii="黑体" w:eastAsia="黑体" w:hAnsi="黑体"/>
          <w:sz w:val="30"/>
          <w:szCs w:val="30"/>
        </w:rPr>
      </w:pPr>
    </w:p>
    <w:p w:rsidR="00D45CF5" w:rsidRDefault="00D45CF5">
      <w:pPr>
        <w:spacing w:line="240" w:lineRule="auto"/>
        <w:ind w:firstLine="0"/>
        <w:rPr>
          <w:rFonts w:ascii="黑体" w:eastAsia="黑体" w:hAnsi="黑体"/>
          <w:sz w:val="30"/>
          <w:szCs w:val="30"/>
        </w:rPr>
      </w:pPr>
    </w:p>
    <w:p w:rsidR="00D45CF5" w:rsidRDefault="00D45CF5">
      <w:pPr>
        <w:spacing w:line="240" w:lineRule="auto"/>
        <w:ind w:firstLine="0"/>
        <w:rPr>
          <w:rFonts w:ascii="黑体" w:eastAsia="黑体" w:hAnsi="黑体"/>
          <w:sz w:val="30"/>
          <w:szCs w:val="30"/>
        </w:rPr>
      </w:pPr>
    </w:p>
    <w:p w:rsidR="00D45CF5" w:rsidRDefault="00D45CF5">
      <w:pPr>
        <w:spacing w:line="240" w:lineRule="auto"/>
        <w:ind w:firstLineChars="200" w:firstLine="600"/>
        <w:rPr>
          <w:rFonts w:ascii="黑体" w:eastAsia="黑体" w:hAnsi="黑体"/>
          <w:sz w:val="30"/>
          <w:szCs w:val="30"/>
        </w:rPr>
      </w:pPr>
    </w:p>
    <w:p w:rsidR="00D45CF5" w:rsidRDefault="00A418DD">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7"/>
        <w:gridCol w:w="943"/>
        <w:gridCol w:w="2837"/>
        <w:gridCol w:w="850"/>
        <w:gridCol w:w="709"/>
        <w:gridCol w:w="709"/>
        <w:gridCol w:w="804"/>
        <w:gridCol w:w="851"/>
        <w:gridCol w:w="709"/>
        <w:gridCol w:w="756"/>
      </w:tblGrid>
      <w:tr w:rsidR="00D45CF5">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D45CF5">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D45CF5">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r>
      <w:tr w:rsidR="00D45CF5" w:rsidTr="001C1D84">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1</w:t>
            </w:r>
          </w:p>
        </w:tc>
      </w:tr>
      <w:tr w:rsidR="00D45CF5" w:rsidTr="001C1D84">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1</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trHeight w:val="779"/>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inset"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inset"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A418DD"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r w:rsidR="00D45CF5" w:rsidTr="001C1D84">
        <w:trPr>
          <w:jc w:val="center"/>
        </w:trPr>
        <w:tc>
          <w:tcPr>
            <w:tcW w:w="0" w:type="auto"/>
            <w:vMerge/>
            <w:tcBorders>
              <w:top w:val="nil"/>
              <w:left w:val="single" w:sz="8" w:space="0" w:color="auto"/>
              <w:bottom w:val="inset"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1</w:t>
            </w:r>
          </w:p>
        </w:tc>
      </w:tr>
      <w:tr w:rsidR="00D45CF5" w:rsidTr="001C1D84">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45CF5" w:rsidRDefault="00A418D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7"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04"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bl>
    <w:p w:rsidR="00D45CF5" w:rsidRDefault="00D45CF5">
      <w:pPr>
        <w:spacing w:line="240" w:lineRule="auto"/>
        <w:ind w:firstLineChars="200" w:firstLine="600"/>
        <w:rPr>
          <w:rFonts w:ascii="黑体" w:eastAsia="黑体" w:hAnsi="黑体"/>
          <w:sz w:val="30"/>
          <w:szCs w:val="30"/>
        </w:rPr>
      </w:pPr>
    </w:p>
    <w:p w:rsidR="00D45CF5" w:rsidRDefault="00D45CF5">
      <w:pPr>
        <w:spacing w:line="240" w:lineRule="auto"/>
        <w:ind w:firstLineChars="200" w:firstLine="600"/>
        <w:rPr>
          <w:rFonts w:ascii="黑体" w:eastAsia="黑体" w:hAnsi="黑体"/>
          <w:sz w:val="30"/>
          <w:szCs w:val="30"/>
        </w:rPr>
      </w:pPr>
    </w:p>
    <w:p w:rsidR="00D45CF5" w:rsidRDefault="00D45CF5">
      <w:pPr>
        <w:spacing w:line="240" w:lineRule="auto"/>
        <w:ind w:firstLineChars="200" w:firstLine="600"/>
        <w:rPr>
          <w:rFonts w:ascii="黑体" w:eastAsia="黑体" w:hAnsi="黑体"/>
          <w:sz w:val="30"/>
          <w:szCs w:val="30"/>
        </w:rPr>
      </w:pPr>
    </w:p>
    <w:p w:rsidR="00D45CF5" w:rsidRDefault="00D45CF5">
      <w:pPr>
        <w:spacing w:line="240" w:lineRule="auto"/>
        <w:ind w:firstLineChars="200" w:firstLine="600"/>
        <w:rPr>
          <w:rFonts w:ascii="黑体" w:eastAsia="黑体" w:hAnsi="黑体"/>
          <w:sz w:val="30"/>
          <w:szCs w:val="30"/>
        </w:rPr>
      </w:pPr>
    </w:p>
    <w:p w:rsidR="00D45CF5" w:rsidRDefault="00A418DD">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D45CF5">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D45CF5">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D45CF5">
        <w:trPr>
          <w:jc w:val="center"/>
        </w:trPr>
        <w:tc>
          <w:tcPr>
            <w:tcW w:w="0" w:type="auto"/>
            <w:vMerge/>
            <w:tcBorders>
              <w:top w:val="nil"/>
              <w:left w:val="single" w:sz="8" w:space="0" w:color="auto"/>
              <w:bottom w:val="single"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45CF5" w:rsidRDefault="00D45CF5">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Default="00A418D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D45CF5" w:rsidTr="001C1D84">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5CF5" w:rsidRPr="001C1D84" w:rsidRDefault="001C1D84" w:rsidP="001C1D84">
            <w:pPr>
              <w:widowControl/>
              <w:autoSpaceDE/>
              <w:autoSpaceDN/>
              <w:snapToGrid/>
              <w:spacing w:line="240" w:lineRule="auto"/>
              <w:ind w:firstLine="0"/>
              <w:jc w:val="center"/>
              <w:rPr>
                <w:rFonts w:ascii="宋体" w:eastAsia="宋体" w:hAnsi="宋体" w:cs="宋体"/>
                <w:snapToGrid/>
                <w:sz w:val="20"/>
              </w:rPr>
            </w:pPr>
            <w:r w:rsidRPr="001C1D84">
              <w:rPr>
                <w:rFonts w:ascii="宋体" w:eastAsia="宋体" w:hAnsi="宋体" w:cs="宋体" w:hint="eastAsia"/>
                <w:snapToGrid/>
                <w:sz w:val="20"/>
              </w:rPr>
              <w:t>0</w:t>
            </w:r>
          </w:p>
        </w:tc>
      </w:tr>
    </w:tbl>
    <w:p w:rsidR="00D45CF5" w:rsidRDefault="00D45CF5">
      <w:pPr>
        <w:spacing w:line="240" w:lineRule="auto"/>
        <w:ind w:firstLineChars="200" w:firstLine="640"/>
        <w:rPr>
          <w:rFonts w:ascii="黑体" w:eastAsia="黑体" w:hAnsi="黑体"/>
          <w:szCs w:val="32"/>
        </w:rPr>
      </w:pPr>
    </w:p>
    <w:p w:rsidR="00D45CF5" w:rsidRDefault="00A418DD" w:rsidP="00531EDC">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D45CF5" w:rsidRDefault="00A418DD" w:rsidP="00531EDC">
      <w:pPr>
        <w:spacing w:line="560" w:lineRule="exact"/>
        <w:ind w:firstLineChars="200" w:firstLine="600"/>
        <w:rPr>
          <w:rFonts w:ascii="楷体_GB2312" w:eastAsia="楷体_GB2312" w:hAnsi="黑体"/>
          <w:sz w:val="30"/>
          <w:szCs w:val="30"/>
        </w:rPr>
      </w:pPr>
      <w:r>
        <w:rPr>
          <w:rFonts w:ascii="楷体_GB2312" w:eastAsia="楷体_GB2312" w:hAnsi="黑体" w:hint="eastAsia"/>
          <w:sz w:val="30"/>
          <w:szCs w:val="30"/>
        </w:rPr>
        <w:t>（一）存在问题</w:t>
      </w:r>
    </w:p>
    <w:p w:rsidR="00F67058" w:rsidRPr="00F67058" w:rsidRDefault="00F67058" w:rsidP="00531EDC">
      <w:pPr>
        <w:spacing w:line="560" w:lineRule="exact"/>
        <w:ind w:firstLineChars="200" w:firstLine="600"/>
        <w:rPr>
          <w:rFonts w:ascii="仿宋_GB2312" w:eastAsia="仿宋_GB2312" w:hAnsi="黑体"/>
          <w:sz w:val="30"/>
          <w:szCs w:val="30"/>
        </w:rPr>
      </w:pPr>
      <w:r w:rsidRPr="00F67058">
        <w:rPr>
          <w:rFonts w:ascii="仿宋_GB2312" w:eastAsia="仿宋_GB2312" w:hAnsi="黑体" w:hint="eastAsia"/>
          <w:sz w:val="30"/>
          <w:szCs w:val="30"/>
        </w:rPr>
        <w:t>2022年政府信息公开工作整体扎实有序推进，取得了一定成效，但仍有一些需要改进提升之处，主要表现在：</w:t>
      </w:r>
      <w:r>
        <w:rPr>
          <w:rFonts w:ascii="仿宋_GB2312" w:eastAsia="仿宋_GB2312" w:hAnsi="黑体" w:hint="eastAsia"/>
          <w:sz w:val="30"/>
          <w:szCs w:val="30"/>
        </w:rPr>
        <w:t>一是信息公开的质量有待于进一步提升，例如部分信息在公开的时候不规范，群众需要获取的信息难以找到。二是政策文件解读形式单一，主要以文字解读为主，其他类解读还需要进一步加强。</w:t>
      </w:r>
    </w:p>
    <w:p w:rsidR="00D45CF5" w:rsidRDefault="00A418DD" w:rsidP="00531EDC">
      <w:pPr>
        <w:spacing w:line="560" w:lineRule="exact"/>
        <w:ind w:firstLineChars="200" w:firstLine="600"/>
        <w:rPr>
          <w:rFonts w:ascii="楷体_GB2312" w:eastAsia="楷体_GB2312" w:hAnsi="黑体"/>
          <w:sz w:val="30"/>
          <w:szCs w:val="30"/>
        </w:rPr>
      </w:pPr>
      <w:r>
        <w:rPr>
          <w:rFonts w:ascii="楷体_GB2312" w:eastAsia="楷体_GB2312" w:hAnsi="黑体" w:hint="eastAsia"/>
          <w:sz w:val="30"/>
          <w:szCs w:val="30"/>
        </w:rPr>
        <w:t>（二）改进措施</w:t>
      </w:r>
    </w:p>
    <w:p w:rsidR="00F67058" w:rsidRPr="00F67058" w:rsidRDefault="00F67058" w:rsidP="00531EDC">
      <w:pPr>
        <w:spacing w:line="560" w:lineRule="exact"/>
        <w:ind w:firstLineChars="200" w:firstLine="600"/>
        <w:rPr>
          <w:rFonts w:ascii="仿宋_GB2312" w:eastAsia="仿宋_GB2312" w:hAnsi="黑体"/>
          <w:sz w:val="30"/>
          <w:szCs w:val="30"/>
        </w:rPr>
      </w:pPr>
      <w:r w:rsidRPr="00F67058">
        <w:rPr>
          <w:rFonts w:ascii="仿宋_GB2312" w:eastAsia="仿宋_GB2312" w:hAnsi="黑体" w:hint="eastAsia"/>
          <w:sz w:val="30"/>
          <w:szCs w:val="30"/>
        </w:rPr>
        <w:t>一是</w:t>
      </w:r>
      <w:r>
        <w:rPr>
          <w:rFonts w:ascii="仿宋_GB2312" w:eastAsia="仿宋_GB2312" w:hAnsi="黑体" w:hint="eastAsia"/>
          <w:sz w:val="30"/>
          <w:szCs w:val="30"/>
        </w:rPr>
        <w:t>深入推进政务公开标准化规范化建设，严格按照基层政务公开标准目录公开信息，优化栏目设置、丰富公开内容、拓展公开领域，真正让群众能够获取到需要的信息。二是加强政策解读工作，遵照“谁起草、谁解读”的原则，由政策性文件起草科室做好解读工作，将解读方案和解读材料与文件同步起草、同步审签、同步发布。在解读形式方面，采取文字、图片、视频等多样化方式，力争做到形象通俗、平实易懂，并统筹运用政府网站、</w:t>
      </w:r>
      <w:proofErr w:type="gramStart"/>
      <w:r>
        <w:rPr>
          <w:rFonts w:ascii="仿宋_GB2312" w:eastAsia="仿宋_GB2312" w:hAnsi="黑体" w:hint="eastAsia"/>
          <w:sz w:val="30"/>
          <w:szCs w:val="30"/>
        </w:rPr>
        <w:t>微信公众号</w:t>
      </w:r>
      <w:proofErr w:type="gramEnd"/>
      <w:r>
        <w:rPr>
          <w:rFonts w:ascii="仿宋_GB2312" w:eastAsia="仿宋_GB2312" w:hAnsi="黑体" w:hint="eastAsia"/>
          <w:sz w:val="30"/>
          <w:szCs w:val="30"/>
        </w:rPr>
        <w:t>等多种渠道发布信息。</w:t>
      </w:r>
    </w:p>
    <w:p w:rsidR="00D45CF5" w:rsidRDefault="00A418DD" w:rsidP="00531EDC">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D45CF5" w:rsidRDefault="00A418DD" w:rsidP="00531EDC">
      <w:pPr>
        <w:spacing w:line="560" w:lineRule="exact"/>
        <w:ind w:firstLineChars="200" w:firstLine="600"/>
        <w:jc w:val="left"/>
        <w:rPr>
          <w:rFonts w:ascii="楷体_GB2312" w:eastAsia="楷体_GB2312" w:hAnsi="黑体"/>
          <w:sz w:val="30"/>
          <w:szCs w:val="30"/>
        </w:rPr>
      </w:pPr>
      <w:r>
        <w:rPr>
          <w:rFonts w:ascii="楷体_GB2312" w:eastAsia="楷体_GB2312" w:hAnsi="黑体" w:hint="eastAsia"/>
          <w:sz w:val="30"/>
          <w:szCs w:val="30"/>
        </w:rPr>
        <w:t>（一）政府信息公开信息处理费收取情况</w:t>
      </w:r>
    </w:p>
    <w:p w:rsidR="00D45CF5" w:rsidRDefault="00A418DD" w:rsidP="00531EDC">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本机关依申请提供政府信息，根据《国务院办公厅关于印发</w:t>
      </w:r>
      <w:r>
        <w:rPr>
          <w:rFonts w:ascii="仿宋_GB2312" w:eastAsia="仿宋_GB2312" w:hAnsi="黑体" w:hint="eastAsia"/>
          <w:sz w:val="30"/>
          <w:szCs w:val="30"/>
        </w:rPr>
        <w:lastRenderedPageBreak/>
        <w:t>&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rsidR="00D45CF5" w:rsidRDefault="00A418DD" w:rsidP="00531EDC">
      <w:pPr>
        <w:spacing w:line="560" w:lineRule="exact"/>
        <w:ind w:firstLineChars="200" w:firstLine="600"/>
        <w:jc w:val="left"/>
        <w:rPr>
          <w:rFonts w:ascii="楷体_GB2312" w:eastAsia="楷体_GB2312" w:hAnsi="黑体"/>
          <w:sz w:val="30"/>
          <w:szCs w:val="30"/>
        </w:rPr>
      </w:pPr>
      <w:r>
        <w:rPr>
          <w:rFonts w:ascii="楷体_GB2312" w:eastAsia="楷体_GB2312" w:hAnsi="黑体" w:hint="eastAsia"/>
          <w:sz w:val="30"/>
          <w:szCs w:val="30"/>
        </w:rPr>
        <w:t>（二）落实上级年度政务公开工作要点情况</w:t>
      </w:r>
    </w:p>
    <w:p w:rsidR="00531EDC" w:rsidRDefault="00A418DD" w:rsidP="00531EDC">
      <w:pPr>
        <w:spacing w:line="560" w:lineRule="exact"/>
        <w:ind w:firstLineChars="200" w:firstLine="600"/>
        <w:rPr>
          <w:rFonts w:ascii="楷体_GB2312" w:eastAsia="楷体_GB2312" w:hAnsi="楷体_GB2312" w:cs="楷体_GB2312"/>
          <w:szCs w:val="32"/>
        </w:rPr>
      </w:pPr>
      <w:r>
        <w:rPr>
          <w:rFonts w:ascii="仿宋_GB2312" w:eastAsia="仿宋_GB2312" w:hAnsi="黑体" w:hint="eastAsia"/>
          <w:sz w:val="30"/>
          <w:szCs w:val="30"/>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w:t>
      </w:r>
      <w:r w:rsidR="00531EDC" w:rsidRPr="00531EDC">
        <w:rPr>
          <w:rFonts w:ascii="仿宋_GB2312" w:eastAsia="仿宋_GB2312" w:hAnsi="黑体" w:hint="eastAsia"/>
          <w:sz w:val="30"/>
          <w:szCs w:val="30"/>
        </w:rPr>
        <w:t>一是健全完善公开制度。制定了政府信息主动公开和依申请公开制度，对各科室中心政务公开工作提出程序性、规范性、可操作性的要求，进一步提高政务公开工作的规范性。二是规范信息公开内容。按照职责梳理应公开的内容，修编主动公开基本目录，明确了信息公开的原则、范围、主体、重点和渠道，确保重点领域政府信息公开工作规范有序开展。三是规范政府信息依申请公开办理。坚持依法便民、严谨规范、服务公众的原则，严格规范工作程序，规定受理依申请公开的形式、方式、答复期限及不同情形下的答复内容等，切实提高依申请公开工作的规范</w:t>
      </w:r>
      <w:r w:rsidR="00531EDC">
        <w:rPr>
          <w:rFonts w:ascii="仿宋_GB2312" w:eastAsia="仿宋_GB2312" w:hint="eastAsia"/>
          <w:szCs w:val="32"/>
        </w:rPr>
        <w:t>化水平，保障群众的知情权。</w:t>
      </w:r>
    </w:p>
    <w:p w:rsidR="00D45CF5" w:rsidRDefault="00A418DD" w:rsidP="00531EDC">
      <w:pPr>
        <w:spacing w:line="560" w:lineRule="exact"/>
        <w:ind w:firstLineChars="200" w:firstLine="600"/>
        <w:jc w:val="left"/>
        <w:rPr>
          <w:rFonts w:ascii="楷体_GB2312" w:eastAsia="楷体_GB2312" w:hAnsi="黑体"/>
          <w:sz w:val="30"/>
          <w:szCs w:val="30"/>
        </w:rPr>
      </w:pPr>
      <w:r>
        <w:rPr>
          <w:rFonts w:ascii="楷体_GB2312" w:eastAsia="楷体_GB2312" w:hAnsi="黑体" w:hint="eastAsia"/>
          <w:sz w:val="30"/>
          <w:szCs w:val="30"/>
        </w:rPr>
        <w:t>（三）人大代表建议和政协委员提案办理结果公开情况</w:t>
      </w:r>
    </w:p>
    <w:p w:rsidR="00D45CF5" w:rsidRPr="00D466AD" w:rsidRDefault="00A418DD" w:rsidP="00531EDC">
      <w:pPr>
        <w:spacing w:line="560" w:lineRule="exact"/>
        <w:ind w:firstLineChars="200" w:firstLine="600"/>
        <w:rPr>
          <w:rFonts w:ascii="仿宋_GB2312" w:eastAsia="仿宋_GB2312" w:hAnsi="黑体"/>
          <w:sz w:val="30"/>
          <w:szCs w:val="30"/>
        </w:rPr>
      </w:pPr>
      <w:r w:rsidRPr="00D466AD">
        <w:rPr>
          <w:rFonts w:ascii="仿宋_GB2312" w:eastAsia="仿宋_GB2312" w:hAnsi="黑体" w:hint="eastAsia"/>
          <w:sz w:val="30"/>
          <w:szCs w:val="30"/>
        </w:rPr>
        <w:t>2022年，本机关共</w:t>
      </w:r>
      <w:proofErr w:type="gramStart"/>
      <w:r w:rsidRPr="00D466AD">
        <w:rPr>
          <w:rFonts w:ascii="仿宋_GB2312" w:eastAsia="仿宋_GB2312" w:hAnsi="黑体" w:hint="eastAsia"/>
          <w:sz w:val="30"/>
          <w:szCs w:val="30"/>
        </w:rPr>
        <w:t>承办县</w:t>
      </w:r>
      <w:proofErr w:type="gramEnd"/>
      <w:r w:rsidRPr="00D466AD">
        <w:rPr>
          <w:rFonts w:ascii="仿宋_GB2312" w:eastAsia="仿宋_GB2312" w:hAnsi="黑体" w:hint="eastAsia"/>
          <w:sz w:val="30"/>
          <w:szCs w:val="30"/>
        </w:rPr>
        <w:t>十八届人大一次会议建议</w:t>
      </w:r>
      <w:r w:rsidR="00D466AD" w:rsidRPr="00D466AD">
        <w:rPr>
          <w:rFonts w:ascii="仿宋_GB2312" w:eastAsia="仿宋_GB2312" w:hAnsi="黑体" w:hint="eastAsia"/>
          <w:sz w:val="30"/>
          <w:szCs w:val="30"/>
        </w:rPr>
        <w:t>13</w:t>
      </w:r>
      <w:r w:rsidRPr="00D466AD">
        <w:rPr>
          <w:rFonts w:ascii="仿宋_GB2312" w:eastAsia="仿宋_GB2312" w:hAnsi="黑体" w:hint="eastAsia"/>
          <w:sz w:val="30"/>
          <w:szCs w:val="30"/>
        </w:rPr>
        <w:t>件，</w:t>
      </w:r>
      <w:proofErr w:type="gramStart"/>
      <w:r w:rsidRPr="00D466AD">
        <w:rPr>
          <w:rFonts w:ascii="仿宋_GB2312" w:eastAsia="仿宋_GB2312" w:hAnsi="黑体" w:hint="eastAsia"/>
          <w:sz w:val="30"/>
          <w:szCs w:val="30"/>
        </w:rPr>
        <w:t>承办县</w:t>
      </w:r>
      <w:proofErr w:type="gramEnd"/>
      <w:r w:rsidRPr="00D466AD">
        <w:rPr>
          <w:rFonts w:ascii="仿宋_GB2312" w:eastAsia="仿宋_GB2312" w:hAnsi="黑体" w:hint="eastAsia"/>
          <w:sz w:val="30"/>
          <w:szCs w:val="30"/>
        </w:rPr>
        <w:t>政协十五届一次会议提案</w:t>
      </w:r>
      <w:r w:rsidR="00D466AD" w:rsidRPr="00D466AD">
        <w:rPr>
          <w:rFonts w:ascii="仿宋_GB2312" w:eastAsia="仿宋_GB2312" w:hAnsi="黑体" w:hint="eastAsia"/>
          <w:sz w:val="30"/>
          <w:szCs w:val="30"/>
        </w:rPr>
        <w:t>19</w:t>
      </w:r>
      <w:r w:rsidRPr="00D466AD">
        <w:rPr>
          <w:rFonts w:ascii="仿宋_GB2312" w:eastAsia="仿宋_GB2312" w:hAnsi="黑体" w:hint="eastAsia"/>
          <w:sz w:val="30"/>
          <w:szCs w:val="30"/>
        </w:rPr>
        <w:t>件，办复率均为100%。除涉及国</w:t>
      </w:r>
      <w:r w:rsidRPr="00D466AD">
        <w:rPr>
          <w:rFonts w:ascii="仿宋_GB2312" w:eastAsia="仿宋_GB2312" w:hAnsi="黑体" w:hint="eastAsia"/>
          <w:sz w:val="30"/>
          <w:szCs w:val="30"/>
        </w:rPr>
        <w:lastRenderedPageBreak/>
        <w:t>家秘密、工作秘密的，所有建议提案办理复文或摘要以及办理总体情况均在县政府门户网站建议提案办理</w:t>
      </w:r>
      <w:proofErr w:type="gramStart"/>
      <w:r w:rsidRPr="00D466AD">
        <w:rPr>
          <w:rFonts w:ascii="仿宋_GB2312" w:eastAsia="仿宋_GB2312" w:hAnsi="黑体" w:hint="eastAsia"/>
          <w:sz w:val="30"/>
          <w:szCs w:val="30"/>
        </w:rPr>
        <w:t>专题专题</w:t>
      </w:r>
      <w:proofErr w:type="gramEnd"/>
      <w:r w:rsidRPr="00D466AD">
        <w:rPr>
          <w:rFonts w:ascii="仿宋_GB2312" w:eastAsia="仿宋_GB2312" w:hAnsi="黑体" w:hint="eastAsia"/>
          <w:sz w:val="30"/>
          <w:szCs w:val="30"/>
        </w:rPr>
        <w:t>中予以公开。</w:t>
      </w:r>
    </w:p>
    <w:p w:rsidR="00531EDC" w:rsidRDefault="00A418DD" w:rsidP="00531EDC">
      <w:pPr>
        <w:spacing w:line="560" w:lineRule="exact"/>
        <w:ind w:firstLineChars="200" w:firstLine="600"/>
        <w:jc w:val="left"/>
        <w:rPr>
          <w:rFonts w:ascii="楷体_GB2312" w:eastAsia="楷体_GB2312" w:hAnsi="黑体"/>
          <w:sz w:val="30"/>
          <w:szCs w:val="30"/>
        </w:rPr>
      </w:pPr>
      <w:r>
        <w:rPr>
          <w:rFonts w:ascii="楷体_GB2312" w:eastAsia="楷体_GB2312" w:hAnsi="黑体" w:hint="eastAsia"/>
          <w:sz w:val="30"/>
          <w:szCs w:val="30"/>
        </w:rPr>
        <w:t>（四）政务公开工作创新情况</w:t>
      </w:r>
    </w:p>
    <w:p w:rsidR="00C571F9" w:rsidRPr="002C42D2" w:rsidRDefault="002C42D2" w:rsidP="00531EDC">
      <w:pPr>
        <w:spacing w:line="560" w:lineRule="exact"/>
        <w:ind w:firstLineChars="200" w:firstLine="600"/>
        <w:jc w:val="left"/>
        <w:rPr>
          <w:rFonts w:ascii="仿宋_GB2312" w:eastAsia="仿宋_GB2312" w:hAnsi="黑体"/>
          <w:sz w:val="30"/>
          <w:szCs w:val="30"/>
        </w:rPr>
      </w:pPr>
      <w:r>
        <w:rPr>
          <w:rFonts w:ascii="仿宋_GB2312" w:eastAsia="仿宋_GB2312" w:hAnsi="黑体" w:hint="eastAsia"/>
          <w:sz w:val="30"/>
          <w:szCs w:val="30"/>
        </w:rPr>
        <w:t>创新信息公开方式，</w:t>
      </w:r>
      <w:r w:rsidRPr="002C42D2">
        <w:rPr>
          <w:rFonts w:ascii="仿宋_GB2312" w:eastAsia="仿宋_GB2312" w:hAnsi="黑体" w:hint="eastAsia"/>
          <w:sz w:val="30"/>
          <w:szCs w:val="30"/>
        </w:rPr>
        <w:t>开展线上农业信息推广服务</w:t>
      </w:r>
      <w:r>
        <w:rPr>
          <w:rFonts w:ascii="仿宋_GB2312" w:eastAsia="仿宋_GB2312" w:hAnsi="黑体" w:hint="eastAsia"/>
          <w:sz w:val="30"/>
          <w:szCs w:val="30"/>
        </w:rPr>
        <w:t>，依托</w:t>
      </w:r>
      <w:proofErr w:type="gramStart"/>
      <w:r>
        <w:rPr>
          <w:rFonts w:ascii="仿宋_GB2312" w:eastAsia="仿宋_GB2312" w:hAnsi="黑体" w:hint="eastAsia"/>
          <w:sz w:val="30"/>
          <w:szCs w:val="30"/>
        </w:rPr>
        <w:t>微信公众号</w:t>
      </w:r>
      <w:proofErr w:type="gramEnd"/>
      <w:r>
        <w:rPr>
          <w:rFonts w:ascii="仿宋_GB2312" w:eastAsia="仿宋_GB2312" w:hAnsi="黑体" w:hint="eastAsia"/>
          <w:sz w:val="30"/>
          <w:szCs w:val="30"/>
        </w:rPr>
        <w:t>，</w:t>
      </w:r>
      <w:proofErr w:type="gramStart"/>
      <w:r>
        <w:rPr>
          <w:rFonts w:ascii="仿宋_GB2312" w:eastAsia="仿宋_GB2312" w:hAnsi="黑体" w:hint="eastAsia"/>
          <w:sz w:val="30"/>
          <w:szCs w:val="30"/>
        </w:rPr>
        <w:t>发布</w:t>
      </w:r>
      <w:r w:rsidRPr="002C42D2">
        <w:rPr>
          <w:rFonts w:ascii="仿宋_GB2312" w:eastAsia="仿宋_GB2312" w:hAnsi="黑体" w:hint="eastAsia"/>
          <w:sz w:val="30"/>
          <w:szCs w:val="30"/>
        </w:rPr>
        <w:t>发布</w:t>
      </w:r>
      <w:proofErr w:type="gramEnd"/>
      <w:r w:rsidRPr="002C42D2">
        <w:rPr>
          <w:rFonts w:ascii="仿宋_GB2312" w:eastAsia="仿宋_GB2312" w:hAnsi="黑体" w:hint="eastAsia"/>
          <w:sz w:val="30"/>
          <w:szCs w:val="30"/>
        </w:rPr>
        <w:t>农业政策、先进技术、</w:t>
      </w:r>
      <w:r>
        <w:rPr>
          <w:rFonts w:ascii="仿宋_GB2312" w:eastAsia="仿宋_GB2312" w:hAnsi="黑体" w:hint="eastAsia"/>
          <w:sz w:val="30"/>
          <w:szCs w:val="30"/>
        </w:rPr>
        <w:t>预防病虫害等信息，将</w:t>
      </w:r>
      <w:r w:rsidRPr="002C42D2">
        <w:rPr>
          <w:rFonts w:ascii="仿宋_GB2312" w:eastAsia="仿宋_GB2312" w:hAnsi="黑体" w:hint="eastAsia"/>
          <w:sz w:val="30"/>
          <w:szCs w:val="30"/>
        </w:rPr>
        <w:t>新技术、新经验及时传递到群众手中。</w:t>
      </w:r>
      <w:r>
        <w:rPr>
          <w:rFonts w:ascii="仿宋_GB2312" w:eastAsia="仿宋_GB2312" w:hAnsi="黑体" w:hint="eastAsia"/>
          <w:sz w:val="30"/>
          <w:szCs w:val="30"/>
        </w:rPr>
        <w:t>2022年发布农业技术方面信息30余条，预防病虫害</w:t>
      </w:r>
      <w:proofErr w:type="gramStart"/>
      <w:r>
        <w:rPr>
          <w:rFonts w:ascii="仿宋_GB2312" w:eastAsia="仿宋_GB2312" w:hAnsi="黑体" w:hint="eastAsia"/>
          <w:sz w:val="30"/>
          <w:szCs w:val="30"/>
        </w:rPr>
        <w:t>害信息</w:t>
      </w:r>
      <w:proofErr w:type="gramEnd"/>
      <w:r>
        <w:rPr>
          <w:rFonts w:ascii="仿宋_GB2312" w:eastAsia="仿宋_GB2312" w:hAnsi="黑体" w:hint="eastAsia"/>
          <w:sz w:val="30"/>
          <w:szCs w:val="30"/>
        </w:rPr>
        <w:t>10余条，点击量均达千余人次。</w:t>
      </w:r>
    </w:p>
    <w:p w:rsidR="00D45CF5" w:rsidRDefault="00A418DD" w:rsidP="00531EDC">
      <w:pPr>
        <w:spacing w:line="560" w:lineRule="exact"/>
        <w:ind w:firstLineChars="200" w:firstLine="600"/>
        <w:jc w:val="left"/>
        <w:rPr>
          <w:rFonts w:ascii="楷体_GB2312" w:eastAsia="楷体_GB2312" w:hAnsi="黑体"/>
          <w:sz w:val="30"/>
          <w:szCs w:val="30"/>
        </w:rPr>
      </w:pPr>
      <w:r>
        <w:rPr>
          <w:rFonts w:ascii="楷体_GB2312" w:eastAsia="楷体_GB2312" w:hAnsi="黑体" w:hint="eastAsia"/>
          <w:sz w:val="30"/>
          <w:szCs w:val="30"/>
        </w:rPr>
        <w:t>（五）有关数据统计说明</w:t>
      </w:r>
    </w:p>
    <w:p w:rsidR="00D45CF5" w:rsidRDefault="00A418DD" w:rsidP="00531EDC">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1.报告中所列数据可能因四舍五入原因与数据直接相加之和存在尾数差异。</w:t>
      </w:r>
    </w:p>
    <w:p w:rsidR="00D45CF5" w:rsidRDefault="00A418DD" w:rsidP="00531EDC">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2.行政许可数量、行政处罚和行政强制数量，包括已公开和</w:t>
      </w:r>
      <w:proofErr w:type="gramStart"/>
      <w:r>
        <w:rPr>
          <w:rFonts w:ascii="仿宋_GB2312" w:eastAsia="仿宋_GB2312" w:hAnsi="仿宋_GB2312" w:cs="仿宋_GB2312" w:hint="eastAsia"/>
          <w:sz w:val="30"/>
          <w:szCs w:val="30"/>
        </w:rPr>
        <w:t>依法未</w:t>
      </w:r>
      <w:proofErr w:type="gramEnd"/>
      <w:r>
        <w:rPr>
          <w:rFonts w:ascii="仿宋_GB2312" w:eastAsia="仿宋_GB2312" w:hAnsi="仿宋_GB2312" w:cs="仿宋_GB2312" w:hint="eastAsia"/>
          <w:sz w:val="30"/>
          <w:szCs w:val="30"/>
        </w:rPr>
        <w:t>公开的全部处理决定。</w:t>
      </w:r>
    </w:p>
    <w:p w:rsidR="00D45CF5" w:rsidRDefault="00A418DD" w:rsidP="00531EDC">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3.行政复议机关作为共同被告的行政诉讼案件，只计算</w:t>
      </w:r>
      <w:proofErr w:type="gramStart"/>
      <w:r>
        <w:rPr>
          <w:rFonts w:ascii="仿宋_GB2312" w:eastAsia="仿宋_GB2312" w:hAnsi="仿宋_GB2312" w:cs="仿宋_GB2312" w:hint="eastAsia"/>
          <w:sz w:val="30"/>
          <w:szCs w:val="30"/>
        </w:rPr>
        <w:t>原行为</w:t>
      </w:r>
      <w:proofErr w:type="gramEnd"/>
      <w:r>
        <w:rPr>
          <w:rFonts w:ascii="仿宋_GB2312" w:eastAsia="仿宋_GB2312" w:hAnsi="仿宋_GB2312" w:cs="仿宋_GB2312" w:hint="eastAsia"/>
          <w:sz w:val="30"/>
          <w:szCs w:val="30"/>
        </w:rPr>
        <w:t>主体的案件数量，不计算行政复议机关的案件数量。</w:t>
      </w:r>
    </w:p>
    <w:p w:rsidR="00D45CF5" w:rsidRDefault="00D45CF5">
      <w:pPr>
        <w:ind w:firstLineChars="200" w:firstLine="640"/>
        <w:jc w:val="left"/>
        <w:rPr>
          <w:rFonts w:ascii="仿宋_GB2312" w:eastAsia="仿宋_GB2312"/>
        </w:rPr>
      </w:pPr>
    </w:p>
    <w:p w:rsidR="00D45CF5" w:rsidRDefault="00D45CF5">
      <w:pPr>
        <w:ind w:firstLineChars="200" w:firstLine="600"/>
        <w:jc w:val="left"/>
        <w:rPr>
          <w:rFonts w:ascii="楷体_GB2312" w:eastAsia="楷体_GB2312" w:hAnsi="黑体"/>
          <w:sz w:val="30"/>
          <w:szCs w:val="30"/>
        </w:rPr>
      </w:pPr>
    </w:p>
    <w:p w:rsidR="00D45CF5" w:rsidRDefault="00D45CF5">
      <w:pPr>
        <w:spacing w:line="560" w:lineRule="exact"/>
        <w:ind w:firstLineChars="200" w:firstLine="600"/>
        <w:rPr>
          <w:rFonts w:ascii="楷体_GB2312" w:eastAsia="楷体_GB2312" w:hAnsi="黑体"/>
          <w:sz w:val="30"/>
          <w:szCs w:val="30"/>
        </w:rPr>
      </w:pPr>
    </w:p>
    <w:sectPr w:rsidR="00D45C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5F1" w:rsidRDefault="001815F1">
      <w:pPr>
        <w:spacing w:line="240" w:lineRule="auto"/>
      </w:pPr>
      <w:r>
        <w:separator/>
      </w:r>
    </w:p>
  </w:endnote>
  <w:endnote w:type="continuationSeparator" w:id="0">
    <w:p w:rsidR="001815F1" w:rsidRDefault="00181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5F1" w:rsidRDefault="001815F1">
      <w:pPr>
        <w:spacing w:line="240" w:lineRule="auto"/>
      </w:pPr>
      <w:r>
        <w:separator/>
      </w:r>
    </w:p>
  </w:footnote>
  <w:footnote w:type="continuationSeparator" w:id="0">
    <w:p w:rsidR="001815F1" w:rsidRDefault="001815F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3MDU2M2U4N2NkYmNmZGE4NjE1NzkwNTQyY2ZjMWEifQ=="/>
  </w:docVars>
  <w:rsids>
    <w:rsidRoot w:val="002E3543"/>
    <w:rsid w:val="000164E6"/>
    <w:rsid w:val="00024945"/>
    <w:rsid w:val="000A5D9C"/>
    <w:rsid w:val="00110130"/>
    <w:rsid w:val="00117733"/>
    <w:rsid w:val="00121DCF"/>
    <w:rsid w:val="001815F1"/>
    <w:rsid w:val="001C1D84"/>
    <w:rsid w:val="00211942"/>
    <w:rsid w:val="002133C7"/>
    <w:rsid w:val="002C42D2"/>
    <w:rsid w:val="002E3543"/>
    <w:rsid w:val="003B5255"/>
    <w:rsid w:val="003E75A6"/>
    <w:rsid w:val="00415AB1"/>
    <w:rsid w:val="004622F8"/>
    <w:rsid w:val="004C1750"/>
    <w:rsid w:val="00515DB1"/>
    <w:rsid w:val="00523855"/>
    <w:rsid w:val="00531EDC"/>
    <w:rsid w:val="00591E5D"/>
    <w:rsid w:val="005B3B63"/>
    <w:rsid w:val="005C0F41"/>
    <w:rsid w:val="00600D18"/>
    <w:rsid w:val="00606121"/>
    <w:rsid w:val="0065765D"/>
    <w:rsid w:val="00673AC7"/>
    <w:rsid w:val="00677C54"/>
    <w:rsid w:val="006A1E4E"/>
    <w:rsid w:val="00704FCD"/>
    <w:rsid w:val="00777CF6"/>
    <w:rsid w:val="008C4ED2"/>
    <w:rsid w:val="009B028C"/>
    <w:rsid w:val="00A418DD"/>
    <w:rsid w:val="00AC1385"/>
    <w:rsid w:val="00B0170E"/>
    <w:rsid w:val="00B3570D"/>
    <w:rsid w:val="00B7711B"/>
    <w:rsid w:val="00C542CC"/>
    <w:rsid w:val="00C546C1"/>
    <w:rsid w:val="00C571F9"/>
    <w:rsid w:val="00C67940"/>
    <w:rsid w:val="00C73BD0"/>
    <w:rsid w:val="00CC1594"/>
    <w:rsid w:val="00CC2BE7"/>
    <w:rsid w:val="00CC521B"/>
    <w:rsid w:val="00CD1D00"/>
    <w:rsid w:val="00D45CF5"/>
    <w:rsid w:val="00D466AD"/>
    <w:rsid w:val="00E9670F"/>
    <w:rsid w:val="00EA0721"/>
    <w:rsid w:val="00EF5607"/>
    <w:rsid w:val="00F01F3D"/>
    <w:rsid w:val="00F362EE"/>
    <w:rsid w:val="00F67058"/>
    <w:rsid w:val="00FA216A"/>
    <w:rsid w:val="00FD5381"/>
    <w:rsid w:val="04E22B55"/>
    <w:rsid w:val="29071462"/>
    <w:rsid w:val="29375925"/>
    <w:rsid w:val="379351CA"/>
    <w:rsid w:val="38B642D4"/>
    <w:rsid w:val="3DB274AF"/>
    <w:rsid w:val="4E207F42"/>
    <w:rsid w:val="4F1E2927"/>
    <w:rsid w:val="56A9080E"/>
    <w:rsid w:val="5CFB7F9F"/>
    <w:rsid w:val="67A733FA"/>
    <w:rsid w:val="6EA03C00"/>
    <w:rsid w:val="71510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uiPriority w:val="99"/>
    <w:semiHidden/>
    <w:unhideWhenUsed/>
    <w:qFormat/>
    <w:pPr>
      <w:spacing w:beforeAutospacing="1" w:afterAutospacing="1"/>
      <w:jc w:val="left"/>
    </w:pPr>
    <w:rPr>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r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 w:type="paragraph" w:styleId="a8">
    <w:name w:val="Balloon Text"/>
    <w:basedOn w:val="a"/>
    <w:link w:val="Char1"/>
    <w:uiPriority w:val="99"/>
    <w:semiHidden/>
    <w:unhideWhenUsed/>
    <w:rsid w:val="00F362EE"/>
    <w:pPr>
      <w:spacing w:line="240" w:lineRule="auto"/>
    </w:pPr>
    <w:rPr>
      <w:sz w:val="18"/>
      <w:szCs w:val="18"/>
    </w:rPr>
  </w:style>
  <w:style w:type="character" w:customStyle="1" w:styleId="Char1">
    <w:name w:val="批注框文本 Char"/>
    <w:basedOn w:val="a0"/>
    <w:link w:val="a8"/>
    <w:uiPriority w:val="99"/>
    <w:semiHidden/>
    <w:rsid w:val="00F362EE"/>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uiPriority w:val="99"/>
    <w:semiHidden/>
    <w:unhideWhenUsed/>
    <w:qFormat/>
    <w:pPr>
      <w:spacing w:beforeAutospacing="1" w:afterAutospacing="1"/>
      <w:jc w:val="left"/>
    </w:pPr>
    <w:rPr>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r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 w:type="paragraph" w:styleId="a8">
    <w:name w:val="Balloon Text"/>
    <w:basedOn w:val="a"/>
    <w:link w:val="Char1"/>
    <w:uiPriority w:val="99"/>
    <w:semiHidden/>
    <w:unhideWhenUsed/>
    <w:rsid w:val="00F362EE"/>
    <w:pPr>
      <w:spacing w:line="240" w:lineRule="auto"/>
    </w:pPr>
    <w:rPr>
      <w:sz w:val="18"/>
      <w:szCs w:val="18"/>
    </w:rPr>
  </w:style>
  <w:style w:type="character" w:customStyle="1" w:styleId="Char1">
    <w:name w:val="批注框文本 Char"/>
    <w:basedOn w:val="a0"/>
    <w:link w:val="a8"/>
    <w:uiPriority w:val="99"/>
    <w:semiHidden/>
    <w:rsid w:val="00F362EE"/>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8</Pages>
  <Words>617</Words>
  <Characters>3519</Characters>
  <Application>Microsoft Office Word</Application>
  <DocSecurity>0</DocSecurity>
  <Lines>29</Lines>
  <Paragraphs>8</Paragraphs>
  <ScaleCrop>false</ScaleCrop>
  <Company>gq</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33</cp:revision>
  <cp:lastPrinted>2023-01-13T09:11:00Z</cp:lastPrinted>
  <dcterms:created xsi:type="dcterms:W3CDTF">2022-01-02T01:04:00Z</dcterms:created>
  <dcterms:modified xsi:type="dcterms:W3CDTF">2023-02-02T07:55:00Z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BC3A2DA586954CF7852097F9B36B93C2</vt:lpwstr>
  </property>
</Properties>
</file>