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b/>
          <w:sz w:val="44"/>
          <w:szCs w:val="44"/>
        </w:rPr>
      </w:pPr>
      <w:r>
        <w:rPr>
          <w:rFonts w:ascii="Times New Roman" w:hAnsi="Times New Roman"/>
          <w:b/>
          <w:sz w:val="44"/>
          <w:szCs w:val="44"/>
        </w:rPr>
        <w:t>高青县农业农村局</w:t>
      </w:r>
    </w:p>
    <w:p>
      <w:pPr>
        <w:spacing w:line="560" w:lineRule="exact"/>
        <w:jc w:val="center"/>
        <w:rPr>
          <w:rFonts w:ascii="Times New Roman" w:hAnsi="Times New Roman"/>
          <w:b/>
          <w:sz w:val="44"/>
          <w:szCs w:val="44"/>
        </w:rPr>
      </w:pPr>
      <w:r>
        <w:rPr>
          <w:rFonts w:ascii="Times New Roman" w:hAnsi="Times New Roman"/>
          <w:b/>
          <w:sz w:val="44"/>
          <w:szCs w:val="44"/>
        </w:rPr>
        <w:t>202</w:t>
      </w:r>
      <w:r>
        <w:rPr>
          <w:rFonts w:hint="eastAsia" w:ascii="Times New Roman" w:hAnsi="Times New Roman"/>
          <w:b/>
          <w:sz w:val="44"/>
          <w:szCs w:val="44"/>
        </w:rPr>
        <w:t>1</w:t>
      </w:r>
      <w:r>
        <w:rPr>
          <w:rFonts w:ascii="Times New Roman" w:hAnsi="Times New Roman"/>
          <w:b/>
          <w:sz w:val="44"/>
          <w:szCs w:val="44"/>
        </w:rPr>
        <w:t>年政府信息公开工作年度报告</w:t>
      </w:r>
    </w:p>
    <w:p>
      <w:pPr>
        <w:spacing w:line="560" w:lineRule="exact"/>
        <w:jc w:val="center"/>
        <w:rPr>
          <w:rFonts w:ascii="Times New Roman" w:hAnsi="Times New Roman"/>
          <w:b/>
          <w:sz w:val="44"/>
          <w:szCs w:val="44"/>
        </w:rPr>
      </w:pPr>
    </w:p>
    <w:p>
      <w:pPr>
        <w:autoSpaceDE w:val="0"/>
        <w:autoSpaceDN w:val="0"/>
        <w:snapToGrid w:val="0"/>
        <w:spacing w:line="560" w:lineRule="exact"/>
        <w:ind w:firstLine="640" w:firstLineChars="200"/>
        <w:rPr>
          <w:rFonts w:ascii="仿宋_GB2312" w:hAnsi="仿宋_GB2312" w:eastAsia="仿宋_GB2312" w:cs="仿宋_GB2312"/>
          <w:snapToGrid w:val="0"/>
          <w:kern w:val="0"/>
          <w:sz w:val="32"/>
          <w:szCs w:val="20"/>
        </w:rPr>
      </w:pPr>
      <w:r>
        <w:rPr>
          <w:rFonts w:hint="eastAsia" w:ascii="仿宋_GB2312" w:hAnsi="仿宋_GB2312" w:eastAsia="仿宋_GB2312" w:cs="仿宋_GB2312"/>
          <w:snapToGrid w:val="0"/>
          <w:kern w:val="0"/>
          <w:sz w:val="32"/>
          <w:szCs w:val="20"/>
        </w:rPr>
        <w:t>本报告根据《中华人民共和国政府信息公开条例》（国务院令第711号）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20"/>
        </w:rPr>
        <w:t>报告中所列数据统计期限自2021年1月1日始，至2021年12月31日止。</w:t>
      </w:r>
      <w:r>
        <w:rPr>
          <w:rFonts w:hint="eastAsia" w:ascii="仿宋_GB2312" w:hAnsi="仿宋_GB2312" w:eastAsia="仿宋_GB2312" w:cs="仿宋_GB2312"/>
          <w:sz w:val="32"/>
          <w:szCs w:val="32"/>
        </w:rPr>
        <w:t>报告电子版可在高青县人民政府门户网站（www.gaoqing.gov.cn）查阅和下载。如对报告内容有疑问，请与高青县农业农村局办公室联系（地址：高青县黄河路101号；邮编：256300；电话：0533-6962768；传真：0533-6962768）。</w:t>
      </w:r>
    </w:p>
    <w:p>
      <w:pPr>
        <w:spacing w:line="560" w:lineRule="exact"/>
        <w:ind w:firstLine="640" w:firstLineChars="200"/>
        <w:rPr>
          <w:rFonts w:ascii="Times New Roman" w:hAnsi="Times New Roman" w:eastAsia="黑体"/>
          <w:sz w:val="32"/>
          <w:szCs w:val="32"/>
          <w:lang w:bidi="ar"/>
        </w:rPr>
      </w:pPr>
      <w:r>
        <w:rPr>
          <w:rFonts w:hint="eastAsia" w:ascii="Times New Roman" w:hAnsi="Times New Roman" w:eastAsia="黑体"/>
          <w:sz w:val="32"/>
          <w:szCs w:val="32"/>
          <w:lang w:bidi="ar"/>
        </w:rPr>
        <w:t>一、</w:t>
      </w:r>
      <w:r>
        <w:rPr>
          <w:rFonts w:ascii="Times New Roman" w:hAnsi="Times New Roman" w:eastAsia="黑体"/>
          <w:sz w:val="32"/>
          <w:szCs w:val="32"/>
          <w:lang w:bidi="ar"/>
        </w:rPr>
        <w:t>总体情况</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（一）主动公开</w:t>
      </w:r>
    </w:p>
    <w:p>
      <w:pPr>
        <w:spacing w:line="560" w:lineRule="exact"/>
        <w:ind w:firstLine="640" w:firstLineChars="200"/>
        <w:rPr>
          <w:rFonts w:ascii="仿宋_GB2312" w:hAnsi="Times New Roman" w:eastAsia="仿宋_GB2312"/>
          <w:snapToGrid w:val="0"/>
          <w:color w:val="000000" w:themeColor="text1"/>
          <w:kern w:val="0"/>
          <w:sz w:val="32"/>
          <w:szCs w:val="20"/>
          <w14:textFill>
            <w14:solidFill>
              <w14:schemeClr w14:val="tx1"/>
            </w14:solidFill>
          </w14:textFill>
        </w:rPr>
      </w:pPr>
      <w:r>
        <w:rPr>
          <w:rFonts w:hint="eastAsia" w:ascii="仿宋_GB2312" w:hAnsi="Times New Roman" w:eastAsia="仿宋_GB2312"/>
          <w:snapToGrid w:val="0"/>
          <w:color w:val="000000" w:themeColor="text1"/>
          <w:kern w:val="0"/>
          <w:sz w:val="32"/>
          <w:szCs w:val="20"/>
          <w14:textFill>
            <w14:solidFill>
              <w14:schemeClr w14:val="tx1"/>
            </w14:solidFill>
          </w14:textFill>
        </w:rPr>
        <w:t>深入贯彻落实《中华人民共和国政府信息公开条例》，按照县委、县政府关于全面推进政务公开工作的部署要求，不断深化改革，</w:t>
      </w:r>
      <w:r>
        <w:rPr>
          <w:rFonts w:hint="eastAsia" w:ascii="仿宋_GB2312" w:hAnsi="Times New Roman" w:eastAsia="仿宋_GB2312"/>
          <w:snapToGrid w:val="0"/>
          <w:kern w:val="0"/>
          <w:sz w:val="32"/>
          <w:szCs w:val="20"/>
        </w:rPr>
        <w:t>持续推进政务公开标准化规范化建设，</w:t>
      </w:r>
      <w:r>
        <w:rPr>
          <w:rFonts w:hint="eastAsia" w:ascii="仿宋_GB2312" w:hAnsi="黑体" w:eastAsia="仿宋_GB2312"/>
          <w:sz w:val="32"/>
          <w:szCs w:val="32"/>
        </w:rPr>
        <w:t>2021年主动公开政府信息新增142条，主要为政策文件类、重要部署执行类、行政执法公示类信息，以及其他业务信息。围绕“六稳”“六保”开展重要政策解读，重点解读政策背景、决策依据和主要内容。</w:t>
      </w:r>
      <w:r>
        <w:rPr>
          <w:rFonts w:hint="eastAsia" w:ascii="仿宋_GB2312" w:hAnsi="Times New Roman" w:eastAsia="仿宋_GB2312"/>
          <w:snapToGrid w:val="0"/>
          <w:color w:val="000000" w:themeColor="text1"/>
          <w:kern w:val="0"/>
          <w:sz w:val="32"/>
          <w:szCs w:val="20"/>
          <w14:textFill>
            <w14:solidFill>
              <w14:schemeClr w14:val="tx1"/>
            </w14:solidFill>
          </w14:textFill>
        </w:rPr>
        <w:t>实时关注民生情况，收到“12345”后，立即组织相关人员核实情况，及时处理问题回复答疑，确保群众满意。</w:t>
      </w:r>
    </w:p>
    <w:p>
      <w:pPr>
        <w:spacing w:line="560" w:lineRule="exact"/>
        <w:ind w:firstLine="640" w:firstLineChars="200"/>
        <w:rPr>
          <w:rFonts w:ascii="仿宋_GB2312" w:hAnsi="Times New Roman" w:eastAsia="仿宋_GB2312"/>
          <w:snapToGrid w:val="0"/>
          <w:kern w:val="0"/>
          <w:sz w:val="32"/>
          <w:szCs w:val="20"/>
        </w:rPr>
      </w:pPr>
    </w:p>
    <w:p>
      <w:pPr>
        <w:jc w:val="left"/>
        <w:rPr>
          <w:rFonts w:ascii="仿宋_GB2312" w:hAnsi="Times New Roman" w:eastAsia="仿宋_GB2312"/>
          <w:snapToGrid w:val="0"/>
          <w:kern w:val="0"/>
          <w:sz w:val="32"/>
          <w:szCs w:val="20"/>
        </w:rPr>
      </w:pPr>
      <w:r>
        <w:rPr>
          <w:rFonts w:hint="eastAsia" w:ascii="仿宋_GB2312" w:hAnsi="Times New Roman" w:eastAsia="仿宋_GB2312"/>
          <w:snapToGrid w:val="0"/>
          <w:kern w:val="0"/>
          <w:sz w:val="32"/>
          <w:szCs w:val="20"/>
        </w:rPr>
        <w:drawing>
          <wp:inline distT="0" distB="0" distL="114300" distR="114300">
            <wp:extent cx="5443220" cy="3937635"/>
            <wp:effectExtent l="0" t="0" r="5080" b="5715"/>
            <wp:docPr id="1" name="图片 1" descr="微信图片_202201180917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20118091739"/>
                    <pic:cNvPicPr>
                      <a:picLocks noChangeAspect="true"/>
                    </pic:cNvPicPr>
                  </pic:nvPicPr>
                  <pic:blipFill>
                    <a:blip r:embed="rId4"/>
                    <a:stretch>
                      <a:fillRect/>
                    </a:stretch>
                  </pic:blipFill>
                  <pic:spPr>
                    <a:xfrm>
                      <a:off x="0" y="0"/>
                      <a:ext cx="5443220" cy="3937635"/>
                    </a:xfrm>
                    <a:prstGeom prst="rect">
                      <a:avLst/>
                    </a:prstGeom>
                  </pic:spPr>
                </pic:pic>
              </a:graphicData>
            </a:graphic>
          </wp:inline>
        </w:drawing>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2021年未收到政府信息公开申请，上年度未结转政府信息公开申请，未因政府信息公开被申请行政复议、提起行政诉讼。</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（三）政府信息管理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明确专人负责政务信息公开工作，严格落实政务信息公开制度，严格审核公开的信息，做到“上网信息不涉密，涉密信息不上网”，确保信息更新及时，充分保障公众知情权，提高工作透明度。</w:t>
      </w:r>
      <w:r>
        <w:rPr>
          <w:rFonts w:hint="eastAsia" w:ascii="仿宋_GB2312" w:eastAsia="仿宋_GB2312"/>
          <w:sz w:val="32"/>
          <w:szCs w:val="32"/>
        </w:rPr>
        <w:t>建立政府信息保密审核制度，对拟公开的政府信息进行审核，确保公开信息不涉密。</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（四）政府信息公开平台建设</w:t>
      </w:r>
    </w:p>
    <w:p>
      <w:pPr>
        <w:spacing w:line="560" w:lineRule="exact"/>
        <w:ind w:firstLine="640" w:firstLineChars="200"/>
        <w:rPr>
          <w:rFonts w:ascii="仿宋_GB2312"/>
          <w:color w:val="0000FF"/>
          <w:sz w:val="32"/>
          <w:szCs w:val="32"/>
        </w:rPr>
      </w:pPr>
      <w:r>
        <w:rPr>
          <w:rFonts w:hint="eastAsia" w:ascii="仿宋_GB2312" w:eastAsia="仿宋_GB2312"/>
          <w:color w:val="000000" w:themeColor="text1"/>
          <w:sz w:val="32"/>
          <w:szCs w:val="32"/>
          <w14:textFill>
            <w14:solidFill>
              <w14:schemeClr w14:val="tx1"/>
            </w14:solidFill>
          </w14:textFill>
        </w:rPr>
        <w:t>利用县政府门户网站、微信公众号等方式和途径，广泛开展政府信息公开工作。</w:t>
      </w:r>
      <w:r>
        <w:rPr>
          <w:rFonts w:hint="eastAsia" w:ascii="Times New Roman" w:hAnsi="Times New Roman" w:eastAsia="仿宋_GB2312"/>
          <w:sz w:val="32"/>
          <w:szCs w:val="32"/>
        </w:rPr>
        <w:t>微信公众号每两周左右推送一次农业农村工作活动，通过朋友圈分享进行多次再传播，极大方便了广大网民第一时间了解农业农村工作，关注高青农业农村发展新动态。</w:t>
      </w:r>
    </w:p>
    <w:p>
      <w:pPr>
        <w:spacing w:line="56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（五）监督保障</w:t>
      </w:r>
    </w:p>
    <w:p>
      <w:pPr>
        <w:spacing w:line="560" w:lineRule="exact"/>
        <w:ind w:firstLine="640" w:firstLineChars="200"/>
        <w:rPr>
          <w:rFonts w:ascii="仿宋_GB2312" w:eastAsia="仿宋_GB2312"/>
          <w:sz w:val="32"/>
          <w:szCs w:val="32"/>
        </w:rPr>
      </w:pPr>
      <w:r>
        <w:rPr>
          <w:rFonts w:ascii="Times New Roman" w:hAnsi="Times New Roman" w:eastAsia="仿宋_GB2312"/>
          <w:color w:val="000000"/>
          <w:sz w:val="32"/>
          <w:szCs w:val="32"/>
        </w:rPr>
        <w:t>加强</w:t>
      </w:r>
      <w:r>
        <w:rPr>
          <w:rFonts w:hint="eastAsia" w:ascii="Times New Roman" w:hAnsi="Times New Roman" w:eastAsia="仿宋_GB2312"/>
          <w:color w:val="000000"/>
          <w:sz w:val="32"/>
          <w:szCs w:val="32"/>
        </w:rPr>
        <w:t>政府信息公开</w:t>
      </w:r>
      <w:r>
        <w:rPr>
          <w:rFonts w:ascii="Times New Roman" w:hAnsi="Times New Roman" w:eastAsia="仿宋_GB2312"/>
          <w:color w:val="000000"/>
          <w:sz w:val="32"/>
          <w:szCs w:val="32"/>
        </w:rPr>
        <w:t>组织管理</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明确分管领导</w:t>
      </w:r>
      <w:r>
        <w:rPr>
          <w:rFonts w:hint="eastAsia" w:ascii="Times New Roman" w:hAnsi="Times New Roman" w:eastAsia="仿宋_GB2312"/>
          <w:color w:val="000000"/>
          <w:sz w:val="32"/>
          <w:szCs w:val="32"/>
        </w:rPr>
        <w:t>，局办公室具体负责政府信息公开工作，配备了2名兼职人员，其他科室协同配合，</w:t>
      </w:r>
      <w:r>
        <w:rPr>
          <w:rFonts w:ascii="Times New Roman" w:hAnsi="Times New Roman" w:eastAsia="仿宋_GB2312"/>
          <w:color w:val="000000"/>
          <w:sz w:val="32"/>
          <w:szCs w:val="32"/>
        </w:rPr>
        <w:t>形成了职责分明、分工合理、各负其责、齐抓共管的工作局面，确保了政府信息公开工作的顺利推进。</w:t>
      </w:r>
      <w:r>
        <w:rPr>
          <w:rFonts w:hint="eastAsia" w:ascii="Times New Roman" w:hAnsi="Times New Roman" w:eastAsia="仿宋_GB2312"/>
          <w:color w:val="000000"/>
          <w:sz w:val="32"/>
          <w:szCs w:val="32"/>
        </w:rPr>
        <w:t>调整政务公开领导小组，由局主要负责人任组长。抓好日常培训，</w:t>
      </w:r>
      <w:r>
        <w:rPr>
          <w:rFonts w:hint="eastAsia" w:ascii="仿宋_GB2312" w:eastAsia="仿宋_GB2312"/>
          <w:sz w:val="32"/>
          <w:szCs w:val="32"/>
        </w:rPr>
        <w:t>2021年开展1次</w:t>
      </w:r>
      <w:r>
        <w:rPr>
          <w:rFonts w:hint="eastAsia" w:ascii="仿宋_GB2312" w:eastAsia="仿宋_GB2312"/>
          <w:sz w:val="32"/>
          <w:szCs w:val="32"/>
          <w:lang w:eastAsia="zh-CN"/>
        </w:rPr>
        <w:t>政府</w:t>
      </w:r>
      <w:r>
        <w:rPr>
          <w:rFonts w:ascii="Times New Roman" w:hAnsi="Times New Roman" w:eastAsia="仿宋_GB2312"/>
          <w:color w:val="000000"/>
          <w:sz w:val="32"/>
          <w:szCs w:val="32"/>
        </w:rPr>
        <w:t>信息公开</w:t>
      </w:r>
      <w:r>
        <w:rPr>
          <w:rFonts w:hint="eastAsia" w:ascii="仿宋_GB2312" w:eastAsia="仿宋_GB2312"/>
          <w:sz w:val="32"/>
          <w:szCs w:val="32"/>
        </w:rPr>
        <w:t>培训。</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autoSpaceDE w:val="0"/>
        <w:autoSpaceDN w:val="0"/>
        <w:snapToGrid w:val="0"/>
        <w:spacing w:after="156" w:afterLines="50"/>
        <w:rPr>
          <w:rFonts w:ascii="黑体" w:hAnsi="黑体" w:eastAsia="黑体"/>
          <w:snapToGrid w:val="0"/>
          <w:kern w:val="0"/>
          <w:sz w:val="32"/>
          <w:szCs w:val="32"/>
        </w:rPr>
      </w:pPr>
    </w:p>
    <w:p>
      <w:pPr>
        <w:autoSpaceDE w:val="0"/>
        <w:autoSpaceDN w:val="0"/>
        <w:snapToGrid w:val="0"/>
        <w:spacing w:after="156" w:afterLines="50"/>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2127"/>
        <w:gridCol w:w="212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autoSpaceDE w:val="0"/>
              <w:autoSpaceDN w:val="0"/>
              <w:snapToGrid w:val="0"/>
              <w:jc w:val="center"/>
              <w:rPr>
                <w:rFonts w:ascii="黑体" w:hAnsi="黑体" w:eastAsia="黑体"/>
                <w:snapToGrid w:val="0"/>
                <w:kern w:val="0"/>
                <w:sz w:val="20"/>
                <w:szCs w:val="20"/>
              </w:rPr>
            </w:pPr>
            <w:r>
              <w:rPr>
                <w:rFonts w:hint="eastAsia" w:ascii="宋体" w:hAnsi="宋体" w:cs="宋体"/>
                <w:color w:val="000000"/>
                <w:kern w:val="0"/>
                <w:sz w:val="20"/>
                <w:szCs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2130" w:type="dxa"/>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本年</w:t>
            </w:r>
            <w:r>
              <w:rPr>
                <w:rFonts w:ascii="宋体" w:hAnsi="宋体" w:cs="Calibri"/>
                <w:kern w:val="0"/>
                <w:sz w:val="20"/>
                <w:szCs w:val="20"/>
              </w:rPr>
              <w:t>制</w:t>
            </w:r>
            <w:r>
              <w:rPr>
                <w:rFonts w:hint="eastAsia" w:ascii="宋体" w:hAnsi="宋体" w:cs="宋体"/>
                <w:kern w:val="0"/>
                <w:sz w:val="20"/>
                <w:szCs w:val="20"/>
              </w:rPr>
              <w:t>发件</w:t>
            </w:r>
            <w:r>
              <w:rPr>
                <w:rFonts w:ascii="宋体" w:hAnsi="宋体" w:cs="Calibri"/>
                <w:kern w:val="0"/>
                <w:sz w:val="20"/>
                <w:szCs w:val="20"/>
              </w:rPr>
              <w:t>数</w:t>
            </w:r>
          </w:p>
        </w:tc>
        <w:tc>
          <w:tcPr>
            <w:tcW w:w="2131" w:type="dxa"/>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本年废止件数</w:t>
            </w:r>
          </w:p>
        </w:tc>
        <w:tc>
          <w:tcPr>
            <w:tcW w:w="2131" w:type="dxa"/>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现行有效件</w:t>
            </w:r>
            <w:r>
              <w:rPr>
                <w:rFonts w:ascii="宋体" w:hAnsi="宋体" w:cs="Calibri"/>
                <w:kern w:val="0"/>
                <w:sz w:val="20"/>
                <w:szCs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规章</w:t>
            </w:r>
          </w:p>
        </w:tc>
        <w:tc>
          <w:tcPr>
            <w:tcW w:w="2130" w:type="dxa"/>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2131" w:type="dxa"/>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2131" w:type="dxa"/>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行政规范性文件</w:t>
            </w:r>
          </w:p>
        </w:tc>
        <w:tc>
          <w:tcPr>
            <w:tcW w:w="2130" w:type="dxa"/>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2131" w:type="dxa"/>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2131" w:type="dxa"/>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autoSpaceDE w:val="0"/>
              <w:autoSpaceDN w:val="0"/>
              <w:snapToGrid w:val="0"/>
              <w:jc w:val="center"/>
              <w:rPr>
                <w:rFonts w:ascii="宋体" w:hAnsi="宋体" w:cs="宋体"/>
                <w:color w:val="000000"/>
                <w:kern w:val="0"/>
                <w:sz w:val="20"/>
                <w:szCs w:val="20"/>
              </w:rPr>
            </w:pPr>
            <w:r>
              <w:rPr>
                <w:rFonts w:hint="eastAsia" w:ascii="宋体" w:hAnsi="宋体" w:cs="宋体"/>
                <w:color w:val="000000"/>
                <w:kern w:val="0"/>
                <w:sz w:val="20"/>
                <w:szCs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6392" w:type="dxa"/>
            <w:gridSpan w:val="3"/>
            <w:vAlign w:val="center"/>
          </w:tcPr>
          <w:p>
            <w:pPr>
              <w:autoSpaceDE w:val="0"/>
              <w:autoSpaceDN w:val="0"/>
              <w:snapToGrid w:val="0"/>
              <w:jc w:val="center"/>
              <w:rPr>
                <w:rFonts w:ascii="黑体" w:hAnsi="黑体" w:eastAsia="黑体"/>
                <w:snapToGrid w:val="0"/>
                <w:kern w:val="0"/>
                <w:sz w:val="20"/>
                <w:szCs w:val="20"/>
              </w:rPr>
            </w:pPr>
            <w:r>
              <w:rPr>
                <w:rFonts w:hint="eastAsia" w:ascii="宋体" w:hAnsi="宋体" w:cs="宋体"/>
                <w:color w:val="000000"/>
                <w:kern w:val="0"/>
                <w:sz w:val="20"/>
                <w:szCs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6392" w:type="dxa"/>
            <w:gridSpan w:val="3"/>
            <w:vAlign w:val="center"/>
          </w:tcPr>
          <w:p>
            <w:pPr>
              <w:autoSpaceDE w:val="0"/>
              <w:autoSpaceDN w:val="0"/>
              <w:snapToGrid w:val="0"/>
              <w:jc w:val="center"/>
              <w:rPr>
                <w:rFonts w:hint="default" w:ascii="黑体" w:hAnsi="黑体" w:eastAsia="黑体"/>
                <w:snapToGrid w:val="0"/>
                <w:kern w:val="0"/>
                <w:sz w:val="24"/>
                <w:lang w:val="en" w:eastAsia="zh-CN"/>
              </w:rPr>
            </w:pPr>
            <w:r>
              <w:rPr>
                <w:rFonts w:hint="default" w:ascii="黑体" w:hAnsi="黑体" w:eastAsia="黑体"/>
                <w:snapToGrid w:val="0"/>
                <w:kern w:val="0"/>
                <w:sz w:val="24"/>
                <w:lang w:val="en" w:eastAsia="zh-CN"/>
              </w:rPr>
              <w:t>21893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autoSpaceDE w:val="0"/>
              <w:autoSpaceDN w:val="0"/>
              <w:snapToGrid w:val="0"/>
              <w:jc w:val="center"/>
              <w:rPr>
                <w:rFonts w:ascii="宋体" w:hAnsi="宋体" w:cs="宋体"/>
                <w:color w:val="000000"/>
                <w:kern w:val="0"/>
                <w:sz w:val="20"/>
                <w:szCs w:val="20"/>
              </w:rPr>
            </w:pPr>
            <w:r>
              <w:rPr>
                <w:rFonts w:hint="eastAsia" w:ascii="宋体" w:hAnsi="宋体" w:cs="宋体"/>
                <w:color w:val="000000"/>
                <w:kern w:val="0"/>
                <w:sz w:val="20"/>
                <w:szCs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6392" w:type="dxa"/>
            <w:gridSpan w:val="3"/>
            <w:vAlign w:val="center"/>
          </w:tcPr>
          <w:p>
            <w:pPr>
              <w:autoSpaceDE w:val="0"/>
              <w:autoSpaceDN w:val="0"/>
              <w:snapToGrid w:val="0"/>
              <w:jc w:val="center"/>
              <w:rPr>
                <w:rFonts w:ascii="黑体" w:hAnsi="黑体" w:eastAsia="黑体"/>
                <w:snapToGrid w:val="0"/>
                <w:kern w:val="0"/>
                <w:sz w:val="20"/>
                <w:szCs w:val="20"/>
              </w:rPr>
            </w:pPr>
            <w:r>
              <w:rPr>
                <w:rFonts w:hint="eastAsia" w:ascii="宋体" w:hAnsi="宋体" w:cs="宋体"/>
                <w:color w:val="000000"/>
                <w:kern w:val="0"/>
                <w:sz w:val="20"/>
                <w:szCs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行政处罚</w:t>
            </w:r>
          </w:p>
        </w:tc>
        <w:tc>
          <w:tcPr>
            <w:tcW w:w="6392" w:type="dxa"/>
            <w:gridSpan w:val="3"/>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行政强制</w:t>
            </w:r>
          </w:p>
        </w:tc>
        <w:tc>
          <w:tcPr>
            <w:tcW w:w="6392" w:type="dxa"/>
            <w:gridSpan w:val="3"/>
            <w:vAlign w:val="center"/>
          </w:tcPr>
          <w:p>
            <w:pPr>
              <w:autoSpaceDE w:val="0"/>
              <w:autoSpaceDN w:val="0"/>
              <w:snapToGrid w:val="0"/>
              <w:jc w:val="center"/>
              <w:rPr>
                <w:rFonts w:hint="default" w:ascii="黑体" w:hAnsi="黑体" w:eastAsia="黑体"/>
                <w:snapToGrid w:val="0"/>
                <w:kern w:val="0"/>
                <w:sz w:val="24"/>
                <w:lang w:val="en"/>
              </w:rPr>
            </w:pPr>
            <w:r>
              <w:rPr>
                <w:rFonts w:hint="default" w:ascii="黑体" w:hAnsi="黑体" w:eastAsia="黑体"/>
                <w:snapToGrid w:val="0"/>
                <w:kern w:val="0"/>
                <w:sz w:val="24"/>
                <w:lang w:val="en"/>
              </w:rPr>
              <w:t>12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autoSpaceDE w:val="0"/>
              <w:autoSpaceDN w:val="0"/>
              <w:snapToGrid w:val="0"/>
              <w:jc w:val="center"/>
              <w:rPr>
                <w:rFonts w:ascii="宋体" w:hAnsi="宋体" w:cs="宋体"/>
                <w:color w:val="000000"/>
                <w:kern w:val="0"/>
                <w:sz w:val="20"/>
                <w:szCs w:val="20"/>
              </w:rPr>
            </w:pPr>
            <w:r>
              <w:rPr>
                <w:rFonts w:hint="eastAsia" w:ascii="宋体" w:hAnsi="宋体" w:cs="宋体"/>
                <w:color w:val="000000"/>
                <w:kern w:val="0"/>
                <w:sz w:val="20"/>
                <w:szCs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6392" w:type="dxa"/>
            <w:gridSpan w:val="3"/>
            <w:vAlign w:val="center"/>
          </w:tcPr>
          <w:p>
            <w:pPr>
              <w:autoSpaceDE w:val="0"/>
              <w:autoSpaceDN w:val="0"/>
              <w:snapToGrid w:val="0"/>
              <w:jc w:val="center"/>
              <w:rPr>
                <w:rFonts w:ascii="黑体" w:hAnsi="黑体" w:eastAsia="黑体"/>
                <w:snapToGrid w:val="0"/>
                <w:kern w:val="0"/>
                <w:sz w:val="20"/>
                <w:szCs w:val="20"/>
              </w:rPr>
            </w:pPr>
            <w:r>
              <w:rPr>
                <w:rFonts w:hint="eastAsia" w:ascii="宋体" w:hAnsi="宋体" w:cs="宋体"/>
                <w:color w:val="000000"/>
                <w:kern w:val="0"/>
                <w:sz w:val="20"/>
                <w:szCs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行政事业性收费</w:t>
            </w:r>
          </w:p>
        </w:tc>
        <w:tc>
          <w:tcPr>
            <w:tcW w:w="6392" w:type="dxa"/>
            <w:gridSpan w:val="3"/>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bl>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rPr>
          <w:rFonts w:ascii="黑体" w:hAnsi="黑体" w:eastAsia="黑体"/>
          <w:snapToGrid w:val="0"/>
          <w:kern w:val="0"/>
          <w:sz w:val="30"/>
          <w:szCs w:val="30"/>
        </w:rPr>
      </w:pPr>
    </w:p>
    <w:p>
      <w:pPr>
        <w:autoSpaceDE w:val="0"/>
        <w:autoSpaceDN w:val="0"/>
        <w:snapToGrid w:val="0"/>
        <w:ind w:firstLine="600" w:firstLineChars="200"/>
        <w:rPr>
          <w:rFonts w:ascii="黑体" w:hAnsi="黑体" w:eastAsia="黑体"/>
          <w:snapToGrid w:val="0"/>
          <w:kern w:val="0"/>
          <w:sz w:val="30"/>
          <w:szCs w:val="30"/>
        </w:rPr>
      </w:pPr>
    </w:p>
    <w:p>
      <w:pPr>
        <w:autoSpaceDE w:val="0"/>
        <w:autoSpaceDN w:val="0"/>
        <w:snapToGrid w:val="0"/>
        <w:spacing w:after="156" w:afterLines="50"/>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0"/>
                <w:szCs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商业</w:t>
            </w:r>
          </w:p>
          <w:p>
            <w:pPr>
              <w:widowControl/>
              <w:jc w:val="center"/>
              <w:rPr>
                <w:rFonts w:ascii="宋体" w:hAnsi="宋体" w:cs="宋体"/>
                <w:kern w:val="0"/>
                <w:sz w:val="24"/>
              </w:rPr>
            </w:pPr>
            <w:r>
              <w:rPr>
                <w:rFonts w:hint="eastAsia" w:ascii="宋体" w:hAnsi="宋体" w:cs="宋体"/>
                <w:kern w:val="0"/>
                <w:sz w:val="20"/>
                <w:szCs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科研</w:t>
            </w:r>
          </w:p>
          <w:p>
            <w:pPr>
              <w:widowControl/>
              <w:jc w:val="center"/>
              <w:rPr>
                <w:rFonts w:ascii="宋体" w:hAnsi="宋体" w:cs="宋体"/>
                <w:kern w:val="0"/>
                <w:sz w:val="24"/>
              </w:rPr>
            </w:pPr>
            <w:r>
              <w:rPr>
                <w:rFonts w:hint="eastAsia" w:ascii="宋体" w:hAnsi="宋体" w:cs="宋体"/>
                <w:kern w:val="0"/>
                <w:sz w:val="20"/>
                <w:szCs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hint="eastAsia" w:ascii="黑体" w:hAnsi="黑体" w:eastAsia="黑体"/>
                <w:snapToGrid w:val="0"/>
                <w:kern w:val="0"/>
                <w:sz w:val="24"/>
                <w:lang w:val="en-US" w:eastAsia="zh-CN"/>
              </w:rPr>
            </w:pPr>
            <w:r>
              <w:rPr>
                <w:rFonts w:hint="eastAsia" w:ascii="黑体" w:hAnsi="黑体" w:eastAsia="黑体"/>
                <w:snapToGrid w:val="0"/>
                <w:kern w:val="0"/>
                <w:sz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hint="eastAsia" w:ascii="黑体" w:hAnsi="黑体" w:eastAsia="黑体"/>
                <w:snapToGrid w:val="0"/>
                <w:kern w:val="0"/>
                <w:sz w:val="24"/>
                <w:lang w:val="en-US" w:eastAsia="zh-CN"/>
              </w:rPr>
            </w:pPr>
            <w:r>
              <w:rPr>
                <w:rFonts w:hint="eastAsia" w:ascii="黑体" w:hAnsi="黑体" w:eastAsia="黑体"/>
                <w:snapToGrid w:val="0"/>
                <w:kern w:val="0"/>
                <w:sz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hint="eastAsia" w:ascii="黑体" w:hAnsi="黑体" w:eastAsia="黑体"/>
                <w:snapToGrid w:val="0"/>
                <w:kern w:val="0"/>
                <w:sz w:val="24"/>
                <w:lang w:val="en-US" w:eastAsia="zh-CN"/>
              </w:rPr>
            </w:pPr>
            <w:r>
              <w:rPr>
                <w:rFonts w:hint="eastAsia" w:ascii="黑体" w:hAnsi="黑体" w:eastAsia="黑体"/>
                <w:snapToGrid w:val="0"/>
                <w:kern w:val="0"/>
                <w:sz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hint="eastAsia" w:ascii="黑体" w:hAnsi="黑体" w:eastAsia="黑体"/>
                <w:snapToGrid w:val="0"/>
                <w:kern w:val="0"/>
                <w:sz w:val="24"/>
                <w:lang w:val="en-US" w:eastAsia="zh-CN"/>
              </w:rPr>
            </w:pPr>
            <w:r>
              <w:rPr>
                <w:rFonts w:hint="eastAsia" w:ascii="黑体" w:hAnsi="黑体" w:eastAsia="黑体"/>
                <w:snapToGrid w:val="0"/>
                <w:kern w:val="0"/>
                <w:sz w:val="24"/>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hint="eastAsia" w:ascii="黑体" w:hAnsi="黑体" w:eastAsia="黑体"/>
                <w:snapToGrid w:val="0"/>
                <w:kern w:val="0"/>
                <w:sz w:val="24"/>
                <w:lang w:val="en-US" w:eastAsia="zh-CN"/>
              </w:rPr>
            </w:pPr>
            <w:r>
              <w:rPr>
                <w:rFonts w:hint="eastAsia" w:ascii="黑体" w:hAnsi="黑体" w:eastAsia="黑体"/>
                <w:snapToGrid w:val="0"/>
                <w:kern w:val="0"/>
                <w:sz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rPr>
            </w:pPr>
            <w:r>
              <w:rPr>
                <w:rFonts w:hint="eastAsia" w:ascii="宋体" w:hAnsi="宋体" w:cs="宋体"/>
                <w:kern w:val="0"/>
                <w:sz w:val="20"/>
                <w:szCs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rPr>
            </w:pPr>
            <w:r>
              <w:rPr>
                <w:rFonts w:hint="eastAsia" w:ascii="宋体" w:hAnsi="宋体" w:cs="宋体"/>
                <w:kern w:val="0"/>
                <w:sz w:val="20"/>
                <w:szCs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rPr>
            </w:pPr>
            <w:r>
              <w:rPr>
                <w:rFonts w:hint="eastAsia" w:ascii="宋体" w:hAnsi="宋体" w:cs="宋体"/>
                <w:kern w:val="0"/>
                <w:sz w:val="20"/>
                <w:szCs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bl>
    <w:p>
      <w:pPr>
        <w:autoSpaceDE w:val="0"/>
        <w:autoSpaceDN w:val="0"/>
        <w:snapToGrid w:val="0"/>
        <w:ind w:firstLine="600" w:firstLineChars="200"/>
        <w:rPr>
          <w:rFonts w:ascii="黑体" w:hAnsi="黑体" w:eastAsia="黑体"/>
          <w:snapToGrid w:val="0"/>
          <w:kern w:val="0"/>
          <w:sz w:val="30"/>
          <w:szCs w:val="30"/>
        </w:rPr>
      </w:pPr>
    </w:p>
    <w:p>
      <w:pPr>
        <w:autoSpaceDE w:val="0"/>
        <w:autoSpaceDN w:val="0"/>
        <w:snapToGrid w:val="0"/>
        <w:ind w:firstLine="600" w:firstLineChars="200"/>
        <w:rPr>
          <w:rFonts w:ascii="黑体" w:hAnsi="黑体" w:eastAsia="黑体"/>
          <w:snapToGrid w:val="0"/>
          <w:kern w:val="0"/>
          <w:sz w:val="30"/>
          <w:szCs w:val="30"/>
        </w:rPr>
      </w:pPr>
    </w:p>
    <w:p>
      <w:pPr>
        <w:autoSpaceDE w:val="0"/>
        <w:autoSpaceDN w:val="0"/>
        <w:snapToGrid w:val="0"/>
        <w:ind w:firstLine="600" w:firstLineChars="200"/>
        <w:rPr>
          <w:rFonts w:ascii="黑体" w:hAnsi="黑体" w:eastAsia="黑体"/>
          <w:snapToGrid w:val="0"/>
          <w:kern w:val="0"/>
          <w:sz w:val="30"/>
          <w:szCs w:val="30"/>
        </w:rPr>
      </w:pPr>
    </w:p>
    <w:p>
      <w:pPr>
        <w:autoSpaceDE w:val="0"/>
        <w:autoSpaceDN w:val="0"/>
        <w:snapToGrid w:val="0"/>
        <w:ind w:firstLine="600" w:firstLineChars="200"/>
        <w:rPr>
          <w:rFonts w:ascii="黑体" w:hAnsi="黑体" w:eastAsia="黑体"/>
          <w:snapToGrid w:val="0"/>
          <w:kern w:val="0"/>
          <w:sz w:val="30"/>
          <w:szCs w:val="30"/>
        </w:rPr>
      </w:pPr>
    </w:p>
    <w:p>
      <w:pPr>
        <w:autoSpaceDE w:val="0"/>
        <w:autoSpaceDN w:val="0"/>
        <w:snapToGrid w:val="0"/>
        <w:spacing w:after="156" w:afterLines="50"/>
        <w:ind w:firstLine="640" w:firstLineChars="200"/>
        <w:rPr>
          <w:rFonts w:ascii="黑体" w:hAnsi="黑体" w:eastAsia="黑体"/>
          <w:snapToGrid w:val="0"/>
          <w:kern w:val="0"/>
          <w:sz w:val="30"/>
          <w:szCs w:val="30"/>
        </w:rPr>
      </w:pPr>
      <w:r>
        <w:rPr>
          <w:rFonts w:hint="eastAsia" w:ascii="黑体" w:hAnsi="黑体" w:eastAsia="黑体"/>
          <w:snapToGrid w:val="0"/>
          <w:kern w:val="0"/>
          <w:sz w:val="32"/>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autoSpaceDE w:val="0"/>
              <w:autoSpaceDN w:val="0"/>
              <w:snapToGrid w:val="0"/>
              <w:jc w:val="center"/>
              <w:rPr>
                <w:rFonts w:ascii="黑体" w:hAnsi="黑体" w:eastAsia="黑体"/>
                <w:snapToGrid w:val="0"/>
                <w:kern w:val="0"/>
                <w:sz w:val="24"/>
              </w:rPr>
            </w:pPr>
            <w:r>
              <w:rPr>
                <w:rFonts w:hint="eastAsia" w:ascii="黑体" w:hAnsi="黑体" w:eastAsia="黑体"/>
                <w:snapToGrid w:val="0"/>
                <w:kern w:val="0"/>
                <w:sz w:val="24"/>
              </w:rPr>
              <w:t>0</w:t>
            </w:r>
          </w:p>
        </w:tc>
      </w:tr>
    </w:tbl>
    <w:p>
      <w:pPr>
        <w:autoSpaceDE w:val="0"/>
        <w:autoSpaceDN w:val="0"/>
        <w:snapToGrid w:val="0"/>
        <w:ind w:firstLine="640" w:firstLineChars="200"/>
        <w:rPr>
          <w:rFonts w:ascii="黑体" w:hAnsi="黑体" w:eastAsia="黑体"/>
          <w:snapToGrid w:val="0"/>
          <w:kern w:val="0"/>
          <w:sz w:val="32"/>
          <w:szCs w:val="32"/>
        </w:rPr>
      </w:pPr>
    </w:p>
    <w:p>
      <w:pPr>
        <w:autoSpaceDE w:val="0"/>
        <w:autoSpaceDN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五、存在的主要问题及改进情况</w:t>
      </w:r>
    </w:p>
    <w:p>
      <w:pPr>
        <w:autoSpaceDE w:val="0"/>
        <w:autoSpaceDN w:val="0"/>
        <w:snapToGrid w:val="0"/>
        <w:spacing w:line="560" w:lineRule="exact"/>
        <w:ind w:firstLine="640" w:firstLineChars="200"/>
        <w:rPr>
          <w:rFonts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（一）存在问题</w:t>
      </w:r>
    </w:p>
    <w:p>
      <w:pPr>
        <w:autoSpaceDE w:val="0"/>
        <w:autoSpaceDN w:val="0"/>
        <w:snapToGrid w:val="0"/>
        <w:spacing w:line="560" w:lineRule="exact"/>
        <w:ind w:firstLine="640" w:firstLineChars="200"/>
        <w:rPr>
          <w:rFonts w:ascii="楷体_GB2312" w:hAnsi="黑体" w:eastAsia="楷体_GB2312"/>
          <w:snapToGrid w:val="0"/>
          <w:color w:val="000000" w:themeColor="text1"/>
          <w:kern w:val="0"/>
          <w:sz w:val="30"/>
          <w:szCs w:val="30"/>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年政府信息公开工作存在的问题：</w:t>
      </w:r>
      <w:r>
        <w:rPr>
          <w:rFonts w:hint="eastAsia" w:ascii="Times New Roman" w:hAnsi="Times New Roman" w:eastAsia="仿宋_GB2312"/>
          <w:color w:val="000000" w:themeColor="text1"/>
          <w:sz w:val="32"/>
          <w:szCs w:val="32"/>
          <w14:textFill>
            <w14:solidFill>
              <w14:schemeClr w14:val="tx1"/>
            </w14:solidFill>
          </w14:textFill>
        </w:rPr>
        <w:t>一是主动公开信息的意识不强，信息公开的内容不够及时；二是组织引导工作需进一步加强，部分公众对政府信息公开制度不熟悉，宣传工作做得不够好。</w:t>
      </w:r>
    </w:p>
    <w:p>
      <w:pPr>
        <w:autoSpaceDE w:val="0"/>
        <w:autoSpaceDN w:val="0"/>
        <w:snapToGrid w:val="0"/>
        <w:spacing w:line="560" w:lineRule="exact"/>
        <w:ind w:firstLine="640" w:firstLineChars="200"/>
        <w:rPr>
          <w:rFonts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（二）改进措施</w:t>
      </w:r>
    </w:p>
    <w:p>
      <w:pPr>
        <w:autoSpaceDE w:val="0"/>
        <w:autoSpaceDN w:val="0"/>
        <w:snapToGrid w:val="0"/>
        <w:spacing w:line="560" w:lineRule="exact"/>
        <w:ind w:firstLine="640" w:firstLineChars="200"/>
        <w:rPr>
          <w:rFonts w:ascii="黑体" w:hAnsi="黑体" w:eastAsia="黑体"/>
          <w:snapToGrid w:val="0"/>
          <w:color w:val="000000" w:themeColor="text1"/>
          <w:kern w:val="0"/>
          <w:sz w:val="30"/>
          <w:szCs w:val="30"/>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年将重点抓好以下几方面工作：</w:t>
      </w:r>
      <w:r>
        <w:rPr>
          <w:rFonts w:hint="eastAsia" w:ascii="Times New Roman" w:hAnsi="Times New Roman" w:eastAsia="仿宋_GB2312"/>
          <w:color w:val="000000" w:themeColor="text1"/>
          <w:sz w:val="32"/>
          <w:szCs w:val="32"/>
          <w14:textFill>
            <w14:solidFill>
              <w14:schemeClr w14:val="tx1"/>
            </w14:solidFill>
          </w14:textFill>
        </w:rPr>
        <w:t>一是强化公开意识，将工作落实到个人，及时更新公开内容，提升政务公开整体水平；二是加强宣传引导，积极</w:t>
      </w:r>
      <w:r>
        <w:rPr>
          <w:rFonts w:hint="eastAsia" w:ascii="Times New Roman" w:hAnsi="Times New Roman" w:eastAsia="仿宋_GB2312"/>
          <w:color w:val="000000" w:themeColor="text1"/>
          <w:sz w:val="32"/>
          <w:szCs w:val="32"/>
          <w:lang w:eastAsia="zh-CN"/>
          <w14:textFill>
            <w14:solidFill>
              <w14:schemeClr w14:val="tx1"/>
            </w14:solidFill>
          </w14:textFill>
        </w:rPr>
        <w:t>做好</w:t>
      </w:r>
      <w:r>
        <w:rPr>
          <w:rFonts w:hint="eastAsia" w:ascii="Times New Roman" w:hAnsi="Times New Roman" w:eastAsia="仿宋_GB2312"/>
          <w:color w:val="000000" w:themeColor="text1"/>
          <w:sz w:val="32"/>
          <w:szCs w:val="32"/>
          <w14:textFill>
            <w14:solidFill>
              <w14:schemeClr w14:val="tx1"/>
            </w14:solidFill>
          </w14:textFill>
        </w:rPr>
        <w:t>宣传引导工作，通过多方渠道，让公众了解政务信息公开，充分征求公众意见，推动科学、民主决策。</w:t>
      </w:r>
    </w:p>
    <w:p>
      <w:pPr>
        <w:autoSpaceDE w:val="0"/>
        <w:autoSpaceDN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六、其他需要报告的事项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（一）收取信息处理费情况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（二）落实上级年度政务公开工作要点情况</w:t>
      </w:r>
    </w:p>
    <w:p>
      <w:pPr>
        <w:spacing w:line="560" w:lineRule="exact"/>
        <w:ind w:firstLine="640" w:firstLineChars="200"/>
        <w:rPr>
          <w:rFonts w:ascii="仿宋_GB2312"/>
          <w:sz w:val="32"/>
          <w:szCs w:val="32"/>
        </w:rPr>
      </w:pPr>
      <w:r>
        <w:rPr>
          <w:rFonts w:hint="eastAsia" w:ascii="仿宋_GB2312" w:eastAsia="仿宋_GB2312"/>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农业农村局2021年政务公开工作实施方案》，依托政府网站平台，深入推进</w:t>
      </w:r>
      <w:r>
        <w:rPr>
          <w:rFonts w:hint="eastAsia" w:ascii="仿宋_GB2312" w:eastAsia="仿宋_GB2312"/>
          <w:sz w:val="32"/>
          <w:szCs w:val="32"/>
          <w:lang w:eastAsia="zh-CN"/>
        </w:rPr>
        <w:t>政府</w:t>
      </w:r>
      <w:r>
        <w:rPr>
          <w:rFonts w:hint="eastAsia" w:ascii="仿宋_GB2312" w:eastAsia="仿宋_GB2312"/>
          <w:sz w:val="32"/>
          <w:szCs w:val="32"/>
        </w:rPr>
        <w:t>信息公开工作，完善</w:t>
      </w:r>
      <w:r>
        <w:rPr>
          <w:rFonts w:hint="eastAsia" w:ascii="仿宋_GB2312" w:eastAsia="仿宋_GB2312"/>
          <w:sz w:val="32"/>
          <w:szCs w:val="32"/>
          <w:lang w:eastAsia="zh-CN"/>
        </w:rPr>
        <w:t>政府</w:t>
      </w:r>
      <w:r>
        <w:rPr>
          <w:rFonts w:hint="eastAsia" w:ascii="仿宋_GB2312" w:eastAsia="仿宋_GB2312"/>
          <w:sz w:val="32"/>
          <w:szCs w:val="32"/>
        </w:rPr>
        <w:t>信息公开工作机制，按照</w:t>
      </w:r>
      <w:r>
        <w:rPr>
          <w:rFonts w:hint="eastAsia" w:ascii="仿宋_GB2312" w:eastAsia="仿宋_GB2312"/>
          <w:sz w:val="32"/>
          <w:szCs w:val="32"/>
          <w:lang w:eastAsia="zh-CN"/>
        </w:rPr>
        <w:t>政府</w:t>
      </w:r>
      <w:r>
        <w:rPr>
          <w:rFonts w:hint="eastAsia" w:ascii="仿宋_GB2312" w:eastAsia="仿宋_GB2312"/>
          <w:sz w:val="32"/>
          <w:szCs w:val="32"/>
        </w:rPr>
        <w:t>信息公开要求，调整完善了</w:t>
      </w:r>
      <w:r>
        <w:rPr>
          <w:rFonts w:hint="eastAsia" w:ascii="仿宋_GB2312" w:eastAsia="仿宋_GB2312"/>
          <w:sz w:val="32"/>
          <w:szCs w:val="32"/>
          <w:lang w:eastAsia="zh-CN"/>
        </w:rPr>
        <w:t>政府</w:t>
      </w:r>
      <w:r>
        <w:rPr>
          <w:rFonts w:hint="eastAsia" w:ascii="仿宋_GB2312" w:eastAsia="仿宋_GB2312"/>
          <w:sz w:val="32"/>
          <w:szCs w:val="32"/>
        </w:rPr>
        <w:t>信息公开目录清单，涵盖概况信息、法规文件、发展规划、工作动态、人事信息、行政执法等内容。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（三）人大代表建议和政协委员提案办理结果公开情况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2021年，本机关共承办县十七届人大五次会议建议10件，承办县政协十四届五次会议提案16件，均在县政府网站建议提案专题，集中公开建议提案人、建议提案原文、建议提案办理结果等信息。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（四）政务公开工作创新情况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积极推动政务公开创新，在微信公众号“高青县农业农村局”定期推送农业农村工作情况及宣传教育活动，并以图片和文字等通俗易懂的形式做好各类活动的公开。</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（五）有关数据统计说明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报告中所列数据可能因四舍五入原因与数据直接相加之和存在尾数差异。</w:t>
      </w:r>
    </w:p>
    <w:sectPr>
      <w:pgSz w:w="11906" w:h="16838"/>
      <w:pgMar w:top="1706"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60"/>
    <w:rsid w:val="00024890"/>
    <w:rsid w:val="00250860"/>
    <w:rsid w:val="00267A79"/>
    <w:rsid w:val="003D5975"/>
    <w:rsid w:val="0050159C"/>
    <w:rsid w:val="005134E2"/>
    <w:rsid w:val="005869B0"/>
    <w:rsid w:val="007D4B91"/>
    <w:rsid w:val="00964DDA"/>
    <w:rsid w:val="00AB2B89"/>
    <w:rsid w:val="00BF1760"/>
    <w:rsid w:val="013454F4"/>
    <w:rsid w:val="015F00D3"/>
    <w:rsid w:val="02046BEB"/>
    <w:rsid w:val="02BB2B09"/>
    <w:rsid w:val="036219EB"/>
    <w:rsid w:val="04602A6F"/>
    <w:rsid w:val="04DD1878"/>
    <w:rsid w:val="07675E1D"/>
    <w:rsid w:val="078C28DE"/>
    <w:rsid w:val="079963EC"/>
    <w:rsid w:val="080D5EA6"/>
    <w:rsid w:val="08B711A9"/>
    <w:rsid w:val="09BB36AB"/>
    <w:rsid w:val="0AFB31EC"/>
    <w:rsid w:val="0B29366E"/>
    <w:rsid w:val="0DBA3735"/>
    <w:rsid w:val="10A27CB5"/>
    <w:rsid w:val="11B705C9"/>
    <w:rsid w:val="11D90C95"/>
    <w:rsid w:val="12172792"/>
    <w:rsid w:val="13E01E21"/>
    <w:rsid w:val="140A4C6E"/>
    <w:rsid w:val="146B4172"/>
    <w:rsid w:val="15537FA1"/>
    <w:rsid w:val="16547930"/>
    <w:rsid w:val="16B07D98"/>
    <w:rsid w:val="173D3D16"/>
    <w:rsid w:val="17AC3CAF"/>
    <w:rsid w:val="18F90B96"/>
    <w:rsid w:val="191E33A6"/>
    <w:rsid w:val="1BE23041"/>
    <w:rsid w:val="1C1324C9"/>
    <w:rsid w:val="1C4F3CC2"/>
    <w:rsid w:val="1CFD1A15"/>
    <w:rsid w:val="1D32548E"/>
    <w:rsid w:val="1D4B1B91"/>
    <w:rsid w:val="1D51778F"/>
    <w:rsid w:val="1D5F6A31"/>
    <w:rsid w:val="1D7A1B34"/>
    <w:rsid w:val="1EA7196C"/>
    <w:rsid w:val="204B5BF1"/>
    <w:rsid w:val="205C3E68"/>
    <w:rsid w:val="20790013"/>
    <w:rsid w:val="22155E65"/>
    <w:rsid w:val="22A70BDA"/>
    <w:rsid w:val="23CE0F5D"/>
    <w:rsid w:val="248B19CF"/>
    <w:rsid w:val="24C2726B"/>
    <w:rsid w:val="24CD05F0"/>
    <w:rsid w:val="250B4E1B"/>
    <w:rsid w:val="261F6F6A"/>
    <w:rsid w:val="26996430"/>
    <w:rsid w:val="26A669CA"/>
    <w:rsid w:val="295D1CBE"/>
    <w:rsid w:val="2A1A6752"/>
    <w:rsid w:val="2A6D444A"/>
    <w:rsid w:val="2A8164C3"/>
    <w:rsid w:val="2AC5514B"/>
    <w:rsid w:val="2B8B28C8"/>
    <w:rsid w:val="2C0D268E"/>
    <w:rsid w:val="2CAC6EFB"/>
    <w:rsid w:val="2DBF3B75"/>
    <w:rsid w:val="2E7229EE"/>
    <w:rsid w:val="2EC831B7"/>
    <w:rsid w:val="2FC47D02"/>
    <w:rsid w:val="311E5460"/>
    <w:rsid w:val="313D717F"/>
    <w:rsid w:val="314F7CA0"/>
    <w:rsid w:val="33100DD1"/>
    <w:rsid w:val="332A450B"/>
    <w:rsid w:val="334201A5"/>
    <w:rsid w:val="3356681D"/>
    <w:rsid w:val="337C43CA"/>
    <w:rsid w:val="33FA73A6"/>
    <w:rsid w:val="36A57D71"/>
    <w:rsid w:val="38842E75"/>
    <w:rsid w:val="38861957"/>
    <w:rsid w:val="38A73AA4"/>
    <w:rsid w:val="38AF4964"/>
    <w:rsid w:val="3A7758B0"/>
    <w:rsid w:val="3BE072E8"/>
    <w:rsid w:val="3BF5576D"/>
    <w:rsid w:val="3C425874"/>
    <w:rsid w:val="3C4A6A5C"/>
    <w:rsid w:val="3E774F00"/>
    <w:rsid w:val="3EF42FC4"/>
    <w:rsid w:val="404F4546"/>
    <w:rsid w:val="407F71C2"/>
    <w:rsid w:val="408C0472"/>
    <w:rsid w:val="40A46A70"/>
    <w:rsid w:val="41F46C8E"/>
    <w:rsid w:val="42DF39E5"/>
    <w:rsid w:val="44F05EC0"/>
    <w:rsid w:val="453A7AE5"/>
    <w:rsid w:val="45DD3976"/>
    <w:rsid w:val="463D12A7"/>
    <w:rsid w:val="46D2372B"/>
    <w:rsid w:val="46E07AF0"/>
    <w:rsid w:val="480170EE"/>
    <w:rsid w:val="4863689D"/>
    <w:rsid w:val="48685FDF"/>
    <w:rsid w:val="49ED3B8F"/>
    <w:rsid w:val="4B3B44EA"/>
    <w:rsid w:val="4B6A7E68"/>
    <w:rsid w:val="4B7A1AFD"/>
    <w:rsid w:val="4CE534DD"/>
    <w:rsid w:val="4D661871"/>
    <w:rsid w:val="4EDD0B84"/>
    <w:rsid w:val="505F5D89"/>
    <w:rsid w:val="514230C5"/>
    <w:rsid w:val="52564C63"/>
    <w:rsid w:val="52590346"/>
    <w:rsid w:val="526D51CA"/>
    <w:rsid w:val="529F1A0B"/>
    <w:rsid w:val="53D417FE"/>
    <w:rsid w:val="5471034C"/>
    <w:rsid w:val="54D14650"/>
    <w:rsid w:val="56123459"/>
    <w:rsid w:val="56A70FD5"/>
    <w:rsid w:val="578A68BD"/>
    <w:rsid w:val="58A576B2"/>
    <w:rsid w:val="5BA314D0"/>
    <w:rsid w:val="5DEC7BAF"/>
    <w:rsid w:val="5E1E6EC2"/>
    <w:rsid w:val="5E8B72EA"/>
    <w:rsid w:val="5F723967"/>
    <w:rsid w:val="61DB423B"/>
    <w:rsid w:val="6227155F"/>
    <w:rsid w:val="631B2030"/>
    <w:rsid w:val="63E83CB4"/>
    <w:rsid w:val="64D167EE"/>
    <w:rsid w:val="65A75D9F"/>
    <w:rsid w:val="67EF68F9"/>
    <w:rsid w:val="68D124AE"/>
    <w:rsid w:val="69680270"/>
    <w:rsid w:val="6B5FCFCF"/>
    <w:rsid w:val="6B62590A"/>
    <w:rsid w:val="6BE35D2B"/>
    <w:rsid w:val="6C5F2625"/>
    <w:rsid w:val="6F9D04BB"/>
    <w:rsid w:val="701267B2"/>
    <w:rsid w:val="705115F9"/>
    <w:rsid w:val="71562535"/>
    <w:rsid w:val="71B1041A"/>
    <w:rsid w:val="72076F5A"/>
    <w:rsid w:val="72393C4A"/>
    <w:rsid w:val="728209B9"/>
    <w:rsid w:val="753A1A3D"/>
    <w:rsid w:val="75A24C6D"/>
    <w:rsid w:val="7680104B"/>
    <w:rsid w:val="771E5C71"/>
    <w:rsid w:val="77CB2721"/>
    <w:rsid w:val="787B19AF"/>
    <w:rsid w:val="787C3800"/>
    <w:rsid w:val="788023D1"/>
    <w:rsid w:val="78C737FE"/>
    <w:rsid w:val="7B4337C6"/>
    <w:rsid w:val="7CE467C7"/>
    <w:rsid w:val="7F5D7EEB"/>
    <w:rsid w:val="7FC74EB6"/>
    <w:rsid w:val="7FF0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qFormat/>
    <w:uiPriority w:val="0"/>
    <w:pPr>
      <w:jc w:val="left"/>
    </w:pPr>
  </w:style>
  <w:style w:type="paragraph" w:styleId="3">
    <w:name w:val="Balloon Text"/>
    <w:basedOn w:val="1"/>
    <w:link w:val="28"/>
    <w:qFormat/>
    <w:uiPriority w:val="0"/>
    <w:rPr>
      <w:sz w:val="18"/>
      <w:szCs w:val="18"/>
    </w:rPr>
  </w:style>
  <w:style w:type="paragraph" w:styleId="4">
    <w:name w:val="footer"/>
    <w:basedOn w:val="1"/>
    <w:link w:val="27"/>
    <w:qFormat/>
    <w:uiPriority w:val="0"/>
    <w:pPr>
      <w:tabs>
        <w:tab w:val="center" w:pos="4153"/>
        <w:tab w:val="right" w:pos="8306"/>
      </w:tabs>
      <w:snapToGrid w:val="0"/>
      <w:jc w:val="left"/>
    </w:pPr>
    <w:rPr>
      <w:sz w:val="18"/>
      <w:szCs w:val="18"/>
    </w:rPr>
  </w:style>
  <w:style w:type="paragraph" w:styleId="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30"/>
    <w:qFormat/>
    <w:uiPriority w:val="0"/>
    <w:rPr>
      <w:b/>
      <w:bCs/>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0"/>
    <w:rPr>
      <w:b/>
    </w:rPr>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color w:val="0000FF"/>
      <w:u w:val="none"/>
    </w:rPr>
  </w:style>
  <w:style w:type="character" w:styleId="17">
    <w:name w:val="HTML Code"/>
    <w:basedOn w:val="10"/>
    <w:qFormat/>
    <w:uiPriority w:val="0"/>
    <w:rPr>
      <w:rFonts w:ascii="Courier New" w:hAnsi="Courier New"/>
      <w:sz w:val="20"/>
    </w:rPr>
  </w:style>
  <w:style w:type="character" w:styleId="18">
    <w:name w:val="annotation reference"/>
    <w:basedOn w:val="10"/>
    <w:qFormat/>
    <w:uiPriority w:val="0"/>
    <w:rPr>
      <w:sz w:val="21"/>
      <w:szCs w:val="21"/>
    </w:rPr>
  </w:style>
  <w:style w:type="character" w:styleId="19">
    <w:name w:val="HTML Cite"/>
    <w:basedOn w:val="10"/>
    <w:qFormat/>
    <w:uiPriority w:val="0"/>
  </w:style>
  <w:style w:type="character" w:styleId="20">
    <w:name w:val="HTML Keyboard"/>
    <w:basedOn w:val="10"/>
    <w:qFormat/>
    <w:uiPriority w:val="0"/>
    <w:rPr>
      <w:rFonts w:ascii="Courier New" w:hAnsi="Courier New"/>
      <w:sz w:val="20"/>
    </w:rPr>
  </w:style>
  <w:style w:type="character" w:styleId="21">
    <w:name w:val="HTML Sample"/>
    <w:basedOn w:val="10"/>
    <w:qFormat/>
    <w:uiPriority w:val="0"/>
    <w:rPr>
      <w:rFonts w:ascii="Courier New" w:hAnsi="Courier New"/>
    </w:rPr>
  </w:style>
  <w:style w:type="character" w:customStyle="1" w:styleId="22">
    <w:name w:val="hover9"/>
    <w:basedOn w:val="10"/>
    <w:qFormat/>
    <w:uiPriority w:val="0"/>
    <w:rPr>
      <w:color w:val="245399"/>
    </w:rPr>
  </w:style>
  <w:style w:type="character" w:customStyle="1" w:styleId="23">
    <w:name w:val="hover10"/>
    <w:basedOn w:val="10"/>
    <w:qFormat/>
    <w:uiPriority w:val="0"/>
    <w:rPr>
      <w:color w:val="245399"/>
    </w:rPr>
  </w:style>
  <w:style w:type="character" w:customStyle="1" w:styleId="24">
    <w:name w:val="hover11"/>
    <w:basedOn w:val="10"/>
    <w:qFormat/>
    <w:uiPriority w:val="0"/>
    <w:rPr>
      <w:color w:val="FFFFFF"/>
    </w:rPr>
  </w:style>
  <w:style w:type="character" w:customStyle="1" w:styleId="25">
    <w:name w:val="hover8"/>
    <w:basedOn w:val="10"/>
    <w:qFormat/>
    <w:uiPriority w:val="0"/>
    <w:rPr>
      <w:color w:val="245399"/>
    </w:rPr>
  </w:style>
  <w:style w:type="character" w:customStyle="1" w:styleId="26">
    <w:name w:val="页眉 Char"/>
    <w:basedOn w:val="10"/>
    <w:link w:val="5"/>
    <w:qFormat/>
    <w:uiPriority w:val="0"/>
    <w:rPr>
      <w:rFonts w:ascii="Calibri" w:hAnsi="Calibri" w:eastAsia="宋体" w:cs="Times New Roman"/>
      <w:kern w:val="2"/>
      <w:sz w:val="18"/>
      <w:szCs w:val="18"/>
    </w:rPr>
  </w:style>
  <w:style w:type="character" w:customStyle="1" w:styleId="27">
    <w:name w:val="页脚 Char"/>
    <w:basedOn w:val="10"/>
    <w:link w:val="4"/>
    <w:qFormat/>
    <w:uiPriority w:val="0"/>
    <w:rPr>
      <w:rFonts w:ascii="Calibri" w:hAnsi="Calibri" w:eastAsia="宋体" w:cs="Times New Roman"/>
      <w:kern w:val="2"/>
      <w:sz w:val="18"/>
      <w:szCs w:val="18"/>
    </w:rPr>
  </w:style>
  <w:style w:type="character" w:customStyle="1" w:styleId="28">
    <w:name w:val="批注框文本 Char"/>
    <w:basedOn w:val="10"/>
    <w:link w:val="3"/>
    <w:qFormat/>
    <w:uiPriority w:val="0"/>
    <w:rPr>
      <w:rFonts w:ascii="Calibri" w:hAnsi="Calibri" w:eastAsia="宋体" w:cs="Times New Roman"/>
      <w:kern w:val="2"/>
      <w:sz w:val="18"/>
      <w:szCs w:val="18"/>
    </w:rPr>
  </w:style>
  <w:style w:type="character" w:customStyle="1" w:styleId="29">
    <w:name w:val="批注文字 Char"/>
    <w:basedOn w:val="10"/>
    <w:link w:val="2"/>
    <w:qFormat/>
    <w:uiPriority w:val="0"/>
    <w:rPr>
      <w:rFonts w:ascii="Calibri" w:hAnsi="Calibri" w:eastAsia="宋体" w:cs="Times New Roman"/>
      <w:kern w:val="2"/>
      <w:sz w:val="21"/>
      <w:szCs w:val="24"/>
    </w:rPr>
  </w:style>
  <w:style w:type="character" w:customStyle="1" w:styleId="30">
    <w:name w:val="批注主题 Char"/>
    <w:basedOn w:val="29"/>
    <w:link w:val="7"/>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494</Words>
  <Characters>2820</Characters>
  <Lines>23</Lines>
  <Paragraphs>6</Paragraphs>
  <TotalTime>29</TotalTime>
  <ScaleCrop>false</ScaleCrop>
  <LinksUpToDate>false</LinksUpToDate>
  <CharactersWithSpaces>3308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2022-01-05T09:53:00Z</dcterms:created>
  <dc:creator>Administrator</dc:creator>
  <cp:lastModifiedBy>user</cp:lastModifiedBy>
  <dcterms:modified xsi:type="dcterms:W3CDTF">2022-01-30T14:13:20Z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60BC04CC557E4DC7B91D1505B558FFE3</vt:lpwstr>
  </property>
</Properties>
</file>