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  <w:bookmarkStart w:id="0" w:name="_GoBack"/>
      <w:r>
        <w:rPr>
          <w:rFonts w:hint="eastAsia" w:ascii="宋体" w:hAnsi="宋体"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>动物</w:t>
      </w:r>
      <w:r>
        <w:rPr>
          <w:rFonts w:hint="eastAsia" w:ascii="宋体" w:hAnsi="宋体"/>
          <w:b/>
          <w:sz w:val="44"/>
          <w:szCs w:val="44"/>
        </w:rPr>
        <w:t>防疫条件合格证年度报告表</w:t>
      </w:r>
      <w:bookmarkEnd w:id="0"/>
    </w:p>
    <w:tbl>
      <w:tblPr>
        <w:tblStyle w:val="2"/>
        <w:tblpPr w:leftFromText="180" w:rightFromText="180" w:vertAnchor="text" w:horzAnchor="margin" w:tblpX="320" w:tblpY="950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369"/>
        <w:gridCol w:w="1194"/>
        <w:gridCol w:w="1547"/>
        <w:gridCol w:w="13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5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4110" w:type="dxa"/>
            <w:gridSpan w:val="3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法人代表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25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  <w:tc>
          <w:tcPr>
            <w:tcW w:w="4110" w:type="dxa"/>
            <w:gridSpan w:val="3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固定资产（万元）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25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占地面积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饲养动物种类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25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存栏数量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出栏数量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兽医技术人员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Cambria" w:hAnsi="Cambr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一、基本情况</w:t>
      </w:r>
      <w:r>
        <w:rPr>
          <w:rFonts w:hint="eastAsia" w:ascii="宋体" w:hAnsi="宋体"/>
          <w:sz w:val="32"/>
          <w:szCs w:val="32"/>
        </w:rPr>
        <w:tab/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二、防疫情况</w:t>
      </w:r>
      <w:r>
        <w:rPr>
          <w:rFonts w:hint="eastAsia" w:ascii="宋体" w:hAnsi="宋体"/>
          <w:sz w:val="32"/>
          <w:szCs w:val="32"/>
        </w:rPr>
        <w:tab/>
      </w:r>
      <w:r>
        <w:rPr>
          <w:rFonts w:hint="eastAsia" w:ascii="宋体" w:hAnsi="宋体"/>
          <w:sz w:val="32"/>
          <w:szCs w:val="32"/>
        </w:rPr>
        <w:tab/>
      </w:r>
    </w:p>
    <w:tbl>
      <w:tblPr>
        <w:tblStyle w:val="2"/>
        <w:tblW w:w="0" w:type="auto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085"/>
        <w:gridCol w:w="599"/>
        <w:gridCol w:w="528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0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内                     容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自查结果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自查说明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选址</w:t>
            </w: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距离生活饮用水源地、动物屠宰加工场所、动物及动物产品集贸市场500米以上；动物养殖场（养殖小区）之间距离不少于500米；距离种畜禽场1000米以上；距离动物诊疗场所200米以上；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left="240" w:hanging="2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ind w:left="240" w:hanging="24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距离动物隔离场所、无害化处理场所3000米以上；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left="240" w:hanging="2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rPr>
          <w:trHeight w:val="864" w:hRule="atLeast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距离城镇居民区、文化教育科研等人口密集区及公路、铁路等主要交通干线500米以上；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left="240" w:hanging="2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rPr>
          <w:trHeight w:val="462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布局</w:t>
            </w: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场区周围建有围墙；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场区出入口处设置与门同宽，长4米、深0.3米以上的消毒池；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生产区与生活办公区分开；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生产区与生活办公区有隔离设施；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生产区入口处设置更衣消毒室；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各养殖栋舍出入口设置消毒池或消毒垫；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生产区内清洁道、污染道分设；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生产区内各养殖栋舍之间距离应在5米以上或有隔离设施。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设施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设备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场区入口处配置消毒设备；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生产区有良好的采光、通风设施设备；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圈舍地面和墙壁选用适宜材料，以便清洗消毒；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配备疫苗冷冻（冷藏）设备、消毒和诊疗等防疫设备的兽医室，或者有兽医机构为其提供相应服务；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有与生产规模相适应的无害化处理设施设备；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有与生产规模相适应的污水污物处理设施设备；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有相对独立的引入动物隔离舍；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有相对独立的患病动物隔离舍；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ind w:firstLine="2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动物饲养场、养殖小区应当有与其养殖规模相适应的执业兽医或乡村兽医；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从事动物饲养的工作人员不得患有相关的人畜共患传染病。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rPr>
          <w:trHeight w:val="170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jc w:val="both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制度</w:t>
            </w:r>
          </w:p>
        </w:tc>
        <w:tc>
          <w:tcPr>
            <w:tcW w:w="6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免疫制度；用药制度；检疫申报制度；疫情报告制度；消毒制度；无害化处理制度；畜禽标识制度；养殖档案；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0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防疫制度执行情况：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报告人（签字）：     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zg4NjQwYWZkZTZlY2NkMGE3MTE0NWVhYzE3MDIifQ=="/>
  </w:docVars>
  <w:rsids>
    <w:rsidRoot w:val="5E64627C"/>
    <w:rsid w:val="5E6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2022-05-20T07:02:00Z</dcterms:created>
  <dc:creator>朵朵</dc:creator>
  <cp:lastModifiedBy>朵朵</cp:lastModifiedBy>
  <dcterms:modified xsi:type="dcterms:W3CDTF">2022-05-20T07:05:11Z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5646560A08ED45C0A5471BB85B3B48C9</vt:lpwstr>
  </property>
</Properties>
</file>