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1E7" w:rsidRDefault="00DF3B26">
      <w:pPr>
        <w:adjustRightInd w:val="0"/>
        <w:spacing w:line="62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高青县青城镇人民政府</w:t>
      </w:r>
    </w:p>
    <w:p w:rsidR="005E11E7" w:rsidRDefault="00DF3B26">
      <w:pPr>
        <w:adjustRightInd w:val="0"/>
        <w:spacing w:line="620" w:lineRule="exact"/>
        <w:ind w:firstLine="0"/>
        <w:jc w:val="center"/>
        <w:rPr>
          <w:rFonts w:ascii="仿宋_GB2312" w:eastAsia="仿宋_GB2312"/>
        </w:rPr>
      </w:pPr>
      <w:r>
        <w:rPr>
          <w:rFonts w:ascii="方正小标宋简体" w:eastAsia="方正小标宋简体" w:hAnsi="方正小标宋简体" w:cs="方正小标宋简体" w:hint="eastAsia"/>
          <w:sz w:val="44"/>
          <w:szCs w:val="44"/>
        </w:rPr>
        <w:t>2023年政府信息公开工作年度报告</w:t>
      </w:r>
    </w:p>
    <w:p w:rsidR="005E11E7" w:rsidRDefault="005E11E7">
      <w:pPr>
        <w:spacing w:line="600" w:lineRule="exact"/>
        <w:ind w:firstLineChars="200" w:firstLine="640"/>
        <w:rPr>
          <w:rFonts w:ascii="仿宋_GB2312" w:eastAsia="仿宋_GB2312"/>
        </w:rPr>
      </w:pPr>
    </w:p>
    <w:p w:rsidR="005E11E7" w:rsidRDefault="00DF3B26">
      <w:pPr>
        <w:spacing w:line="60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情况、主动公开政府信息情况、收到和处理政府信息公开申请情况、政府信息公开行政复议和行政诉讼情况、存在的主要问题及改进情况、其他需要报告的事项六个部分。</w:t>
      </w:r>
    </w:p>
    <w:p w:rsidR="005E11E7" w:rsidRDefault="00DF3B26">
      <w:pPr>
        <w:spacing w:line="600" w:lineRule="exact"/>
        <w:ind w:firstLineChars="200" w:firstLine="640"/>
        <w:rPr>
          <w:rFonts w:ascii="仿宋_GB2312" w:eastAsia="仿宋_GB2312" w:hAnsi="黑体"/>
        </w:rPr>
      </w:pPr>
      <w:r>
        <w:rPr>
          <w:rFonts w:ascii="仿宋_GB2312" w:eastAsia="仿宋_GB2312" w:hint="eastAsia"/>
        </w:rPr>
        <w:t>报告中所列数据统计期限自2023年1月1日始，至2023年12月31日止。报告电子版可在高青县人民政府门户网站（www.gaoqing.gov.cn）查阅和下载。如对报告内容有疑问，请与高青县青城镇人民政府党政办公室联系（地址：山东省淄博市高青</w:t>
      </w:r>
      <w:proofErr w:type="gramStart"/>
      <w:r>
        <w:rPr>
          <w:rFonts w:ascii="仿宋_GB2312" w:eastAsia="仿宋_GB2312" w:hint="eastAsia"/>
        </w:rPr>
        <w:t>县广青路路</w:t>
      </w:r>
      <w:proofErr w:type="gramEnd"/>
      <w:r>
        <w:rPr>
          <w:rFonts w:ascii="仿宋_GB2312" w:eastAsia="仿宋_GB2312" w:hint="eastAsia"/>
        </w:rPr>
        <w:t>2号；邮编：256304；电话：0533-6735165；传真：0533-6737194；邮箱：gqxqcz@zb.shandong.cn）。</w:t>
      </w:r>
    </w:p>
    <w:p w:rsidR="005E11E7" w:rsidRDefault="00DF3B26">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5E11E7" w:rsidRDefault="00DF3B26">
      <w:pPr>
        <w:spacing w:line="60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3年，高青县青城镇</w:t>
      </w:r>
      <w:r w:rsidR="0024600A">
        <w:rPr>
          <w:rFonts w:ascii="仿宋_GB2312" w:eastAsia="仿宋_GB2312" w:hint="eastAsia"/>
          <w:szCs w:val="32"/>
        </w:rPr>
        <w:t>人民政府</w:t>
      </w:r>
      <w:r>
        <w:rPr>
          <w:rFonts w:ascii="仿宋_GB2312" w:eastAsia="仿宋_GB2312" w:hint="eastAsia"/>
          <w:szCs w:val="32"/>
        </w:rPr>
        <w:t>坚持以习近平新时代中国特色社会主义思想为指导，认真落实国家和省市县政务公开工作部署，全面提升政务公开的标准化、规范化水平，深化重点领域信息公开，公开质量和效果显著提升。</w:t>
      </w:r>
    </w:p>
    <w:p w:rsidR="005E11E7" w:rsidRDefault="00DF3B26">
      <w:pPr>
        <w:spacing w:line="600" w:lineRule="exact"/>
        <w:jc w:val="left"/>
        <w:rPr>
          <w:rFonts w:ascii="楷体_GB2312" w:eastAsia="楷体_GB2312"/>
        </w:rPr>
      </w:pPr>
      <w:r>
        <w:rPr>
          <w:rFonts w:ascii="楷体_GB2312" w:eastAsia="楷体_GB2312" w:hint="eastAsia"/>
        </w:rPr>
        <w:lastRenderedPageBreak/>
        <w:t>（一）主动公开</w:t>
      </w:r>
    </w:p>
    <w:p w:rsidR="005E11E7" w:rsidRDefault="00DF3B26">
      <w:pPr>
        <w:spacing w:line="600" w:lineRule="exact"/>
        <w:ind w:firstLineChars="200" w:firstLine="640"/>
        <w:rPr>
          <w:rFonts w:ascii="仿宋_GB2312" w:eastAsia="仿宋_GB2312"/>
          <w:color w:val="FF0000"/>
          <w:szCs w:val="32"/>
        </w:rPr>
      </w:pPr>
      <w:r>
        <w:rPr>
          <w:rFonts w:ascii="仿宋_GB2312" w:eastAsia="仿宋_GB2312" w:hint="eastAsia"/>
          <w:szCs w:val="32"/>
        </w:rPr>
        <w:t>制定《高青县青城镇2023年政务公开工作实施方案》，贯彻落实政务公开管理制度，及时、准确、全面地向社会公开政府信息。做好重点领域信息公开，黄河食品产业园的建设情况、民生实事项目中“</w:t>
      </w:r>
      <w:proofErr w:type="gramStart"/>
      <w:r>
        <w:rPr>
          <w:rFonts w:ascii="仿宋_GB2312" w:eastAsia="仿宋_GB2312" w:hint="eastAsia"/>
          <w:szCs w:val="32"/>
        </w:rPr>
        <w:t>一</w:t>
      </w:r>
      <w:proofErr w:type="gramEnd"/>
      <w:r>
        <w:rPr>
          <w:rFonts w:ascii="仿宋_GB2312" w:eastAsia="仿宋_GB2312" w:hint="eastAsia"/>
          <w:szCs w:val="32"/>
        </w:rPr>
        <w:t>柿青城”番茄育苗基地项目建设情况等相关信息均按时予以公开。</w:t>
      </w:r>
      <w:r w:rsidRPr="00FC63BE">
        <w:rPr>
          <w:rFonts w:ascii="仿宋_GB2312" w:eastAsia="仿宋_GB2312" w:hint="eastAsia"/>
          <w:szCs w:val="32"/>
        </w:rPr>
        <w:t>2023年累计公开信息580余条，比上年度增长40%，其中通过县政府门户网站公开信息100余条，通过政务新媒体公开信息480余条。强</w:t>
      </w:r>
      <w:r>
        <w:rPr>
          <w:rFonts w:ascii="仿宋_GB2312" w:eastAsia="仿宋_GB2312" w:hint="eastAsia"/>
          <w:szCs w:val="32"/>
        </w:rPr>
        <w:t>化政策解读，单位主要负责人带头开展政策解读2次。积极回应群众关切问题，做好政府信箱群众留言答复。全年共处理12345热线4159件，满意率95.53%。</w:t>
      </w:r>
    </w:p>
    <w:p w:rsidR="005E11E7" w:rsidRDefault="00DF3B26" w:rsidP="00FC63BE">
      <w:pPr>
        <w:spacing w:line="600" w:lineRule="exact"/>
        <w:ind w:firstLineChars="200" w:firstLine="640"/>
        <w:rPr>
          <w:rFonts w:ascii="楷体_GB2312" w:eastAsia="楷体_GB2312"/>
        </w:rPr>
      </w:pPr>
      <w:r>
        <w:rPr>
          <w:rFonts w:ascii="仿宋_GB2312" w:eastAsia="仿宋_GB2312"/>
          <w:noProof/>
          <w:color w:val="FF0000"/>
          <w:szCs w:val="32"/>
        </w:rPr>
        <w:drawing>
          <wp:anchor distT="0" distB="0" distL="114300" distR="114300" simplePos="0" relativeHeight="251659264" behindDoc="0" locked="0" layoutInCell="1" allowOverlap="1" wp14:anchorId="6D8C73AE" wp14:editId="403ECA01">
            <wp:simplePos x="0" y="0"/>
            <wp:positionH relativeFrom="column">
              <wp:posOffset>37465</wp:posOffset>
            </wp:positionH>
            <wp:positionV relativeFrom="paragraph">
              <wp:posOffset>167640</wp:posOffset>
            </wp:positionV>
            <wp:extent cx="5885815" cy="2834005"/>
            <wp:effectExtent l="0" t="0" r="19685" b="23495"/>
            <wp:wrapSquare wrapText="bothSides"/>
            <wp:docPr id="10" name="图表 10" descr="7b0a202020202263686172745265734964223a202232303437363038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rFonts w:ascii="楷体_GB2312" w:eastAsia="楷体_GB2312" w:hint="eastAsia"/>
        </w:rPr>
        <w:t>（二）依申请公开</w:t>
      </w:r>
    </w:p>
    <w:p w:rsidR="005E11E7" w:rsidRDefault="00DF3B26">
      <w:pPr>
        <w:spacing w:line="600" w:lineRule="exact"/>
        <w:ind w:firstLineChars="200" w:firstLine="640"/>
        <w:jc w:val="left"/>
        <w:rPr>
          <w:rFonts w:ascii="仿宋_GB2312" w:eastAsia="仿宋_GB2312"/>
          <w:szCs w:val="32"/>
        </w:rPr>
      </w:pPr>
      <w:r>
        <w:rPr>
          <w:rFonts w:ascii="仿宋_GB2312" w:eastAsia="仿宋_GB2312" w:hint="eastAsia"/>
          <w:szCs w:val="32"/>
        </w:rPr>
        <w:t>规范政府信息公开申请办理流程，完善政府信息依申请公开处理机制。加强主动服务工作，畅通申请渠道，在办理过程中更</w:t>
      </w:r>
      <w:r>
        <w:rPr>
          <w:rFonts w:ascii="仿宋_GB2312" w:eastAsia="仿宋_GB2312" w:hint="eastAsia"/>
          <w:szCs w:val="32"/>
        </w:rPr>
        <w:lastRenderedPageBreak/>
        <w:t>加注重与申请人的直接沟通交流，确保申请人满意。2023年共收到政府信息公开申请3件，比上年度增加2件，申请内容主要涉及集体土地征收领域。</w:t>
      </w:r>
      <w:proofErr w:type="gramStart"/>
      <w:r>
        <w:rPr>
          <w:rFonts w:ascii="仿宋_GB2312" w:eastAsia="仿宋_GB2312" w:hint="eastAsia"/>
          <w:szCs w:val="32"/>
        </w:rPr>
        <w:t>作出</w:t>
      </w:r>
      <w:proofErr w:type="gramEnd"/>
      <w:r>
        <w:rPr>
          <w:rFonts w:ascii="仿宋_GB2312" w:eastAsia="仿宋_GB2312" w:hint="eastAsia"/>
          <w:szCs w:val="32"/>
        </w:rPr>
        <w:t>政府信息公开申请答复3件，其中予以公开3件。未因政府信息公开被申请行政复议、提起行政诉讼。</w:t>
      </w:r>
    </w:p>
    <w:p w:rsidR="005E11E7" w:rsidRDefault="00DF3B26">
      <w:pPr>
        <w:numPr>
          <w:ilvl w:val="0"/>
          <w:numId w:val="1"/>
        </w:numPr>
        <w:spacing w:line="600" w:lineRule="exact"/>
        <w:jc w:val="left"/>
        <w:rPr>
          <w:rFonts w:ascii="楷体_GB2312" w:eastAsia="楷体_GB2312"/>
        </w:rPr>
      </w:pPr>
      <w:r>
        <w:rPr>
          <w:rFonts w:ascii="楷体_GB2312" w:eastAsia="楷体_GB2312" w:hint="eastAsia"/>
        </w:rPr>
        <w:t>政府信息管理</w:t>
      </w:r>
    </w:p>
    <w:p w:rsidR="005E11E7" w:rsidRDefault="00DF3B26">
      <w:pPr>
        <w:spacing w:line="600" w:lineRule="exact"/>
        <w:ind w:firstLineChars="200" w:firstLine="640"/>
        <w:jc w:val="left"/>
        <w:rPr>
          <w:rFonts w:ascii="楷体_GB2312" w:eastAsia="楷体_GB2312"/>
        </w:rPr>
      </w:pPr>
      <w:r>
        <w:rPr>
          <w:rFonts w:ascii="仿宋_GB2312" w:eastAsia="仿宋_GB2312" w:hint="eastAsia"/>
          <w:szCs w:val="32"/>
        </w:rPr>
        <w:t>以信息公开的准确性和及时性的目标，进一步更新完善政府信息公开指南、政府信息主动公开目录等内容。严格落实政府信息公开属性源头认定机制、信息发布审核机制，坚持“先审核后发布”“谁审核谁负责”，对拟出台的政策文件，先确定公开属性再运转。实行政府信息公开保密审查制度，严防</w:t>
      </w:r>
      <w:proofErr w:type="gramStart"/>
      <w:r>
        <w:rPr>
          <w:rFonts w:ascii="仿宋_GB2312" w:eastAsia="仿宋_GB2312" w:hint="eastAsia"/>
          <w:szCs w:val="32"/>
        </w:rPr>
        <w:t>规</w:t>
      </w:r>
      <w:proofErr w:type="gramEnd"/>
      <w:r>
        <w:rPr>
          <w:rFonts w:ascii="仿宋_GB2312" w:eastAsia="仿宋_GB2312" w:hint="eastAsia"/>
          <w:szCs w:val="32"/>
        </w:rPr>
        <w:t>泄密等情况的发生。</w:t>
      </w:r>
    </w:p>
    <w:p w:rsidR="005E11E7" w:rsidRDefault="00DF3B26">
      <w:pPr>
        <w:spacing w:line="600" w:lineRule="exact"/>
        <w:jc w:val="left"/>
        <w:rPr>
          <w:rFonts w:ascii="楷体_GB2312" w:eastAsia="楷体_GB2312"/>
        </w:rPr>
      </w:pPr>
      <w:r>
        <w:rPr>
          <w:rFonts w:ascii="楷体_GB2312" w:eastAsia="楷体_GB2312" w:hint="eastAsia"/>
        </w:rPr>
        <w:t>（四）政府信息公开平台建设</w:t>
      </w:r>
    </w:p>
    <w:p w:rsidR="005E11E7" w:rsidRDefault="00DF3B26">
      <w:pPr>
        <w:spacing w:line="600" w:lineRule="exact"/>
        <w:ind w:firstLineChars="200" w:firstLine="640"/>
        <w:jc w:val="left"/>
        <w:rPr>
          <w:rFonts w:ascii="仿宋_GB2312" w:eastAsia="仿宋_GB2312"/>
          <w:szCs w:val="32"/>
        </w:rPr>
      </w:pPr>
      <w:r>
        <w:rPr>
          <w:rFonts w:ascii="仿宋_GB2312" w:eastAsia="仿宋_GB2312" w:hint="eastAsia"/>
          <w:szCs w:val="32"/>
        </w:rPr>
        <w:t>政府网站开设机构职能专栏，完善机关简介、领导信息、机构设置等内容公开。抓好政务新媒体建设，加强功能建设，借助新媒体平台发布安全生产、生态环保等政策解读信息，定期更新信息，及时回复群众留言，规范运维管理，打造优质政务新媒体平台。在便民服务大厅开设政务公开专区，设置政府信息公开查阅点，配备自助服务终端设备，实现“一站式”便民服务。</w:t>
      </w:r>
    </w:p>
    <w:p w:rsidR="005E11E7" w:rsidRDefault="00DF3B26">
      <w:pPr>
        <w:spacing w:line="600" w:lineRule="exact"/>
        <w:jc w:val="left"/>
        <w:rPr>
          <w:rFonts w:ascii="楷体_GB2312" w:eastAsia="楷体_GB2312"/>
        </w:rPr>
      </w:pPr>
      <w:r>
        <w:rPr>
          <w:rFonts w:ascii="楷体_GB2312" w:eastAsia="楷体_GB2312" w:hint="eastAsia"/>
        </w:rPr>
        <w:t>（五）监督保障</w:t>
      </w:r>
    </w:p>
    <w:p w:rsidR="005E11E7" w:rsidRDefault="00DF3B26">
      <w:pPr>
        <w:spacing w:line="600" w:lineRule="exact"/>
        <w:ind w:firstLineChars="200" w:firstLine="640"/>
        <w:jc w:val="left"/>
        <w:rPr>
          <w:rFonts w:ascii="黑体" w:eastAsia="黑体" w:hAnsi="黑体"/>
          <w:szCs w:val="32"/>
        </w:rPr>
      </w:pPr>
      <w:r>
        <w:rPr>
          <w:rFonts w:ascii="仿宋_GB2312" w:eastAsia="仿宋_GB2312" w:hint="eastAsia"/>
          <w:szCs w:val="32"/>
        </w:rPr>
        <w:t>完善政务公开工作机制，及时调整政务公开领导小组，建立以分管领导负责、党政办公室具体负责组织协调和指导推进、各</w:t>
      </w:r>
      <w:r>
        <w:rPr>
          <w:rFonts w:ascii="仿宋_GB2312" w:eastAsia="仿宋_GB2312" w:hint="eastAsia"/>
          <w:szCs w:val="32"/>
        </w:rPr>
        <w:lastRenderedPageBreak/>
        <w:t>科室协同配合的政府信息公开工作机制；配备1名政务公开专职人员。加强政府信息公开培训，参加县级政务公开干代训2次，组织开展政务公开培训1次，同时不定期开展政务公开研讨交流，切实增强公开意识。</w:t>
      </w:r>
    </w:p>
    <w:p w:rsidR="005E11E7" w:rsidRDefault="005E11E7">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FC63BE" w:rsidRDefault="00FC63BE">
      <w:pPr>
        <w:spacing w:afterLines="50" w:after="156" w:line="240" w:lineRule="auto"/>
        <w:ind w:firstLineChars="200" w:firstLine="640"/>
        <w:rPr>
          <w:rFonts w:ascii="黑体" w:eastAsia="黑体" w:hAnsi="黑体"/>
          <w:szCs w:val="32"/>
        </w:rPr>
      </w:pPr>
    </w:p>
    <w:p w:rsidR="005E11E7" w:rsidRDefault="005E11E7">
      <w:pPr>
        <w:spacing w:afterLines="50" w:after="156" w:line="240" w:lineRule="auto"/>
        <w:ind w:firstLineChars="200" w:firstLine="640"/>
        <w:rPr>
          <w:rFonts w:ascii="黑体" w:eastAsia="黑体" w:hAnsi="黑体"/>
          <w:szCs w:val="32"/>
        </w:rPr>
      </w:pPr>
    </w:p>
    <w:p w:rsidR="005E11E7" w:rsidRDefault="005E11E7">
      <w:pPr>
        <w:spacing w:afterLines="50" w:after="156" w:line="240" w:lineRule="auto"/>
        <w:ind w:firstLineChars="200" w:firstLine="640"/>
        <w:rPr>
          <w:rFonts w:ascii="黑体" w:eastAsia="黑体" w:hAnsi="黑体"/>
          <w:szCs w:val="32"/>
        </w:rPr>
      </w:pPr>
    </w:p>
    <w:p w:rsidR="005E11E7" w:rsidRDefault="005E11E7">
      <w:pPr>
        <w:spacing w:afterLines="50" w:after="156" w:line="240" w:lineRule="auto"/>
        <w:ind w:firstLineChars="200" w:firstLine="640"/>
        <w:rPr>
          <w:rFonts w:ascii="黑体" w:eastAsia="黑体" w:hAnsi="黑体"/>
          <w:szCs w:val="32"/>
        </w:rPr>
      </w:pPr>
    </w:p>
    <w:p w:rsidR="00FC63BE" w:rsidRDefault="00FC63BE" w:rsidP="00FC63BE">
      <w:pPr>
        <w:spacing w:afterLines="50" w:after="156" w:line="240" w:lineRule="auto"/>
        <w:ind w:firstLineChars="195"/>
        <w:rPr>
          <w:rFonts w:ascii="黑体" w:eastAsia="黑体" w:hAnsi="黑体"/>
          <w:szCs w:val="32"/>
        </w:rPr>
      </w:pPr>
    </w:p>
    <w:p w:rsidR="00E736D2" w:rsidRDefault="00E736D2" w:rsidP="00FC63BE">
      <w:pPr>
        <w:spacing w:afterLines="50" w:after="156" w:line="240" w:lineRule="auto"/>
        <w:ind w:firstLineChars="195"/>
        <w:rPr>
          <w:rFonts w:ascii="黑体" w:eastAsia="黑体" w:hAnsi="黑体"/>
          <w:szCs w:val="32"/>
        </w:rPr>
      </w:pPr>
    </w:p>
    <w:p w:rsidR="005E11E7" w:rsidRDefault="00DF3B26" w:rsidP="00FC63BE">
      <w:pPr>
        <w:spacing w:afterLines="50" w:after="156" w:line="240" w:lineRule="auto"/>
        <w:ind w:firstLineChars="195"/>
        <w:rPr>
          <w:rFonts w:ascii="黑体" w:eastAsia="黑体" w:hAnsi="黑体"/>
          <w:szCs w:val="32"/>
        </w:rPr>
      </w:pPr>
      <w:r>
        <w:rPr>
          <w:rFonts w:ascii="黑体" w:eastAsia="黑体" w:hAnsi="黑体" w:hint="eastAsia"/>
          <w:szCs w:val="32"/>
        </w:rPr>
        <w:lastRenderedPageBreak/>
        <w:t>二、主动公开政府信息情况</w:t>
      </w:r>
    </w:p>
    <w:tbl>
      <w:tblPr>
        <w:tblStyle w:val="a5"/>
        <w:tblW w:w="0" w:type="auto"/>
        <w:jc w:val="center"/>
        <w:tblLook w:val="04A0" w:firstRow="1" w:lastRow="0" w:firstColumn="1" w:lastColumn="0" w:noHBand="0" w:noVBand="1"/>
      </w:tblPr>
      <w:tblGrid>
        <w:gridCol w:w="2589"/>
        <w:gridCol w:w="2130"/>
        <w:gridCol w:w="2131"/>
        <w:gridCol w:w="2131"/>
      </w:tblGrid>
      <w:tr w:rsidR="005E11E7">
        <w:trPr>
          <w:trHeight w:hRule="exact" w:val="567"/>
          <w:jc w:val="center"/>
        </w:trPr>
        <w:tc>
          <w:tcPr>
            <w:tcW w:w="8981" w:type="dxa"/>
            <w:gridSpan w:val="4"/>
            <w:vAlign w:val="center"/>
          </w:tcPr>
          <w:p w:rsidR="005E11E7" w:rsidRDefault="00DF3B26">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5E11E7">
        <w:trPr>
          <w:trHeight w:hRule="exact" w:val="567"/>
          <w:jc w:val="center"/>
        </w:trPr>
        <w:tc>
          <w:tcPr>
            <w:tcW w:w="2589" w:type="dxa"/>
            <w:vAlign w:val="center"/>
          </w:tcPr>
          <w:p w:rsidR="005E11E7" w:rsidRDefault="00DF3B2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5E11E7" w:rsidRDefault="00DF3B2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5E11E7" w:rsidRDefault="00DF3B2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5E11E7" w:rsidRDefault="00DF3B2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5E11E7">
        <w:trPr>
          <w:trHeight w:hRule="exact" w:val="567"/>
          <w:jc w:val="center"/>
        </w:trPr>
        <w:tc>
          <w:tcPr>
            <w:tcW w:w="2589" w:type="dxa"/>
            <w:vAlign w:val="center"/>
          </w:tcPr>
          <w:p w:rsidR="005E11E7" w:rsidRDefault="00DF3B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5E11E7" w:rsidRDefault="00DF3B26">
            <w:pPr>
              <w:spacing w:line="240" w:lineRule="auto"/>
              <w:ind w:firstLine="0"/>
              <w:jc w:val="center"/>
              <w:rPr>
                <w:rFonts w:eastAsia="黑体"/>
                <w:sz w:val="24"/>
                <w:szCs w:val="24"/>
              </w:rPr>
            </w:pPr>
            <w:r>
              <w:rPr>
                <w:rFonts w:eastAsia="黑体"/>
                <w:sz w:val="24"/>
                <w:szCs w:val="24"/>
              </w:rPr>
              <w:t>0</w:t>
            </w:r>
          </w:p>
        </w:tc>
        <w:tc>
          <w:tcPr>
            <w:tcW w:w="2131" w:type="dxa"/>
            <w:vAlign w:val="center"/>
          </w:tcPr>
          <w:p w:rsidR="005E11E7" w:rsidRDefault="00DF3B26">
            <w:pPr>
              <w:spacing w:line="240" w:lineRule="auto"/>
              <w:ind w:firstLine="0"/>
              <w:jc w:val="center"/>
              <w:rPr>
                <w:rFonts w:eastAsia="黑体"/>
                <w:sz w:val="24"/>
                <w:szCs w:val="24"/>
              </w:rPr>
            </w:pPr>
            <w:r>
              <w:rPr>
                <w:rFonts w:eastAsia="黑体"/>
                <w:sz w:val="24"/>
                <w:szCs w:val="24"/>
              </w:rPr>
              <w:t>0</w:t>
            </w:r>
          </w:p>
        </w:tc>
        <w:tc>
          <w:tcPr>
            <w:tcW w:w="2131" w:type="dxa"/>
            <w:vAlign w:val="center"/>
          </w:tcPr>
          <w:p w:rsidR="005E11E7" w:rsidRDefault="00DF3B26">
            <w:pPr>
              <w:spacing w:line="240" w:lineRule="auto"/>
              <w:ind w:firstLine="0"/>
              <w:jc w:val="center"/>
              <w:rPr>
                <w:rFonts w:eastAsia="黑体"/>
                <w:sz w:val="24"/>
                <w:szCs w:val="24"/>
              </w:rPr>
            </w:pPr>
            <w:r>
              <w:rPr>
                <w:rFonts w:eastAsia="黑体"/>
                <w:sz w:val="24"/>
                <w:szCs w:val="24"/>
              </w:rPr>
              <w:t>0</w:t>
            </w:r>
          </w:p>
        </w:tc>
      </w:tr>
      <w:tr w:rsidR="005E11E7">
        <w:trPr>
          <w:trHeight w:hRule="exact" w:val="567"/>
          <w:jc w:val="center"/>
        </w:trPr>
        <w:tc>
          <w:tcPr>
            <w:tcW w:w="2589" w:type="dxa"/>
            <w:vAlign w:val="center"/>
          </w:tcPr>
          <w:p w:rsidR="005E11E7" w:rsidRDefault="00DF3B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5E11E7" w:rsidRDefault="00DF3B26">
            <w:pPr>
              <w:spacing w:line="240" w:lineRule="auto"/>
              <w:ind w:firstLine="0"/>
              <w:jc w:val="center"/>
              <w:rPr>
                <w:rFonts w:eastAsia="黑体"/>
                <w:sz w:val="24"/>
                <w:szCs w:val="24"/>
              </w:rPr>
            </w:pPr>
            <w:r>
              <w:rPr>
                <w:rFonts w:eastAsia="黑体"/>
                <w:sz w:val="24"/>
                <w:szCs w:val="24"/>
              </w:rPr>
              <w:t>0</w:t>
            </w:r>
          </w:p>
        </w:tc>
        <w:tc>
          <w:tcPr>
            <w:tcW w:w="2131" w:type="dxa"/>
            <w:vAlign w:val="center"/>
          </w:tcPr>
          <w:p w:rsidR="005E11E7" w:rsidRDefault="00DF3B26">
            <w:pPr>
              <w:spacing w:line="240" w:lineRule="auto"/>
              <w:ind w:firstLine="0"/>
              <w:jc w:val="center"/>
              <w:rPr>
                <w:rFonts w:eastAsia="黑体"/>
                <w:sz w:val="24"/>
                <w:szCs w:val="24"/>
              </w:rPr>
            </w:pPr>
            <w:r>
              <w:rPr>
                <w:rFonts w:eastAsia="黑体"/>
                <w:sz w:val="24"/>
                <w:szCs w:val="24"/>
              </w:rPr>
              <w:t>0</w:t>
            </w:r>
          </w:p>
        </w:tc>
        <w:tc>
          <w:tcPr>
            <w:tcW w:w="2131" w:type="dxa"/>
            <w:vAlign w:val="center"/>
          </w:tcPr>
          <w:p w:rsidR="005E11E7" w:rsidRDefault="00DF3B26">
            <w:pPr>
              <w:spacing w:line="240" w:lineRule="auto"/>
              <w:ind w:firstLine="0"/>
              <w:jc w:val="center"/>
              <w:rPr>
                <w:rFonts w:eastAsia="黑体"/>
                <w:sz w:val="24"/>
                <w:szCs w:val="24"/>
              </w:rPr>
            </w:pPr>
            <w:r>
              <w:rPr>
                <w:rFonts w:eastAsia="黑体"/>
                <w:sz w:val="24"/>
                <w:szCs w:val="24"/>
              </w:rPr>
              <w:t>0</w:t>
            </w:r>
          </w:p>
        </w:tc>
      </w:tr>
      <w:tr w:rsidR="005E11E7">
        <w:trPr>
          <w:trHeight w:hRule="exact" w:val="567"/>
          <w:jc w:val="center"/>
        </w:trPr>
        <w:tc>
          <w:tcPr>
            <w:tcW w:w="8981" w:type="dxa"/>
            <w:gridSpan w:val="4"/>
            <w:vAlign w:val="center"/>
          </w:tcPr>
          <w:p w:rsidR="005E11E7" w:rsidRDefault="00DF3B2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5E11E7">
        <w:trPr>
          <w:trHeight w:hRule="exact" w:val="567"/>
          <w:jc w:val="center"/>
        </w:trPr>
        <w:tc>
          <w:tcPr>
            <w:tcW w:w="2589" w:type="dxa"/>
            <w:vAlign w:val="center"/>
          </w:tcPr>
          <w:p w:rsidR="005E11E7" w:rsidRDefault="00DF3B2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5E11E7" w:rsidRDefault="00DF3B2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5E11E7">
        <w:trPr>
          <w:trHeight w:hRule="exact" w:val="567"/>
          <w:jc w:val="center"/>
        </w:trPr>
        <w:tc>
          <w:tcPr>
            <w:tcW w:w="2589" w:type="dxa"/>
            <w:vAlign w:val="center"/>
          </w:tcPr>
          <w:p w:rsidR="005E11E7" w:rsidRDefault="00DF3B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r>
      <w:tr w:rsidR="005E11E7">
        <w:trPr>
          <w:trHeight w:hRule="exact" w:val="567"/>
          <w:jc w:val="center"/>
        </w:trPr>
        <w:tc>
          <w:tcPr>
            <w:tcW w:w="8981" w:type="dxa"/>
            <w:gridSpan w:val="4"/>
            <w:vAlign w:val="center"/>
          </w:tcPr>
          <w:p w:rsidR="005E11E7" w:rsidRDefault="00DF3B2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5E11E7">
        <w:trPr>
          <w:trHeight w:hRule="exact" w:val="567"/>
          <w:jc w:val="center"/>
        </w:trPr>
        <w:tc>
          <w:tcPr>
            <w:tcW w:w="2589" w:type="dxa"/>
            <w:vAlign w:val="center"/>
          </w:tcPr>
          <w:p w:rsidR="005E11E7" w:rsidRDefault="00DF3B2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5E11E7" w:rsidRDefault="00DF3B2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5E11E7">
        <w:trPr>
          <w:trHeight w:hRule="exact" w:val="567"/>
          <w:jc w:val="center"/>
        </w:trPr>
        <w:tc>
          <w:tcPr>
            <w:tcW w:w="2589" w:type="dxa"/>
            <w:vAlign w:val="center"/>
          </w:tcPr>
          <w:p w:rsidR="005E11E7" w:rsidRDefault="00DF3B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r>
      <w:tr w:rsidR="005E11E7">
        <w:trPr>
          <w:trHeight w:hRule="exact" w:val="567"/>
          <w:jc w:val="center"/>
        </w:trPr>
        <w:tc>
          <w:tcPr>
            <w:tcW w:w="2589" w:type="dxa"/>
            <w:vAlign w:val="center"/>
          </w:tcPr>
          <w:p w:rsidR="005E11E7" w:rsidRDefault="00DF3B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r>
      <w:tr w:rsidR="005E11E7">
        <w:trPr>
          <w:trHeight w:hRule="exact" w:val="567"/>
          <w:jc w:val="center"/>
        </w:trPr>
        <w:tc>
          <w:tcPr>
            <w:tcW w:w="8981" w:type="dxa"/>
            <w:gridSpan w:val="4"/>
            <w:vAlign w:val="center"/>
          </w:tcPr>
          <w:p w:rsidR="005E11E7" w:rsidRDefault="00DF3B2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5E11E7">
        <w:trPr>
          <w:trHeight w:hRule="exact" w:val="567"/>
          <w:jc w:val="center"/>
        </w:trPr>
        <w:tc>
          <w:tcPr>
            <w:tcW w:w="2589" w:type="dxa"/>
            <w:vAlign w:val="center"/>
          </w:tcPr>
          <w:p w:rsidR="005E11E7" w:rsidRDefault="00DF3B2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5E11E7" w:rsidRDefault="00DF3B2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5E11E7">
        <w:trPr>
          <w:trHeight w:hRule="exact" w:val="567"/>
          <w:jc w:val="center"/>
        </w:trPr>
        <w:tc>
          <w:tcPr>
            <w:tcW w:w="2589" w:type="dxa"/>
            <w:vAlign w:val="center"/>
          </w:tcPr>
          <w:p w:rsidR="005E11E7" w:rsidRDefault="00DF3B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r>
    </w:tbl>
    <w:p w:rsidR="005E11E7" w:rsidRDefault="005E11E7">
      <w:pPr>
        <w:tabs>
          <w:tab w:val="left" w:pos="630"/>
        </w:tabs>
        <w:spacing w:afterLines="50" w:after="156" w:line="240" w:lineRule="auto"/>
        <w:ind w:firstLineChars="200" w:firstLine="640"/>
        <w:rPr>
          <w:rFonts w:ascii="黑体" w:eastAsia="黑体" w:hAnsi="黑体"/>
          <w:szCs w:val="32"/>
        </w:rPr>
      </w:pPr>
    </w:p>
    <w:p w:rsidR="005E11E7" w:rsidRDefault="005E11E7">
      <w:pPr>
        <w:tabs>
          <w:tab w:val="left" w:pos="630"/>
        </w:tabs>
        <w:spacing w:afterLines="50" w:after="156" w:line="240" w:lineRule="auto"/>
        <w:ind w:firstLineChars="200" w:firstLine="640"/>
        <w:rPr>
          <w:rFonts w:ascii="黑体" w:eastAsia="黑体" w:hAnsi="黑体"/>
          <w:szCs w:val="32"/>
        </w:rPr>
      </w:pPr>
    </w:p>
    <w:p w:rsidR="005E11E7" w:rsidRDefault="005E11E7">
      <w:pPr>
        <w:tabs>
          <w:tab w:val="left" w:pos="630"/>
        </w:tabs>
        <w:spacing w:afterLines="50" w:after="156" w:line="240" w:lineRule="auto"/>
        <w:ind w:firstLineChars="200" w:firstLine="640"/>
        <w:rPr>
          <w:rFonts w:ascii="黑体" w:eastAsia="黑体" w:hAnsi="黑体"/>
          <w:szCs w:val="32"/>
        </w:rPr>
      </w:pPr>
    </w:p>
    <w:p w:rsidR="005E11E7" w:rsidRDefault="005E11E7">
      <w:pPr>
        <w:tabs>
          <w:tab w:val="left" w:pos="630"/>
        </w:tabs>
        <w:spacing w:afterLines="50" w:after="156" w:line="240" w:lineRule="auto"/>
        <w:ind w:firstLineChars="200" w:firstLine="640"/>
        <w:rPr>
          <w:rFonts w:ascii="黑体" w:eastAsia="黑体" w:hAnsi="黑体"/>
          <w:szCs w:val="32"/>
        </w:rPr>
      </w:pPr>
    </w:p>
    <w:p w:rsidR="005E11E7" w:rsidRDefault="005E11E7">
      <w:pPr>
        <w:tabs>
          <w:tab w:val="left" w:pos="630"/>
        </w:tabs>
        <w:spacing w:afterLines="50" w:after="156" w:line="240" w:lineRule="auto"/>
        <w:ind w:firstLineChars="200" w:firstLine="640"/>
        <w:rPr>
          <w:rFonts w:ascii="黑体" w:eastAsia="黑体" w:hAnsi="黑体"/>
          <w:szCs w:val="32"/>
        </w:rPr>
      </w:pPr>
    </w:p>
    <w:p w:rsidR="005E11E7" w:rsidRDefault="005E11E7">
      <w:pPr>
        <w:tabs>
          <w:tab w:val="left" w:pos="630"/>
        </w:tabs>
        <w:spacing w:afterLines="50" w:after="156" w:line="240" w:lineRule="auto"/>
        <w:ind w:firstLineChars="200" w:firstLine="640"/>
        <w:rPr>
          <w:rFonts w:ascii="黑体" w:eastAsia="黑体" w:hAnsi="黑体"/>
          <w:szCs w:val="32"/>
        </w:rPr>
      </w:pPr>
    </w:p>
    <w:p w:rsidR="005E11E7" w:rsidRDefault="005E11E7">
      <w:pPr>
        <w:tabs>
          <w:tab w:val="left" w:pos="630"/>
        </w:tabs>
        <w:spacing w:afterLines="50" w:after="156" w:line="240" w:lineRule="auto"/>
        <w:ind w:firstLineChars="200" w:firstLine="640"/>
        <w:rPr>
          <w:rFonts w:ascii="黑体" w:eastAsia="黑体" w:hAnsi="黑体"/>
          <w:szCs w:val="32"/>
        </w:rPr>
      </w:pPr>
    </w:p>
    <w:p w:rsidR="005E11E7" w:rsidRDefault="00DF3B26">
      <w:pPr>
        <w:tabs>
          <w:tab w:val="left" w:pos="630"/>
        </w:tabs>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Layout w:type="fixed"/>
        <w:tblCellMar>
          <w:left w:w="0" w:type="dxa"/>
          <w:right w:w="0" w:type="dxa"/>
        </w:tblCellMar>
        <w:tblLook w:val="04A0" w:firstRow="1" w:lastRow="0" w:firstColumn="1" w:lastColumn="0" w:noHBand="0" w:noVBand="1"/>
      </w:tblPr>
      <w:tblGrid>
        <w:gridCol w:w="725"/>
        <w:gridCol w:w="905"/>
        <w:gridCol w:w="2726"/>
        <w:gridCol w:w="580"/>
        <w:gridCol w:w="856"/>
        <w:gridCol w:w="856"/>
        <w:gridCol w:w="856"/>
        <w:gridCol w:w="856"/>
        <w:gridCol w:w="856"/>
        <w:gridCol w:w="719"/>
      </w:tblGrid>
      <w:tr w:rsidR="005E11E7">
        <w:trPr>
          <w:jc w:val="center"/>
        </w:trPr>
        <w:tc>
          <w:tcPr>
            <w:tcW w:w="4356"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579"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5E11E7">
        <w:trPr>
          <w:jc w:val="center"/>
        </w:trPr>
        <w:tc>
          <w:tcPr>
            <w:tcW w:w="4356" w:type="dxa"/>
            <w:gridSpan w:val="3"/>
            <w:vMerge/>
            <w:tcBorders>
              <w:top w:val="single" w:sz="8" w:space="0" w:color="auto"/>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58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42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19"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5E11E7">
        <w:trPr>
          <w:jc w:val="center"/>
        </w:trPr>
        <w:tc>
          <w:tcPr>
            <w:tcW w:w="4356" w:type="dxa"/>
            <w:gridSpan w:val="3"/>
            <w:vMerge/>
            <w:tcBorders>
              <w:top w:val="single" w:sz="8" w:space="0" w:color="auto"/>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580" w:type="dxa"/>
            <w:vMerge/>
            <w:tcBorders>
              <w:top w:val="nil"/>
              <w:left w:val="nil"/>
              <w:bottom w:val="single"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8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19" w:type="dxa"/>
            <w:vMerge/>
            <w:tcBorders>
              <w:top w:val="single" w:sz="8" w:space="0" w:color="auto"/>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r>
      <w:tr w:rsidR="005E11E7" w:rsidTr="00FC63BE">
        <w:trPr>
          <w:jc w:val="center"/>
        </w:trPr>
        <w:tc>
          <w:tcPr>
            <w:tcW w:w="4356"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3</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3</w:t>
            </w:r>
          </w:p>
        </w:tc>
      </w:tr>
      <w:tr w:rsidR="005E11E7" w:rsidTr="00FC63BE">
        <w:trPr>
          <w:jc w:val="center"/>
        </w:trPr>
        <w:tc>
          <w:tcPr>
            <w:tcW w:w="4356"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63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3</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3</w:t>
            </w:r>
          </w:p>
        </w:tc>
      </w:tr>
      <w:tr w:rsidR="005E11E7" w:rsidTr="00FC63BE">
        <w:trPr>
          <w:trHeight w:val="639"/>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363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trHeight w:val="297"/>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trHeight w:val="297"/>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trHeight w:val="779"/>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nil"/>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inset"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580" w:type="dxa"/>
            <w:tcBorders>
              <w:top w:val="nil"/>
              <w:left w:val="nil"/>
              <w:bottom w:val="inset"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inset"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inset"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inset"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inset"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inset"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inset"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72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inset" w:sz="8" w:space="0" w:color="auto"/>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905" w:type="dxa"/>
            <w:vMerge/>
            <w:tcBorders>
              <w:top w:val="inset" w:sz="8" w:space="0" w:color="auto"/>
              <w:left w:val="nil"/>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r w:rsidR="005E11E7" w:rsidTr="00FC63BE">
        <w:trPr>
          <w:jc w:val="center"/>
        </w:trPr>
        <w:tc>
          <w:tcPr>
            <w:tcW w:w="725" w:type="dxa"/>
            <w:vMerge/>
            <w:tcBorders>
              <w:top w:val="nil"/>
              <w:left w:val="single" w:sz="8" w:space="0" w:color="auto"/>
              <w:bottom w:val="inset"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363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3</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3</w:t>
            </w:r>
          </w:p>
        </w:tc>
      </w:tr>
      <w:tr w:rsidR="005E11E7" w:rsidTr="00FC63BE">
        <w:trPr>
          <w:jc w:val="center"/>
        </w:trPr>
        <w:tc>
          <w:tcPr>
            <w:tcW w:w="4356"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E11E7" w:rsidRDefault="00DF3B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5E11E7" w:rsidRDefault="00DF3B26" w:rsidP="00FC63BE">
            <w:pPr>
              <w:spacing w:line="240" w:lineRule="auto"/>
              <w:ind w:firstLine="0"/>
              <w:jc w:val="center"/>
              <w:rPr>
                <w:rFonts w:eastAsia="黑体"/>
                <w:sz w:val="24"/>
                <w:szCs w:val="24"/>
              </w:rPr>
            </w:pPr>
            <w:r>
              <w:rPr>
                <w:rFonts w:eastAsia="黑体" w:hint="eastAsia"/>
                <w:sz w:val="24"/>
                <w:szCs w:val="24"/>
              </w:rPr>
              <w:t>0</w:t>
            </w:r>
          </w:p>
        </w:tc>
      </w:tr>
    </w:tbl>
    <w:p w:rsidR="005E11E7" w:rsidRDefault="005E11E7">
      <w:pPr>
        <w:spacing w:line="240" w:lineRule="auto"/>
        <w:ind w:firstLineChars="200" w:firstLine="600"/>
        <w:rPr>
          <w:rFonts w:ascii="黑体" w:eastAsia="黑体" w:hAnsi="黑体"/>
          <w:sz w:val="30"/>
          <w:szCs w:val="30"/>
        </w:rPr>
      </w:pPr>
    </w:p>
    <w:p w:rsidR="005E11E7" w:rsidRDefault="00DF3B26">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5E11E7">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5E11E7">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5E11E7">
        <w:trPr>
          <w:jc w:val="center"/>
        </w:trPr>
        <w:tc>
          <w:tcPr>
            <w:tcW w:w="0" w:type="auto"/>
            <w:vMerge/>
            <w:tcBorders>
              <w:top w:val="nil"/>
              <w:left w:val="single" w:sz="8" w:space="0" w:color="auto"/>
              <w:bottom w:val="single"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E11E7" w:rsidRDefault="005E11E7">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5E11E7">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11E7" w:rsidRDefault="00DF3B26">
            <w:pPr>
              <w:spacing w:line="240" w:lineRule="auto"/>
              <w:ind w:firstLine="0"/>
              <w:jc w:val="center"/>
              <w:rPr>
                <w:rFonts w:eastAsia="黑体"/>
                <w:sz w:val="24"/>
                <w:szCs w:val="24"/>
              </w:rPr>
            </w:pPr>
            <w:r>
              <w:rPr>
                <w:rFonts w:eastAsia="黑体" w:hint="eastAsia"/>
                <w:sz w:val="24"/>
                <w:szCs w:val="24"/>
              </w:rPr>
              <w:t>0</w:t>
            </w:r>
          </w:p>
        </w:tc>
      </w:tr>
    </w:tbl>
    <w:p w:rsidR="005E11E7" w:rsidRDefault="00DF3B26">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5E11E7" w:rsidRDefault="00DF3B26">
      <w:pPr>
        <w:spacing w:line="560" w:lineRule="exact"/>
        <w:ind w:firstLineChars="200" w:firstLine="640"/>
        <w:rPr>
          <w:rFonts w:ascii="楷体_GB2312" w:eastAsia="楷体_GB2312" w:hAnsi="黑体"/>
          <w:szCs w:val="32"/>
        </w:rPr>
      </w:pPr>
      <w:r>
        <w:rPr>
          <w:rFonts w:ascii="楷体_GB2312" w:eastAsia="楷体_GB2312" w:hAnsi="黑体" w:hint="eastAsia"/>
          <w:szCs w:val="32"/>
        </w:rPr>
        <w:t>（一）存在问题</w:t>
      </w:r>
    </w:p>
    <w:p w:rsidR="005E11E7" w:rsidRDefault="00DF3B26">
      <w:pPr>
        <w:spacing w:line="600" w:lineRule="exact"/>
        <w:ind w:firstLineChars="200" w:firstLine="640"/>
        <w:jc w:val="left"/>
        <w:rPr>
          <w:rFonts w:ascii="仿宋_GB2312" w:eastAsia="仿宋_GB2312"/>
          <w:szCs w:val="32"/>
        </w:rPr>
      </w:pPr>
      <w:r>
        <w:rPr>
          <w:rFonts w:ascii="仿宋_GB2312" w:eastAsia="仿宋_GB2312" w:hint="eastAsia"/>
          <w:szCs w:val="32"/>
        </w:rPr>
        <w:t>一是信息发布时效性不强，部分信息形成后及时予以公开，同时政策文件公开格式不规范，政策文件文号、有效性标注不准确。</w:t>
      </w:r>
    </w:p>
    <w:p w:rsidR="005E11E7" w:rsidRDefault="00DF3B26">
      <w:pPr>
        <w:spacing w:line="600" w:lineRule="exact"/>
        <w:ind w:firstLineChars="200" w:firstLine="640"/>
        <w:jc w:val="left"/>
        <w:rPr>
          <w:rFonts w:ascii="仿宋_GB2312" w:eastAsia="仿宋_GB2312"/>
          <w:szCs w:val="32"/>
        </w:rPr>
      </w:pPr>
      <w:r>
        <w:rPr>
          <w:rFonts w:ascii="仿宋_GB2312" w:eastAsia="仿宋_GB2312" w:hint="eastAsia"/>
          <w:szCs w:val="32"/>
        </w:rPr>
        <w:t>二是信息公开形式较为单一，多数信息以文字形式进行公开，无法适应群众快速获取信息的需求。</w:t>
      </w:r>
    </w:p>
    <w:p w:rsidR="005E11E7" w:rsidRDefault="00DF3B26">
      <w:pPr>
        <w:spacing w:line="600" w:lineRule="exact"/>
        <w:ind w:firstLineChars="200" w:firstLine="640"/>
        <w:jc w:val="left"/>
        <w:rPr>
          <w:rFonts w:ascii="仿宋_GB2312" w:eastAsia="仿宋_GB2312"/>
          <w:szCs w:val="32"/>
        </w:rPr>
      </w:pPr>
      <w:r>
        <w:rPr>
          <w:rFonts w:ascii="仿宋_GB2312" w:eastAsia="仿宋_GB2312" w:hint="eastAsia"/>
          <w:szCs w:val="32"/>
        </w:rPr>
        <w:t>三是信息公开类型及内容覆盖不够全面，对公众关心的热点、焦点问题信息关注、回应不够。</w:t>
      </w:r>
    </w:p>
    <w:p w:rsidR="005E11E7" w:rsidRDefault="00DF3B26">
      <w:pPr>
        <w:spacing w:line="560" w:lineRule="exact"/>
        <w:ind w:firstLineChars="200" w:firstLine="640"/>
        <w:rPr>
          <w:rFonts w:ascii="楷体_GB2312" w:eastAsia="楷体_GB2312" w:hAnsi="黑体"/>
          <w:szCs w:val="32"/>
        </w:rPr>
      </w:pPr>
      <w:r>
        <w:rPr>
          <w:rFonts w:ascii="楷体_GB2312" w:eastAsia="楷体_GB2312" w:hAnsi="黑体" w:hint="eastAsia"/>
          <w:szCs w:val="32"/>
        </w:rPr>
        <w:t>（二）改进情况</w:t>
      </w:r>
    </w:p>
    <w:p w:rsidR="005E11E7" w:rsidRDefault="00DF3B26">
      <w:pPr>
        <w:spacing w:line="600" w:lineRule="exact"/>
        <w:ind w:firstLineChars="200" w:firstLine="640"/>
        <w:jc w:val="left"/>
        <w:rPr>
          <w:rFonts w:ascii="仿宋_GB2312" w:eastAsia="仿宋_GB2312"/>
          <w:szCs w:val="32"/>
        </w:rPr>
      </w:pPr>
      <w:r>
        <w:rPr>
          <w:rFonts w:ascii="仿宋_GB2312" w:eastAsia="仿宋_GB2312" w:hint="eastAsia"/>
          <w:szCs w:val="32"/>
        </w:rPr>
        <w:t>一是加强信息公开时效审查，除依法应当保密的内容外，协调各科室委办在法定时限内公开各类重点领域信息100余条。指导、规范各业务科室及时上报公开文件3件，统一规范相关格式后通过政府网站予以公开，做到公布及时、信息有效、格式规范。</w:t>
      </w:r>
    </w:p>
    <w:p w:rsidR="005E11E7" w:rsidRDefault="00DF3B26">
      <w:pPr>
        <w:spacing w:line="600" w:lineRule="exact"/>
        <w:ind w:firstLineChars="200" w:firstLine="640"/>
        <w:jc w:val="left"/>
        <w:rPr>
          <w:rFonts w:ascii="仿宋_GB2312" w:eastAsia="仿宋_GB2312"/>
          <w:szCs w:val="32"/>
        </w:rPr>
      </w:pPr>
      <w:r>
        <w:rPr>
          <w:rFonts w:ascii="仿宋_GB2312" w:eastAsia="仿宋_GB2312" w:hint="eastAsia"/>
          <w:szCs w:val="32"/>
        </w:rPr>
        <w:t>二是创新政府信息公开形式，将政策解读材料、涉及群众切身利益的政政策文件制作为图片，借助政务新媒体进行公开，累计发布图文类政府信息50余条，进一步满足广大群众快速获取政</w:t>
      </w:r>
      <w:r>
        <w:rPr>
          <w:rFonts w:ascii="仿宋_GB2312" w:eastAsia="仿宋_GB2312" w:hint="eastAsia"/>
          <w:szCs w:val="32"/>
        </w:rPr>
        <w:lastRenderedPageBreak/>
        <w:t>府信息的需求。</w:t>
      </w:r>
    </w:p>
    <w:p w:rsidR="005E11E7" w:rsidRDefault="00DF3B26">
      <w:pPr>
        <w:spacing w:line="600" w:lineRule="exact"/>
        <w:ind w:firstLineChars="200" w:firstLine="640"/>
        <w:jc w:val="left"/>
        <w:rPr>
          <w:rFonts w:ascii="仿宋_GB2312" w:eastAsia="仿宋_GB2312"/>
          <w:szCs w:val="32"/>
        </w:rPr>
      </w:pPr>
      <w:r>
        <w:rPr>
          <w:rFonts w:ascii="仿宋_GB2312" w:eastAsia="仿宋_GB2312" w:hint="eastAsia"/>
          <w:szCs w:val="32"/>
        </w:rPr>
        <w:t>三是进一步强化政务公开各栏目信息发布管理，针对群众关心关注的农业生产、教育卫生、就业保障等问题，设立3个专栏集中发布信息，对公众关心的热点、焦点问题5个工作日及时回应。</w:t>
      </w:r>
    </w:p>
    <w:p w:rsidR="005E11E7" w:rsidRDefault="00DF3B26">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5E11E7" w:rsidRDefault="00DF3B26">
      <w:pPr>
        <w:ind w:firstLineChars="200" w:firstLine="640"/>
        <w:jc w:val="left"/>
        <w:rPr>
          <w:rFonts w:ascii="楷体_GB2312" w:eastAsia="楷体_GB2312" w:hAnsi="黑体"/>
          <w:szCs w:val="32"/>
        </w:rPr>
      </w:pPr>
      <w:r>
        <w:rPr>
          <w:rFonts w:ascii="楷体_GB2312" w:eastAsia="楷体_GB2312" w:hAnsi="黑体" w:hint="eastAsia"/>
          <w:szCs w:val="32"/>
        </w:rPr>
        <w:t>（一）政府信息公开信息处理费收取情况</w:t>
      </w:r>
    </w:p>
    <w:p w:rsidR="005E11E7" w:rsidRDefault="00DF3B26">
      <w:pPr>
        <w:spacing w:line="560" w:lineRule="exact"/>
        <w:ind w:firstLineChars="200" w:firstLine="640"/>
        <w:rPr>
          <w:rFonts w:ascii="仿宋_GB2312" w:eastAsia="仿宋_GB2312"/>
          <w:szCs w:val="32"/>
        </w:rPr>
      </w:pPr>
      <w:r>
        <w:rPr>
          <w:rFonts w:ascii="仿宋_GB2312" w:eastAsia="仿宋_GB2312" w:hint="eastAsia"/>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rsidR="005E11E7" w:rsidRDefault="00DF3B26">
      <w:pPr>
        <w:ind w:firstLineChars="200" w:firstLine="640"/>
        <w:jc w:val="left"/>
        <w:rPr>
          <w:rFonts w:ascii="楷体_GB2312" w:eastAsia="楷体_GB2312" w:hAnsi="黑体"/>
          <w:szCs w:val="32"/>
        </w:rPr>
      </w:pPr>
      <w:r>
        <w:rPr>
          <w:rFonts w:ascii="楷体_GB2312" w:eastAsia="楷体_GB2312" w:hAnsi="黑体" w:hint="eastAsia"/>
          <w:szCs w:val="32"/>
        </w:rPr>
        <w:t>（二）落实上级年度政务公开工作要点情况</w:t>
      </w:r>
    </w:p>
    <w:p w:rsidR="005E11E7" w:rsidRDefault="00DF3B26">
      <w:pPr>
        <w:ind w:firstLineChars="200" w:firstLine="640"/>
        <w:jc w:val="left"/>
        <w:rPr>
          <w:rFonts w:ascii="仿宋_GB2312" w:eastAsia="仿宋_GB2312"/>
          <w:szCs w:val="32"/>
        </w:rPr>
      </w:pPr>
      <w:r>
        <w:rPr>
          <w:rFonts w:ascii="仿宋_GB2312" w:eastAsia="仿宋_GB2312" w:hint="eastAsia"/>
          <w:szCs w:val="32"/>
        </w:rPr>
        <w:t>根据《2023年山东省政务公开工作要点》《2023年淄博市政务公开工作方案》《2023年高青县政务公开工作方案》，制定了《高青县青城镇政务公开工作方案》，严格按照时间节点推动落实落实。</w:t>
      </w:r>
      <w:r>
        <w:rPr>
          <w:rFonts w:ascii="仿宋_GB2312" w:eastAsia="仿宋_GB2312"/>
          <w:szCs w:val="32"/>
        </w:rPr>
        <w:t>一</w:t>
      </w:r>
      <w:r>
        <w:rPr>
          <w:rFonts w:ascii="仿宋_GB2312" w:eastAsia="仿宋_GB2312" w:hint="eastAsia"/>
          <w:szCs w:val="32"/>
        </w:rPr>
        <w:t>是加强组织领导，健全工作机制。明确政务公开工作责任分工，安排1名专职人员专人负责信息公开工作审核和发布，建立健全主动公开和依申请公开制度，做到年初有部署、年中有指导、年末有总结。 二是拓宽公开渠道，提升信息质量。通过</w:t>
      </w:r>
      <w:r>
        <w:rPr>
          <w:rFonts w:ascii="仿宋_GB2312" w:eastAsia="仿宋_GB2312" w:hint="eastAsia"/>
          <w:szCs w:val="32"/>
        </w:rPr>
        <w:lastRenderedPageBreak/>
        <w:t>政务公开网站，向社会公开机构设置、职能简介、领导简介等信息，及时公开重点工作进展和民生实时项目完成情况，以及各项惠民政策。围绕热点舆情积极主动回应，扩大群众知晓面，深入解读政策的制定背景、制定意义、创新举措等要素，更新完善信息公开内容。三是强化监督考核，增强公开质效。将政务公开工作纳入对各科室、委办的考核指标体系，并定期开展信息公开检查，确保工作落实到位。</w:t>
      </w:r>
    </w:p>
    <w:p w:rsidR="005E11E7" w:rsidRDefault="00DF3B26">
      <w:pPr>
        <w:ind w:firstLineChars="200" w:firstLine="640"/>
        <w:jc w:val="left"/>
        <w:rPr>
          <w:rFonts w:ascii="楷体_GB2312" w:eastAsia="楷体_GB2312" w:hAnsi="黑体"/>
          <w:szCs w:val="32"/>
        </w:rPr>
      </w:pPr>
      <w:r>
        <w:rPr>
          <w:rFonts w:ascii="楷体_GB2312" w:eastAsia="楷体_GB2312" w:hAnsi="黑体" w:hint="eastAsia"/>
          <w:szCs w:val="32"/>
        </w:rPr>
        <w:t>（三）人大代表建议和政协</w:t>
      </w:r>
      <w:bookmarkStart w:id="0" w:name="_GoBack"/>
      <w:bookmarkEnd w:id="0"/>
      <w:r>
        <w:rPr>
          <w:rFonts w:ascii="楷体_GB2312" w:eastAsia="楷体_GB2312" w:hAnsi="黑体" w:hint="eastAsia"/>
          <w:szCs w:val="32"/>
        </w:rPr>
        <w:t>提案办理结果公开情况</w:t>
      </w:r>
    </w:p>
    <w:p w:rsidR="005E11E7" w:rsidRDefault="00DF3B26">
      <w:pPr>
        <w:ind w:firstLineChars="200" w:firstLine="640"/>
        <w:jc w:val="left"/>
        <w:rPr>
          <w:rFonts w:ascii="楷体_GB2312" w:eastAsia="楷体_GB2312" w:hAnsi="黑体"/>
          <w:szCs w:val="32"/>
        </w:rPr>
      </w:pPr>
      <w:r>
        <w:rPr>
          <w:rFonts w:ascii="仿宋_GB2312" w:eastAsia="仿宋_GB2312" w:hint="eastAsia"/>
          <w:szCs w:val="32"/>
        </w:rPr>
        <w:t>2023年未</w:t>
      </w:r>
      <w:proofErr w:type="gramStart"/>
      <w:r>
        <w:rPr>
          <w:rFonts w:ascii="仿宋_GB2312" w:eastAsia="仿宋_GB2312" w:hint="eastAsia"/>
          <w:szCs w:val="32"/>
        </w:rPr>
        <w:t>承办县</w:t>
      </w:r>
      <w:proofErr w:type="gramEnd"/>
      <w:r>
        <w:rPr>
          <w:rFonts w:ascii="仿宋_GB2312" w:eastAsia="仿宋_GB2312" w:hint="eastAsia"/>
          <w:szCs w:val="32"/>
        </w:rPr>
        <w:t>十八届人大二次会议建议、县政协十五届二次会议提案。</w:t>
      </w:r>
    </w:p>
    <w:p w:rsidR="005E11E7" w:rsidRDefault="00DF3B26">
      <w:pPr>
        <w:ind w:firstLineChars="200" w:firstLine="640"/>
        <w:jc w:val="left"/>
        <w:rPr>
          <w:rFonts w:ascii="楷体_GB2312" w:eastAsia="楷体_GB2312" w:hAnsi="黑体"/>
          <w:szCs w:val="32"/>
        </w:rPr>
      </w:pPr>
      <w:r>
        <w:rPr>
          <w:rFonts w:ascii="楷体_GB2312" w:eastAsia="楷体_GB2312" w:hAnsi="黑体" w:hint="eastAsia"/>
          <w:szCs w:val="32"/>
        </w:rPr>
        <w:t>（四）政务公开工作创新情况</w:t>
      </w:r>
    </w:p>
    <w:p w:rsidR="005E11E7" w:rsidRDefault="00DF3B26">
      <w:pPr>
        <w:ind w:firstLineChars="200" w:firstLine="640"/>
        <w:jc w:val="left"/>
        <w:rPr>
          <w:rFonts w:ascii="楷体_GB2312" w:eastAsia="楷体_GB2312" w:hAnsi="黑体"/>
          <w:szCs w:val="32"/>
        </w:rPr>
      </w:pPr>
      <w:r>
        <w:rPr>
          <w:rFonts w:ascii="仿宋_GB2312" w:eastAsia="仿宋_GB2312" w:hint="eastAsia"/>
          <w:szCs w:val="32"/>
        </w:rPr>
        <w:t>一是建立月例会制度，每月组织召开一次研讨会，研究讨论公开事项，相互学习好的经验做法，形成比学赶超的工作氛围，提高政务公开工作成效。</w:t>
      </w:r>
    </w:p>
    <w:p w:rsidR="005E11E7" w:rsidRDefault="00DF3B26">
      <w:pPr>
        <w:ind w:firstLineChars="200" w:firstLine="640"/>
        <w:jc w:val="left"/>
        <w:rPr>
          <w:rFonts w:ascii="楷体_GB2312" w:eastAsia="楷体_GB2312" w:hAnsi="黑体"/>
          <w:szCs w:val="32"/>
        </w:rPr>
      </w:pPr>
      <w:r>
        <w:rPr>
          <w:rFonts w:ascii="仿宋_GB2312" w:eastAsia="仿宋_GB2312" w:hint="eastAsia"/>
          <w:szCs w:val="32"/>
        </w:rPr>
        <w:t>二是丰富公开方式，利用政府网站、政务新媒体、公告栏、电子显示屏等载体，及时公开重要工作事项，自觉接受社会公众监督。</w:t>
      </w:r>
    </w:p>
    <w:p w:rsidR="005E11E7" w:rsidRDefault="00DF3B26">
      <w:pPr>
        <w:ind w:firstLineChars="200" w:firstLine="640"/>
        <w:jc w:val="left"/>
        <w:rPr>
          <w:rFonts w:ascii="楷体_GB2312" w:eastAsia="楷体_GB2312" w:hAnsi="黑体"/>
          <w:szCs w:val="32"/>
        </w:rPr>
      </w:pPr>
      <w:r>
        <w:rPr>
          <w:rFonts w:ascii="楷体_GB2312" w:eastAsia="楷体_GB2312" w:hAnsi="黑体" w:hint="eastAsia"/>
          <w:szCs w:val="32"/>
        </w:rPr>
        <w:t>（五）有关数据统计说明</w:t>
      </w:r>
    </w:p>
    <w:p w:rsidR="005E11E7" w:rsidRDefault="00DF3B26">
      <w:pPr>
        <w:spacing w:line="560" w:lineRule="exact"/>
        <w:ind w:firstLineChars="200" w:firstLine="640"/>
        <w:rPr>
          <w:rFonts w:ascii="仿宋_GB2312" w:eastAsia="仿宋_GB2312"/>
          <w:szCs w:val="32"/>
        </w:rPr>
      </w:pPr>
      <w:r>
        <w:rPr>
          <w:rFonts w:ascii="仿宋_GB2312" w:eastAsia="仿宋_GB2312" w:hint="eastAsia"/>
          <w:szCs w:val="32"/>
        </w:rPr>
        <w:t>1.报告中所列数据可能因四舍五入原因与数据直接相加之和存在尾数差异。</w:t>
      </w:r>
    </w:p>
    <w:p w:rsidR="005E11E7" w:rsidRDefault="00DF3B26">
      <w:pPr>
        <w:spacing w:line="560" w:lineRule="exact"/>
        <w:ind w:firstLineChars="200" w:firstLine="640"/>
        <w:rPr>
          <w:rFonts w:ascii="仿宋_GB2312" w:eastAsia="仿宋_GB2312"/>
          <w:szCs w:val="32"/>
        </w:rPr>
      </w:pPr>
      <w:r>
        <w:rPr>
          <w:rFonts w:ascii="仿宋_GB2312" w:eastAsia="仿宋_GB2312" w:hint="eastAsia"/>
          <w:szCs w:val="32"/>
        </w:rPr>
        <w:t>2.行政许可数量、行政处罚和行政强制数量，包括已公开和</w:t>
      </w:r>
      <w:proofErr w:type="gramStart"/>
      <w:r>
        <w:rPr>
          <w:rFonts w:ascii="仿宋_GB2312" w:eastAsia="仿宋_GB2312" w:hint="eastAsia"/>
          <w:szCs w:val="32"/>
        </w:rPr>
        <w:lastRenderedPageBreak/>
        <w:t>依法未</w:t>
      </w:r>
      <w:proofErr w:type="gramEnd"/>
      <w:r>
        <w:rPr>
          <w:rFonts w:ascii="仿宋_GB2312" w:eastAsia="仿宋_GB2312" w:hint="eastAsia"/>
          <w:szCs w:val="32"/>
        </w:rPr>
        <w:t>公开的全部处理决定。</w:t>
      </w:r>
    </w:p>
    <w:p w:rsidR="005E11E7" w:rsidRDefault="00DF3B26">
      <w:pPr>
        <w:spacing w:line="560" w:lineRule="exact"/>
        <w:ind w:firstLineChars="200" w:firstLine="640"/>
        <w:rPr>
          <w:rFonts w:ascii="黑体" w:eastAsia="黑体" w:hAnsi="黑体"/>
          <w:szCs w:val="32"/>
        </w:rPr>
      </w:pPr>
      <w:r>
        <w:rPr>
          <w:rFonts w:ascii="仿宋_GB2312" w:eastAsia="仿宋_GB2312" w:hint="eastAsia"/>
          <w:szCs w:val="32"/>
        </w:rPr>
        <w:t>3.行政复议机关作为共同被告的行政诉讼案件，只计算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p w:rsidR="005E11E7" w:rsidRDefault="005E11E7">
      <w:pPr>
        <w:ind w:firstLineChars="200" w:firstLine="640"/>
        <w:jc w:val="left"/>
        <w:rPr>
          <w:rFonts w:ascii="仿宋_GB2312" w:eastAsia="仿宋_GB2312"/>
        </w:rPr>
      </w:pPr>
    </w:p>
    <w:p w:rsidR="005E11E7" w:rsidRDefault="005E11E7">
      <w:pPr>
        <w:ind w:firstLineChars="200" w:firstLine="640"/>
        <w:jc w:val="left"/>
        <w:rPr>
          <w:rFonts w:ascii="仿宋_GB2312" w:eastAsia="仿宋_GB2312"/>
        </w:rPr>
      </w:pPr>
    </w:p>
    <w:p w:rsidR="005E11E7" w:rsidRDefault="005E11E7">
      <w:pPr>
        <w:ind w:firstLineChars="200" w:firstLine="600"/>
        <w:jc w:val="left"/>
        <w:rPr>
          <w:rFonts w:ascii="楷体_GB2312" w:eastAsia="楷体_GB2312" w:hAnsi="黑体"/>
          <w:sz w:val="30"/>
          <w:szCs w:val="30"/>
        </w:rPr>
      </w:pPr>
    </w:p>
    <w:p w:rsidR="005E11E7" w:rsidRDefault="005E11E7">
      <w:pPr>
        <w:spacing w:line="560" w:lineRule="exact"/>
        <w:ind w:firstLineChars="339" w:firstLine="1017"/>
        <w:rPr>
          <w:rFonts w:ascii="楷体_GB2312" w:eastAsia="楷体_GB2312" w:hAnsi="黑体"/>
          <w:sz w:val="30"/>
          <w:szCs w:val="30"/>
        </w:rPr>
      </w:pPr>
    </w:p>
    <w:sectPr w:rsidR="005E11E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A1E" w:rsidRDefault="000C2A1E">
      <w:pPr>
        <w:spacing w:line="240" w:lineRule="auto"/>
      </w:pPr>
      <w:r>
        <w:separator/>
      </w:r>
    </w:p>
  </w:endnote>
  <w:endnote w:type="continuationSeparator" w:id="0">
    <w:p w:rsidR="000C2A1E" w:rsidRDefault="000C2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A1E" w:rsidRDefault="000C2A1E">
      <w:pPr>
        <w:spacing w:line="240" w:lineRule="auto"/>
      </w:pPr>
      <w:r>
        <w:separator/>
      </w:r>
    </w:p>
  </w:footnote>
  <w:footnote w:type="continuationSeparator" w:id="0">
    <w:p w:rsidR="000C2A1E" w:rsidRDefault="000C2A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405751"/>
    <w:multiLevelType w:val="singleLevel"/>
    <w:tmpl w:val="F640575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Y2MwZWEyNDYzZWI1MGFmM2FjZjcyNWZkNmM5MjIifQ=="/>
  </w:docVars>
  <w:rsids>
    <w:rsidRoot w:val="002E3543"/>
    <w:rsid w:val="000164E6"/>
    <w:rsid w:val="00024945"/>
    <w:rsid w:val="000C2A1E"/>
    <w:rsid w:val="00110130"/>
    <w:rsid w:val="00117733"/>
    <w:rsid w:val="00121DCF"/>
    <w:rsid w:val="001740C7"/>
    <w:rsid w:val="001A2DA0"/>
    <w:rsid w:val="00210F4D"/>
    <w:rsid w:val="00211942"/>
    <w:rsid w:val="002133C7"/>
    <w:rsid w:val="00243FBF"/>
    <w:rsid w:val="0024600A"/>
    <w:rsid w:val="00282762"/>
    <w:rsid w:val="002961F2"/>
    <w:rsid w:val="002E3543"/>
    <w:rsid w:val="002F20D4"/>
    <w:rsid w:val="003B5255"/>
    <w:rsid w:val="003D6FCB"/>
    <w:rsid w:val="003E75A6"/>
    <w:rsid w:val="00415AB1"/>
    <w:rsid w:val="00450944"/>
    <w:rsid w:val="004622F8"/>
    <w:rsid w:val="004C1750"/>
    <w:rsid w:val="004D241E"/>
    <w:rsid w:val="00515DB1"/>
    <w:rsid w:val="00523855"/>
    <w:rsid w:val="005422B3"/>
    <w:rsid w:val="00591E5D"/>
    <w:rsid w:val="005C0F41"/>
    <w:rsid w:val="005E11E7"/>
    <w:rsid w:val="0065765D"/>
    <w:rsid w:val="00673AC7"/>
    <w:rsid w:val="006947A5"/>
    <w:rsid w:val="006E23FD"/>
    <w:rsid w:val="006F1CCF"/>
    <w:rsid w:val="00704FCD"/>
    <w:rsid w:val="007F0EC5"/>
    <w:rsid w:val="008C4ED2"/>
    <w:rsid w:val="00915D0B"/>
    <w:rsid w:val="009B028C"/>
    <w:rsid w:val="009D3448"/>
    <w:rsid w:val="009E096B"/>
    <w:rsid w:val="00A021A5"/>
    <w:rsid w:val="00B0641F"/>
    <w:rsid w:val="00B447C7"/>
    <w:rsid w:val="00C542CC"/>
    <w:rsid w:val="00C67940"/>
    <w:rsid w:val="00C73BD0"/>
    <w:rsid w:val="00CC2BE7"/>
    <w:rsid w:val="00CC521B"/>
    <w:rsid w:val="00CD1D00"/>
    <w:rsid w:val="00DE7AFF"/>
    <w:rsid w:val="00DF3B26"/>
    <w:rsid w:val="00E60B5D"/>
    <w:rsid w:val="00E736D2"/>
    <w:rsid w:val="00EA0721"/>
    <w:rsid w:val="00EF5607"/>
    <w:rsid w:val="00F54239"/>
    <w:rsid w:val="00FA216A"/>
    <w:rsid w:val="00FC63BE"/>
    <w:rsid w:val="00FD5381"/>
    <w:rsid w:val="12175E0F"/>
    <w:rsid w:val="125C6AD2"/>
    <w:rsid w:val="1C8E6BDB"/>
    <w:rsid w:val="268227A4"/>
    <w:rsid w:val="2D104627"/>
    <w:rsid w:val="2EBE793B"/>
    <w:rsid w:val="337A60B6"/>
    <w:rsid w:val="38E70932"/>
    <w:rsid w:val="3B8D37A2"/>
    <w:rsid w:val="3F6A5E19"/>
    <w:rsid w:val="4DEC3685"/>
    <w:rsid w:val="4F537CE2"/>
    <w:rsid w:val="50CC2DFB"/>
    <w:rsid w:val="563665FD"/>
    <w:rsid w:val="56586416"/>
    <w:rsid w:val="77A5665C"/>
    <w:rsid w:val="7DFB1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autoRedefine/>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autoRedefine/>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653126147069805E-2"/>
          <c:y val="4.06197654941374E-2"/>
          <c:w val="0.90167625107059801"/>
          <c:h val="0.81682004089979598"/>
        </c:manualLayout>
      </c:layout>
      <c:barChart>
        <c:barDir val="col"/>
        <c:grouping val="clustered"/>
        <c:varyColors val="0"/>
        <c:ser>
          <c:idx val="0"/>
          <c:order val="0"/>
          <c:tx>
            <c:strRef>
              <c:f>Sheet1!$B$1</c:f>
              <c:strCache>
                <c:ptCount val="1"/>
                <c:pt idx="0">
                  <c:v>系列 1</c:v>
                </c:pt>
              </c:strCache>
            </c:strRef>
          </c:tx>
          <c:spPr>
            <a:solidFill>
              <a:srgbClr val="4F81BD"/>
            </a:solidFill>
            <a:ln w="15875">
              <a:gradFill>
                <a:gsLst>
                  <a:gs pos="0">
                    <a:schemeClr val="accent1"/>
                  </a:gs>
                  <a:gs pos="100000">
                    <a:schemeClr val="accent1">
                      <a:lumMod val="75000"/>
                    </a:schemeClr>
                  </a:gs>
                </a:gsLst>
                <a:lin ang="5400000" scaled="1"/>
              </a:gradFill>
            </a:ln>
            <a:effectLst/>
            <a:sp3d contourW="15875"/>
          </c:spPr>
          <c:invertIfNegative val="0"/>
          <c:dLbls>
            <c:delete val="1"/>
          </c:dLbls>
          <c:cat>
            <c:strRef>
              <c:f>Sheet1!$A$2:$A$3</c:f>
              <c:strCache>
                <c:ptCount val="2"/>
                <c:pt idx="0">
                  <c:v>政府门户网站</c:v>
                </c:pt>
                <c:pt idx="1">
                  <c:v>政务新媒体</c:v>
                </c:pt>
              </c:strCache>
            </c:strRef>
          </c:cat>
          <c:val>
            <c:numRef>
              <c:f>Sheet1!$B$2:$B$3</c:f>
              <c:numCache>
                <c:formatCode>General</c:formatCode>
                <c:ptCount val="2"/>
                <c:pt idx="0">
                  <c:v>100</c:v>
                </c:pt>
                <c:pt idx="1">
                  <c:v>480</c:v>
                </c:pt>
              </c:numCache>
            </c:numRef>
          </c:val>
        </c:ser>
        <c:dLbls>
          <c:showLegendKey val="0"/>
          <c:showVal val="1"/>
          <c:showCatName val="0"/>
          <c:showSerName val="0"/>
          <c:showPercent val="0"/>
          <c:showBubbleSize val="0"/>
        </c:dLbls>
        <c:gapWidth val="152"/>
        <c:axId val="155722496"/>
        <c:axId val="155725184"/>
      </c:barChart>
      <c:catAx>
        <c:axId val="1557224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5725184"/>
        <c:crosses val="autoZero"/>
        <c:auto val="1"/>
        <c:lblAlgn val="ctr"/>
        <c:lblOffset val="100"/>
        <c:tickMarkSkip val="100"/>
        <c:noMultiLvlLbl val="0"/>
      </c:catAx>
      <c:valAx>
        <c:axId val="1557251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5722496"/>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5】">
    <a:dk1>
      <a:srgbClr val="000000"/>
    </a:dk1>
    <a:lt1>
      <a:srgbClr val="FFFFFF"/>
    </a:lt1>
    <a:dk2>
      <a:srgbClr val="0C0E1F"/>
    </a:dk2>
    <a:lt2>
      <a:srgbClr val="FEFFFF"/>
    </a:lt2>
    <a:accent1>
      <a:srgbClr val="F2B600"/>
    </a:accent1>
    <a:accent2>
      <a:srgbClr val="96CE1E"/>
    </a:accent2>
    <a:accent3>
      <a:srgbClr val="058CF5"/>
    </a:accent3>
    <a:accent4>
      <a:srgbClr val="1CC6C8"/>
    </a:accent4>
    <a:accent5>
      <a:srgbClr val="13AF67"/>
    </a:accent5>
    <a:accent6>
      <a:srgbClr val="566EFE"/>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267</TotalTime>
  <Pages>10</Pages>
  <Words>623</Words>
  <Characters>3556</Characters>
  <Application>Microsoft Office Word</Application>
  <DocSecurity>0</DocSecurity>
  <Lines>29</Lines>
  <Paragraphs>8</Paragraphs>
  <ScaleCrop>false</ScaleCrop>
  <Company>gq</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28</cp:revision>
  <dcterms:created xsi:type="dcterms:W3CDTF">2022-01-02T09:04:00Z</dcterms:created>
  <dcterms:modified xsi:type="dcterms:W3CDTF">2024-01-22T02:47:00Z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B32781C100BC40E6A16DC263360D4180_12</vt:lpwstr>
  </property>
</Properties>
</file>