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49D" w:rsidRDefault="00892BBC">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高青县</w:t>
      </w:r>
      <w:r>
        <w:rPr>
          <w:rFonts w:ascii="Times New Roman" w:eastAsia="方正小标宋简体" w:hAnsi="Times New Roman" w:cs="Times New Roman"/>
          <w:bCs/>
          <w:sz w:val="44"/>
          <w:szCs w:val="44"/>
        </w:rPr>
        <w:t>人力资源和社会保障</w:t>
      </w:r>
      <w:r>
        <w:rPr>
          <w:rFonts w:ascii="Times New Roman" w:eastAsia="方正小标宋简体" w:hAnsi="Times New Roman" w:cs="Times New Roman"/>
          <w:bCs/>
          <w:sz w:val="44"/>
          <w:szCs w:val="44"/>
        </w:rPr>
        <w:t>局</w:t>
      </w:r>
    </w:p>
    <w:p w:rsidR="002E549D" w:rsidRDefault="00892BBC">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2020</w:t>
      </w:r>
      <w:r>
        <w:rPr>
          <w:rFonts w:ascii="Times New Roman" w:eastAsia="方正小标宋简体" w:hAnsi="Times New Roman" w:cs="Times New Roman"/>
          <w:bCs/>
          <w:sz w:val="44"/>
          <w:szCs w:val="44"/>
        </w:rPr>
        <w:t>年政府信息公开工作年度报告</w:t>
      </w:r>
    </w:p>
    <w:p w:rsidR="002E549D" w:rsidRDefault="002E549D">
      <w:pPr>
        <w:spacing w:line="560" w:lineRule="exact"/>
        <w:ind w:firstLineChars="200" w:firstLine="640"/>
        <w:rPr>
          <w:rFonts w:ascii="Times New Roman" w:eastAsia="仿宋_GB2312" w:hAnsi="Times New Roman" w:cs="Times New Roman"/>
          <w:sz w:val="32"/>
          <w:szCs w:val="32"/>
        </w:rPr>
      </w:pPr>
    </w:p>
    <w:p w:rsidR="002E549D" w:rsidRDefault="00892BB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本报告根据《中华人民共和国政府信息公开条例》（国务院令第</w:t>
      </w:r>
      <w:r>
        <w:rPr>
          <w:rFonts w:ascii="Times New Roman" w:eastAsia="仿宋_GB2312" w:hAnsi="Times New Roman" w:cs="Times New Roman"/>
          <w:sz w:val="32"/>
          <w:szCs w:val="32"/>
        </w:rPr>
        <w:t>711</w:t>
      </w:r>
      <w:r>
        <w:rPr>
          <w:rFonts w:ascii="Times New Roman" w:eastAsia="仿宋_GB2312" w:hAnsi="Times New Roman" w:cs="Times New Roman"/>
          <w:sz w:val="32"/>
          <w:szCs w:val="32"/>
        </w:rPr>
        <w:t>号，以下简称《条例》）要求，由高青县</w:t>
      </w:r>
      <w:r>
        <w:rPr>
          <w:rFonts w:ascii="Times New Roman" w:eastAsia="仿宋_GB2312" w:hAnsi="Times New Roman" w:cs="Times New Roman"/>
          <w:sz w:val="32"/>
          <w:szCs w:val="32"/>
        </w:rPr>
        <w:t>人力资源和社会保障</w:t>
      </w:r>
      <w:r>
        <w:rPr>
          <w:rFonts w:ascii="Times New Roman" w:eastAsia="仿宋_GB2312" w:hAnsi="Times New Roman" w:cs="Times New Roman"/>
          <w:sz w:val="32"/>
          <w:szCs w:val="32"/>
        </w:rPr>
        <w:t>局办公室综合本单位政府信息公开工作情况编制。</w:t>
      </w:r>
    </w:p>
    <w:p w:rsidR="002E549D" w:rsidRDefault="00892BB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报告全文由总体情况、主动公开政府信息情况、收到和处理政府信息公开申请情况、政府信息公开行政复议行政诉讼情况、存在的主要问题及改进情况、其他需要报告的事项</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个部分组成。</w:t>
      </w:r>
    </w:p>
    <w:p w:rsidR="002E549D" w:rsidRDefault="00892BB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报告中所列数据统计期限自</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日始，至</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日止。报告电子版可在高青县人民政府门户网站（</w:t>
      </w:r>
      <w:r>
        <w:rPr>
          <w:rFonts w:ascii="Times New Roman" w:eastAsia="仿宋_GB2312" w:hAnsi="Times New Roman" w:cs="Times New Roman"/>
          <w:sz w:val="32"/>
          <w:szCs w:val="32"/>
        </w:rPr>
        <w:t>www.gaoqing.gov.cn</w:t>
      </w:r>
      <w:r>
        <w:rPr>
          <w:rFonts w:ascii="Times New Roman" w:eastAsia="仿宋_GB2312" w:hAnsi="Times New Roman" w:cs="Times New Roman"/>
          <w:sz w:val="32"/>
          <w:szCs w:val="32"/>
        </w:rPr>
        <w:t>）查阅和下载。如对报告内容有疑问，请与高青县</w:t>
      </w:r>
      <w:r>
        <w:rPr>
          <w:rFonts w:ascii="Times New Roman" w:eastAsia="仿宋_GB2312" w:hAnsi="Times New Roman" w:cs="Times New Roman" w:hint="eastAsia"/>
          <w:sz w:val="32"/>
          <w:szCs w:val="32"/>
        </w:rPr>
        <w:t>人力资源和社会保障</w:t>
      </w:r>
      <w:r>
        <w:rPr>
          <w:rFonts w:ascii="Times New Roman" w:eastAsia="仿宋_GB2312" w:hAnsi="Times New Roman" w:cs="Times New Roman"/>
          <w:sz w:val="32"/>
          <w:szCs w:val="32"/>
        </w:rPr>
        <w:t>局办公室联系（地址：高青</w:t>
      </w:r>
      <w:proofErr w:type="gramStart"/>
      <w:r>
        <w:rPr>
          <w:rFonts w:ascii="Times New Roman" w:eastAsia="仿宋_GB2312" w:hAnsi="Times New Roman" w:cs="Times New Roman"/>
          <w:sz w:val="32"/>
          <w:szCs w:val="32"/>
        </w:rPr>
        <w:t>县城</w:t>
      </w:r>
      <w:r>
        <w:rPr>
          <w:rFonts w:ascii="Times New Roman" w:eastAsia="仿宋_GB2312" w:hAnsi="Times New Roman" w:cs="Times New Roman"/>
          <w:sz w:val="32"/>
          <w:szCs w:val="32"/>
        </w:rPr>
        <w:t>高苑东</w:t>
      </w:r>
      <w:r>
        <w:rPr>
          <w:rFonts w:ascii="Times New Roman" w:eastAsia="仿宋_GB2312" w:hAnsi="Times New Roman" w:cs="Times New Roman"/>
          <w:sz w:val="32"/>
          <w:szCs w:val="32"/>
        </w:rPr>
        <w:t>路</w:t>
      </w:r>
      <w:proofErr w:type="gramEnd"/>
      <w:r>
        <w:rPr>
          <w:rFonts w:ascii="Times New Roman" w:eastAsia="仿宋_GB2312" w:hAnsi="Times New Roman" w:cs="Times New Roman"/>
          <w:sz w:val="32"/>
          <w:szCs w:val="32"/>
        </w:rPr>
        <w:t>9</w:t>
      </w:r>
      <w:r>
        <w:rPr>
          <w:rFonts w:ascii="Times New Roman" w:eastAsia="仿宋_GB2312" w:hAnsi="Times New Roman" w:cs="Times New Roman"/>
          <w:sz w:val="32"/>
          <w:szCs w:val="32"/>
        </w:rPr>
        <w:t>号；邮编：</w:t>
      </w:r>
      <w:r>
        <w:rPr>
          <w:rFonts w:ascii="Times New Roman" w:eastAsia="仿宋_GB2312" w:hAnsi="Times New Roman" w:cs="Times New Roman"/>
          <w:sz w:val="32"/>
          <w:szCs w:val="32"/>
        </w:rPr>
        <w:t>256300</w:t>
      </w:r>
      <w:r>
        <w:rPr>
          <w:rFonts w:ascii="Times New Roman" w:eastAsia="仿宋_GB2312" w:hAnsi="Times New Roman" w:cs="Times New Roman"/>
          <w:sz w:val="32"/>
          <w:szCs w:val="32"/>
        </w:rPr>
        <w:t>；电话：</w:t>
      </w:r>
      <w:r>
        <w:rPr>
          <w:rFonts w:ascii="Times New Roman" w:eastAsia="仿宋_GB2312" w:hAnsi="Times New Roman" w:cs="Times New Roman"/>
          <w:sz w:val="32"/>
          <w:szCs w:val="32"/>
        </w:rPr>
        <w:t>0533-</w:t>
      </w:r>
      <w:r>
        <w:rPr>
          <w:rFonts w:ascii="Times New Roman" w:eastAsia="仿宋_GB2312" w:hAnsi="Times New Roman" w:cs="Times New Roman"/>
          <w:sz w:val="32"/>
          <w:szCs w:val="32"/>
        </w:rPr>
        <w:t>6961247</w:t>
      </w:r>
      <w:r>
        <w:rPr>
          <w:rFonts w:ascii="Times New Roman" w:eastAsia="仿宋_GB2312" w:hAnsi="Times New Roman" w:cs="Times New Roman"/>
          <w:sz w:val="32"/>
          <w:szCs w:val="32"/>
        </w:rPr>
        <w:t>；传真：</w:t>
      </w:r>
      <w:r>
        <w:rPr>
          <w:rFonts w:ascii="Times New Roman" w:eastAsia="仿宋_GB2312" w:hAnsi="Times New Roman" w:cs="Times New Roman"/>
          <w:sz w:val="32"/>
          <w:szCs w:val="32"/>
        </w:rPr>
        <w:t>0533-</w:t>
      </w:r>
      <w:r>
        <w:rPr>
          <w:rFonts w:ascii="Times New Roman" w:eastAsia="仿宋_GB2312" w:hAnsi="Times New Roman" w:cs="Times New Roman"/>
          <w:sz w:val="32"/>
          <w:szCs w:val="32"/>
        </w:rPr>
        <w:t>6961247</w:t>
      </w:r>
      <w:r>
        <w:rPr>
          <w:rFonts w:ascii="Times New Roman" w:eastAsia="仿宋_GB2312" w:hAnsi="Times New Roman" w:cs="Times New Roman"/>
          <w:sz w:val="32"/>
          <w:szCs w:val="32"/>
        </w:rPr>
        <w:t>）。</w:t>
      </w:r>
    </w:p>
    <w:p w:rsidR="002E549D" w:rsidRDefault="00892BB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一、总体情况</w:t>
      </w:r>
    </w:p>
    <w:p w:rsidR="002E549D" w:rsidRDefault="00892BBC">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（一）体制机制建设</w:t>
      </w:r>
    </w:p>
    <w:p w:rsidR="002E549D" w:rsidRDefault="00892BB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加强组织领导。县</w:t>
      </w:r>
      <w:proofErr w:type="gramStart"/>
      <w:r>
        <w:rPr>
          <w:rFonts w:ascii="Times New Roman" w:eastAsia="仿宋_GB2312" w:hAnsi="Times New Roman" w:cs="Times New Roman" w:hint="eastAsia"/>
          <w:sz w:val="32"/>
          <w:szCs w:val="32"/>
        </w:rPr>
        <w:t>人社局</w:t>
      </w:r>
      <w:proofErr w:type="gramEnd"/>
      <w:r>
        <w:rPr>
          <w:rFonts w:ascii="Times New Roman" w:eastAsia="仿宋_GB2312" w:hAnsi="Times New Roman" w:cs="Times New Roman" w:hint="eastAsia"/>
          <w:sz w:val="32"/>
          <w:szCs w:val="32"/>
        </w:rPr>
        <w:t>始终将政府信息公开工作作为推动依法行政、提高行政效能的重要抓手和有效载体来抓。调整了高青县人力资源和社会保障局政务公开工作领导小组，由分管负责同志任组长，局办公室主任</w:t>
      </w:r>
      <w:proofErr w:type="gramStart"/>
      <w:r>
        <w:rPr>
          <w:rFonts w:ascii="Times New Roman" w:eastAsia="仿宋_GB2312" w:hAnsi="Times New Roman" w:cs="Times New Roman" w:hint="eastAsia"/>
          <w:sz w:val="32"/>
          <w:szCs w:val="32"/>
        </w:rPr>
        <w:t>任</w:t>
      </w:r>
      <w:proofErr w:type="gramEnd"/>
      <w:r>
        <w:rPr>
          <w:rFonts w:ascii="Times New Roman" w:eastAsia="仿宋_GB2312" w:hAnsi="Times New Roman" w:cs="Times New Roman" w:hint="eastAsia"/>
          <w:sz w:val="32"/>
          <w:szCs w:val="32"/>
        </w:rPr>
        <w:t>副组长，各单位、科室业务骨干为组员，由局办公室负责统筹负责政府</w:t>
      </w:r>
      <w:r>
        <w:rPr>
          <w:rFonts w:ascii="Times New Roman" w:eastAsia="仿宋_GB2312" w:hAnsi="Times New Roman" w:cs="Times New Roman" w:hint="eastAsia"/>
          <w:sz w:val="32"/>
          <w:szCs w:val="32"/>
        </w:rPr>
        <w:lastRenderedPageBreak/>
        <w:t>信息公开工作，现有</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名工作人员具体负责。</w:t>
      </w:r>
    </w:p>
    <w:p w:rsidR="002E549D" w:rsidRDefault="00892BB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2.2020</w:t>
      </w:r>
      <w:r>
        <w:rPr>
          <w:rFonts w:ascii="Times New Roman" w:eastAsia="仿宋_GB2312" w:hAnsi="Times New Roman" w:cs="Times New Roman" w:hint="eastAsia"/>
          <w:sz w:val="32"/>
          <w:szCs w:val="32"/>
        </w:rPr>
        <w:t>年，为进一步加大政府信息公开力度，于年初召开领导小组会议专门安排部署年度工作，并于年中和年末召开调度总结会议。与此同时，进一步完善《高青县人力资源和社会保障局政府信息公开制度》，通过制度建设强化工作落实</w:t>
      </w:r>
      <w:r>
        <w:rPr>
          <w:rFonts w:ascii="Times New Roman" w:eastAsia="仿宋_GB2312" w:hAnsi="Times New Roman" w:cs="Times New Roman" w:hint="eastAsia"/>
          <w:sz w:val="32"/>
          <w:szCs w:val="32"/>
        </w:rPr>
        <w:t>和责任落实。</w:t>
      </w:r>
    </w:p>
    <w:p w:rsidR="002E549D" w:rsidRDefault="00892BBC">
      <w:pPr>
        <w:pStyle w:val="a0"/>
      </w:pPr>
      <w:r>
        <w:rPr>
          <w:noProof/>
        </w:rPr>
        <w:drawing>
          <wp:inline distT="0" distB="0" distL="114300" distR="114300">
            <wp:extent cx="5240020" cy="2760345"/>
            <wp:effectExtent l="0" t="0" r="17780" b="1905"/>
            <wp:docPr id="1" name="图片 1" descr="政务公开培训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务公开培训会"/>
                    <pic:cNvPicPr>
                      <a:picLocks noChangeAspect="1"/>
                    </pic:cNvPicPr>
                  </pic:nvPicPr>
                  <pic:blipFill>
                    <a:blip r:embed="rId7"/>
                    <a:stretch>
                      <a:fillRect/>
                    </a:stretch>
                  </pic:blipFill>
                  <pic:spPr>
                    <a:xfrm>
                      <a:off x="0" y="0"/>
                      <a:ext cx="5240020" cy="2760345"/>
                    </a:xfrm>
                    <a:prstGeom prst="rect">
                      <a:avLst/>
                    </a:prstGeom>
                  </pic:spPr>
                </pic:pic>
              </a:graphicData>
            </a:graphic>
          </wp:inline>
        </w:drawing>
      </w:r>
    </w:p>
    <w:p w:rsidR="002E549D" w:rsidRDefault="00892BBC">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（二）主动公开</w:t>
      </w:r>
    </w:p>
    <w:p w:rsidR="002E549D" w:rsidRDefault="00892BBC">
      <w:pPr>
        <w:spacing w:line="560" w:lineRule="exact"/>
        <w:ind w:firstLineChars="200" w:firstLine="640"/>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认真贯彻《中华人民共和国政府信息公开条例》要求，紧紧围绕省</w:t>
      </w:r>
      <w:proofErr w:type="gramStart"/>
      <w:r>
        <w:rPr>
          <w:rFonts w:ascii="Times New Roman" w:eastAsia="仿宋_GB2312" w:hAnsi="Times New Roman" w:cs="Times New Roman"/>
          <w:sz w:val="32"/>
          <w:szCs w:val="32"/>
        </w:rPr>
        <w:t>人社厅</w:t>
      </w:r>
      <w:proofErr w:type="gramEnd"/>
      <w:r>
        <w:rPr>
          <w:rFonts w:ascii="Times New Roman" w:eastAsia="仿宋_GB2312" w:hAnsi="Times New Roman" w:cs="Times New Roman" w:hint="eastAsia"/>
          <w:sz w:val="32"/>
          <w:szCs w:val="32"/>
        </w:rPr>
        <w:t>及上级党委、政</w:t>
      </w:r>
      <w:r>
        <w:rPr>
          <w:rFonts w:ascii="Times New Roman" w:eastAsia="仿宋_GB2312" w:hAnsi="Times New Roman" w:cs="Times New Roman"/>
          <w:sz w:val="32"/>
          <w:szCs w:val="32"/>
        </w:rPr>
        <w:t>府决策部署和重大工作安排，聚焦</w:t>
      </w:r>
      <w:r>
        <w:rPr>
          <w:rFonts w:ascii="Times New Roman" w:eastAsia="仿宋_GB2312" w:hAnsi="Times New Roman" w:cs="Times New Roman" w:hint="eastAsia"/>
          <w:sz w:val="32"/>
          <w:szCs w:val="32"/>
        </w:rPr>
        <w:t>就业创业、社会保障工作，坚持以公开为常态、不公开为例外，遵循公正、公平、合法、便民的原则，推动政府信息公开工作，</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年主动公开信息</w:t>
      </w:r>
      <w:r>
        <w:rPr>
          <w:rFonts w:ascii="Times New Roman" w:eastAsia="仿宋_GB2312" w:hAnsi="Times New Roman" w:cs="Times New Roman" w:hint="eastAsia"/>
          <w:sz w:val="32"/>
          <w:szCs w:val="32"/>
        </w:rPr>
        <w:t>466</w:t>
      </w:r>
      <w:r>
        <w:rPr>
          <w:rFonts w:ascii="Times New Roman" w:eastAsia="仿宋_GB2312" w:hAnsi="Times New Roman" w:cs="Times New Roman" w:hint="eastAsia"/>
          <w:sz w:val="32"/>
          <w:szCs w:val="32"/>
        </w:rPr>
        <w:t>条，新媒体共发布信息</w:t>
      </w:r>
      <w:r>
        <w:rPr>
          <w:rFonts w:ascii="Times New Roman" w:eastAsia="仿宋_GB2312" w:hAnsi="Times New Roman" w:cs="Times New Roman" w:hint="eastAsia"/>
          <w:sz w:val="32"/>
          <w:szCs w:val="32"/>
        </w:rPr>
        <w:t>79</w:t>
      </w:r>
      <w:r>
        <w:rPr>
          <w:rFonts w:ascii="Times New Roman" w:eastAsia="仿宋_GB2312" w:hAnsi="Times New Roman" w:cs="Times New Roman" w:hint="eastAsia"/>
          <w:sz w:val="32"/>
          <w:szCs w:val="32"/>
        </w:rPr>
        <w:t>条。</w:t>
      </w:r>
    </w:p>
    <w:p w:rsidR="002E549D" w:rsidRDefault="00892BBC">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2020</w:t>
      </w:r>
      <w:r>
        <w:rPr>
          <w:rFonts w:ascii="Times New Roman" w:eastAsia="仿宋_GB2312" w:hAnsi="Times New Roman" w:cs="Times New Roman"/>
          <w:bCs/>
          <w:sz w:val="32"/>
          <w:szCs w:val="32"/>
        </w:rPr>
        <w:t>年，我局共承办</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件人大建议和</w:t>
      </w: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件政协提案，均在规定时间内处理完毕且向人大代表和政协委员反馈办理情况。</w:t>
      </w:r>
      <w:r>
        <w:rPr>
          <w:rFonts w:ascii="Times New Roman" w:eastAsia="仿宋_GB2312" w:hAnsi="Times New Roman" w:cs="Times New Roman" w:hint="eastAsia"/>
          <w:bCs/>
          <w:sz w:val="32"/>
          <w:szCs w:val="32"/>
        </w:rPr>
        <w:t>建议提案</w:t>
      </w:r>
      <w:r>
        <w:rPr>
          <w:rFonts w:ascii="Times New Roman" w:eastAsia="仿宋_GB2312" w:hAnsi="Times New Roman" w:cs="Times New Roman"/>
          <w:bCs/>
          <w:sz w:val="32"/>
          <w:szCs w:val="32"/>
        </w:rPr>
        <w:t>办理情况均</w:t>
      </w:r>
      <w:r>
        <w:rPr>
          <w:rFonts w:ascii="Times New Roman" w:eastAsia="仿宋_GB2312" w:hAnsi="Times New Roman" w:cs="Times New Roman" w:hint="eastAsia"/>
          <w:bCs/>
          <w:sz w:val="32"/>
          <w:szCs w:val="32"/>
        </w:rPr>
        <w:t>及时进行了</w:t>
      </w:r>
      <w:r>
        <w:rPr>
          <w:rFonts w:ascii="Times New Roman" w:eastAsia="仿宋_GB2312" w:hAnsi="Times New Roman" w:cs="Times New Roman"/>
          <w:bCs/>
          <w:sz w:val="32"/>
          <w:szCs w:val="32"/>
        </w:rPr>
        <w:t>公开公示。</w:t>
      </w:r>
    </w:p>
    <w:p w:rsidR="002E549D" w:rsidRDefault="00892BBC">
      <w:pPr>
        <w:numPr>
          <w:ilvl w:val="0"/>
          <w:numId w:val="1"/>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及时公开重点信息。一是就业创业方面，</w:t>
      </w:r>
      <w:r>
        <w:rPr>
          <w:rFonts w:ascii="Times New Roman" w:eastAsia="仿宋_GB2312" w:hAnsi="Times New Roman" w:cs="Times New Roman"/>
          <w:bCs/>
          <w:sz w:val="32"/>
          <w:szCs w:val="32"/>
        </w:rPr>
        <w:t>坚持把群众最关心、最需要了解的就业创业政策作为工作重点，公开就业创业信息，发布内容涵盖补贴申领、技能人才政策、就业创业、担保贷款等。</w:t>
      </w:r>
      <w:r>
        <w:rPr>
          <w:rFonts w:ascii="Times New Roman" w:eastAsia="仿宋_GB2312" w:hAnsi="Times New Roman" w:cs="Times New Roman" w:hint="eastAsia"/>
          <w:bCs/>
          <w:sz w:val="32"/>
          <w:szCs w:val="32"/>
        </w:rPr>
        <w:t>2020</w:t>
      </w:r>
      <w:r>
        <w:rPr>
          <w:rFonts w:ascii="Times New Roman" w:eastAsia="仿宋_GB2312" w:hAnsi="Times New Roman" w:cs="Times New Roman" w:hint="eastAsia"/>
          <w:bCs/>
          <w:sz w:val="32"/>
          <w:szCs w:val="32"/>
        </w:rPr>
        <w:t>年</w:t>
      </w:r>
      <w:r>
        <w:rPr>
          <w:rFonts w:ascii="Times New Roman" w:eastAsia="仿宋_GB2312" w:hAnsi="Times New Roman" w:cs="Times New Roman"/>
          <w:bCs/>
          <w:sz w:val="32"/>
          <w:szCs w:val="32"/>
        </w:rPr>
        <w:t>共公布就业创业政策措施</w:t>
      </w:r>
      <w:r>
        <w:rPr>
          <w:rFonts w:ascii="Times New Roman" w:eastAsia="仿宋_GB2312" w:hAnsi="Times New Roman" w:cs="Times New Roman"/>
          <w:bCs/>
          <w:sz w:val="32"/>
          <w:szCs w:val="32"/>
        </w:rPr>
        <w:t>7</w:t>
      </w:r>
      <w:r>
        <w:rPr>
          <w:rFonts w:ascii="Times New Roman" w:eastAsia="仿宋_GB2312" w:hAnsi="Times New Roman" w:cs="Times New Roman"/>
          <w:bCs/>
          <w:sz w:val="32"/>
          <w:szCs w:val="32"/>
        </w:rPr>
        <w:t>条，服务信息</w:t>
      </w:r>
      <w:r>
        <w:rPr>
          <w:rFonts w:ascii="Times New Roman" w:eastAsia="仿宋_GB2312" w:hAnsi="Times New Roman" w:cs="Times New Roman"/>
          <w:bCs/>
          <w:sz w:val="32"/>
          <w:szCs w:val="32"/>
        </w:rPr>
        <w:t>98</w:t>
      </w:r>
      <w:r>
        <w:rPr>
          <w:rFonts w:ascii="Times New Roman" w:eastAsia="仿宋_GB2312" w:hAnsi="Times New Roman" w:cs="Times New Roman"/>
          <w:bCs/>
          <w:sz w:val="32"/>
          <w:szCs w:val="32"/>
        </w:rPr>
        <w:t>条。</w:t>
      </w:r>
      <w:r>
        <w:rPr>
          <w:rFonts w:ascii="Times New Roman" w:eastAsia="仿宋_GB2312" w:hAnsi="Times New Roman" w:cs="Times New Roman" w:hint="eastAsia"/>
          <w:bCs/>
          <w:sz w:val="32"/>
          <w:szCs w:val="32"/>
        </w:rPr>
        <w:t>二是社会保险方面，公开养老、工伤、失业保险相关政策文件、参保情况和待遇发放情况，及时公开城乡居保征收费率等工作；二是及时公开申领各类补贴的指南，企业社保稳岗返还等资金的通知等。</w:t>
      </w:r>
      <w:r>
        <w:rPr>
          <w:rFonts w:ascii="Times New Roman" w:eastAsia="仿宋_GB2312" w:hAnsi="Times New Roman" w:cs="Times New Roman" w:hint="eastAsia"/>
          <w:bCs/>
          <w:sz w:val="32"/>
          <w:szCs w:val="32"/>
        </w:rPr>
        <w:t>2020</w:t>
      </w:r>
      <w:r>
        <w:rPr>
          <w:rFonts w:ascii="Times New Roman" w:eastAsia="仿宋_GB2312" w:hAnsi="Times New Roman" w:cs="Times New Roman" w:hint="eastAsia"/>
          <w:bCs/>
          <w:sz w:val="32"/>
          <w:szCs w:val="32"/>
        </w:rPr>
        <w:t>年共公开社会保险政策类信息</w:t>
      </w:r>
      <w:r>
        <w:rPr>
          <w:rFonts w:ascii="Times New Roman" w:eastAsia="仿宋_GB2312" w:hAnsi="Times New Roman" w:cs="Times New Roman" w:hint="eastAsia"/>
          <w:bCs/>
          <w:sz w:val="32"/>
          <w:szCs w:val="32"/>
        </w:rPr>
        <w:t>13</w:t>
      </w:r>
      <w:r>
        <w:rPr>
          <w:rFonts w:ascii="Times New Roman" w:eastAsia="仿宋_GB2312" w:hAnsi="Times New Roman" w:cs="Times New Roman" w:hint="eastAsia"/>
          <w:bCs/>
          <w:sz w:val="32"/>
          <w:szCs w:val="32"/>
        </w:rPr>
        <w:t>条，社保运行类信息</w:t>
      </w:r>
      <w:r>
        <w:rPr>
          <w:rFonts w:ascii="Times New Roman" w:eastAsia="仿宋_GB2312" w:hAnsi="Times New Roman" w:cs="Times New Roman" w:hint="eastAsia"/>
          <w:bCs/>
          <w:sz w:val="32"/>
          <w:szCs w:val="32"/>
        </w:rPr>
        <w:t>36</w:t>
      </w:r>
      <w:r>
        <w:rPr>
          <w:rFonts w:ascii="Times New Roman" w:eastAsia="仿宋_GB2312" w:hAnsi="Times New Roman" w:cs="Times New Roman" w:hint="eastAsia"/>
          <w:bCs/>
          <w:sz w:val="32"/>
          <w:szCs w:val="32"/>
        </w:rPr>
        <w:t>条。三是劳动保障方面，公开行政执法事项清单、服务指南、执法人员资格清单、执法流程图、执法结</w:t>
      </w:r>
      <w:r>
        <w:rPr>
          <w:rFonts w:ascii="Times New Roman" w:eastAsia="仿宋_GB2312" w:hAnsi="Times New Roman" w:cs="Times New Roman" w:hint="eastAsia"/>
          <w:bCs/>
          <w:sz w:val="32"/>
          <w:szCs w:val="32"/>
        </w:rPr>
        <w:t>果、执法统计年报等信息；及时“双随机</w:t>
      </w:r>
      <w:r w:rsidR="0095696B">
        <w:rPr>
          <w:rFonts w:ascii="Times New Roman" w:eastAsia="仿宋_GB2312" w:hAnsi="Times New Roman" w:cs="Times New Roman" w:hint="eastAsia"/>
          <w:bCs/>
          <w:sz w:val="32"/>
          <w:szCs w:val="32"/>
        </w:rPr>
        <w:t>、</w:t>
      </w:r>
      <w:bookmarkStart w:id="0" w:name="_GoBack"/>
      <w:bookmarkEnd w:id="0"/>
      <w:proofErr w:type="gramStart"/>
      <w:r>
        <w:rPr>
          <w:rFonts w:ascii="Times New Roman" w:eastAsia="仿宋_GB2312" w:hAnsi="Times New Roman" w:cs="Times New Roman" w:hint="eastAsia"/>
          <w:bCs/>
          <w:sz w:val="32"/>
          <w:szCs w:val="32"/>
        </w:rPr>
        <w:t>一</w:t>
      </w:r>
      <w:proofErr w:type="gramEnd"/>
      <w:r>
        <w:rPr>
          <w:rFonts w:ascii="Times New Roman" w:eastAsia="仿宋_GB2312" w:hAnsi="Times New Roman" w:cs="Times New Roman" w:hint="eastAsia"/>
          <w:bCs/>
          <w:sz w:val="32"/>
          <w:szCs w:val="32"/>
        </w:rPr>
        <w:t>公开”事项，主要包括随机抽查事项清单、抽查情况及结果、年度抽查计划等。</w:t>
      </w:r>
      <w:r>
        <w:rPr>
          <w:rFonts w:ascii="Times New Roman" w:eastAsia="仿宋_GB2312" w:hAnsi="Times New Roman" w:cs="Times New Roman" w:hint="eastAsia"/>
          <w:bCs/>
          <w:sz w:val="32"/>
          <w:szCs w:val="32"/>
        </w:rPr>
        <w:t>2020</w:t>
      </w:r>
      <w:r>
        <w:rPr>
          <w:rFonts w:ascii="Times New Roman" w:eastAsia="仿宋_GB2312" w:hAnsi="Times New Roman" w:cs="Times New Roman" w:hint="eastAsia"/>
          <w:bCs/>
          <w:sz w:val="32"/>
          <w:szCs w:val="32"/>
        </w:rPr>
        <w:t>年共发布此类信息</w:t>
      </w:r>
      <w:r>
        <w:rPr>
          <w:rFonts w:ascii="Times New Roman" w:eastAsia="仿宋_GB2312" w:hAnsi="Times New Roman" w:cs="Times New Roman" w:hint="eastAsia"/>
          <w:bCs/>
          <w:sz w:val="32"/>
          <w:szCs w:val="32"/>
        </w:rPr>
        <w:t>13</w:t>
      </w:r>
      <w:r>
        <w:rPr>
          <w:rFonts w:ascii="Times New Roman" w:eastAsia="仿宋_GB2312" w:hAnsi="Times New Roman" w:cs="Times New Roman" w:hint="eastAsia"/>
          <w:bCs/>
          <w:sz w:val="32"/>
          <w:szCs w:val="32"/>
        </w:rPr>
        <w:t>条。四是人事人才工作。及时发布各类事业单位招考信息，录用信息等信息，及时公开各类人才选拔、职称评审工作相关信息。</w:t>
      </w:r>
      <w:r>
        <w:rPr>
          <w:rFonts w:ascii="Times New Roman" w:eastAsia="仿宋_GB2312" w:hAnsi="Times New Roman" w:cs="Times New Roman" w:hint="eastAsia"/>
          <w:bCs/>
          <w:sz w:val="32"/>
          <w:szCs w:val="32"/>
        </w:rPr>
        <w:t>2020</w:t>
      </w:r>
      <w:r>
        <w:rPr>
          <w:rFonts w:ascii="Times New Roman" w:eastAsia="仿宋_GB2312" w:hAnsi="Times New Roman" w:cs="Times New Roman" w:hint="eastAsia"/>
          <w:bCs/>
          <w:sz w:val="32"/>
          <w:szCs w:val="32"/>
        </w:rPr>
        <w:t>年共发布此类信息</w:t>
      </w:r>
      <w:r>
        <w:rPr>
          <w:rFonts w:ascii="Times New Roman" w:eastAsia="仿宋_GB2312" w:hAnsi="Times New Roman" w:cs="Times New Roman" w:hint="eastAsia"/>
          <w:bCs/>
          <w:sz w:val="32"/>
          <w:szCs w:val="32"/>
        </w:rPr>
        <w:t>53</w:t>
      </w:r>
      <w:r>
        <w:rPr>
          <w:rFonts w:ascii="Times New Roman" w:eastAsia="仿宋_GB2312" w:hAnsi="Times New Roman" w:cs="Times New Roman" w:hint="eastAsia"/>
          <w:bCs/>
          <w:sz w:val="32"/>
          <w:szCs w:val="32"/>
        </w:rPr>
        <w:t>条。</w:t>
      </w:r>
    </w:p>
    <w:p w:rsidR="002E549D" w:rsidRDefault="00892BBC">
      <w:pPr>
        <w:pStyle w:val="a0"/>
      </w:pPr>
      <w:r>
        <w:rPr>
          <w:noProof/>
        </w:rPr>
        <w:lastRenderedPageBreak/>
        <w:drawing>
          <wp:inline distT="0" distB="0" distL="114300" distR="114300">
            <wp:extent cx="5272405" cy="4178300"/>
            <wp:effectExtent l="0" t="0" r="4445" b="12700"/>
            <wp:docPr id="2" name="图片 2" descr="1611276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1276924(1)"/>
                    <pic:cNvPicPr>
                      <a:picLocks noChangeAspect="1"/>
                    </pic:cNvPicPr>
                  </pic:nvPicPr>
                  <pic:blipFill>
                    <a:blip r:embed="rId8"/>
                    <a:stretch>
                      <a:fillRect/>
                    </a:stretch>
                  </pic:blipFill>
                  <pic:spPr>
                    <a:xfrm>
                      <a:off x="0" y="0"/>
                      <a:ext cx="5272405" cy="4178300"/>
                    </a:xfrm>
                    <a:prstGeom prst="rect">
                      <a:avLst/>
                    </a:prstGeom>
                  </pic:spPr>
                </pic:pic>
              </a:graphicData>
            </a:graphic>
          </wp:inline>
        </w:drawing>
      </w:r>
    </w:p>
    <w:p w:rsidR="002E549D" w:rsidRDefault="00892BBC">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（三）依申请公开</w:t>
      </w:r>
    </w:p>
    <w:p w:rsidR="002E549D" w:rsidRDefault="00892BB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收到和处理政府信息公开申请情况</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年，我局未收到政府信息公开申请。</w:t>
      </w:r>
    </w:p>
    <w:p w:rsidR="002E549D" w:rsidRDefault="00892BB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收费和减免情况</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年，我局在政府信息公开申请办理过程中，未收取任何费用。</w:t>
      </w:r>
    </w:p>
    <w:p w:rsidR="002E549D" w:rsidRDefault="00892BB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政府信息公开行政复议、行政诉讼情况</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年，我局没有因政府信息公开被申请行政复议的情况。</w:t>
      </w:r>
    </w:p>
    <w:p w:rsidR="002E549D" w:rsidRDefault="00892BBC">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（四）政府信息管理</w:t>
      </w:r>
    </w:p>
    <w:p w:rsidR="002E549D" w:rsidRDefault="00892BB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凡以局机关名义印发的文件，均明确信息公开选项，</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年，共制发公开发布文件</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份，解读文件</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份，不予公开文件</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份。</w:t>
      </w:r>
    </w:p>
    <w:p w:rsidR="002E549D" w:rsidRDefault="00892BB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（五）平台建设</w:t>
      </w:r>
    </w:p>
    <w:p w:rsidR="002E549D" w:rsidRDefault="00892BBC">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用好政府网站政务公开</w:t>
      </w:r>
      <w:proofErr w:type="gramStart"/>
      <w:r>
        <w:rPr>
          <w:rFonts w:ascii="Times New Roman" w:eastAsia="仿宋_GB2312" w:hAnsi="Times New Roman" w:cs="Times New Roman" w:hint="eastAsia"/>
          <w:sz w:val="32"/>
          <w:szCs w:val="32"/>
        </w:rPr>
        <w:t>版块及融公开</w:t>
      </w:r>
      <w:proofErr w:type="gramEnd"/>
      <w:r>
        <w:rPr>
          <w:rFonts w:ascii="Times New Roman" w:eastAsia="仿宋_GB2312" w:hAnsi="Times New Roman" w:cs="Times New Roman" w:hint="eastAsia"/>
          <w:sz w:val="32"/>
          <w:szCs w:val="32"/>
        </w:rPr>
        <w:t>工作平台。制定本部门政府信息公开清单，按照清单内容在政府网站及政府信息公开新平台公开</w:t>
      </w:r>
      <w:proofErr w:type="gramStart"/>
      <w:r>
        <w:rPr>
          <w:rFonts w:ascii="Times New Roman" w:eastAsia="仿宋_GB2312" w:hAnsi="Times New Roman" w:cs="Times New Roman" w:hint="eastAsia"/>
          <w:sz w:val="32"/>
          <w:szCs w:val="32"/>
        </w:rPr>
        <w:t>版块</w:t>
      </w:r>
      <w:proofErr w:type="gramEnd"/>
      <w:r>
        <w:rPr>
          <w:rFonts w:ascii="Times New Roman" w:eastAsia="仿宋_GB2312" w:hAnsi="Times New Roman" w:cs="Times New Roman" w:hint="eastAsia"/>
          <w:sz w:val="32"/>
          <w:szCs w:val="32"/>
        </w:rPr>
        <w:t>，及时完善内容、更新内容。</w:t>
      </w:r>
    </w:p>
    <w:p w:rsidR="002E549D" w:rsidRDefault="00892BBC">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加强自身新媒体建设。充分加强我局两个</w:t>
      </w:r>
      <w:proofErr w:type="gramStart"/>
      <w:r>
        <w:rPr>
          <w:rFonts w:ascii="Times New Roman" w:eastAsia="仿宋_GB2312" w:hAnsi="Times New Roman" w:cs="Times New Roman" w:hint="eastAsia"/>
          <w:sz w:val="32"/>
          <w:szCs w:val="32"/>
        </w:rPr>
        <w:t>微信公众号</w:t>
      </w:r>
      <w:proofErr w:type="gramEnd"/>
      <w:r>
        <w:rPr>
          <w:rFonts w:ascii="Times New Roman" w:eastAsia="仿宋_GB2312" w:hAnsi="Times New Roman" w:cs="Times New Roman" w:hint="eastAsia"/>
          <w:sz w:val="32"/>
          <w:szCs w:val="32"/>
        </w:rPr>
        <w:t>建设，按照求备案管理，安排专人负责信息审核、更新，及时</w:t>
      </w:r>
      <w:proofErr w:type="gramStart"/>
      <w:r>
        <w:rPr>
          <w:rFonts w:ascii="Times New Roman" w:eastAsia="仿宋_GB2312" w:hAnsi="Times New Roman" w:cs="Times New Roman" w:hint="eastAsia"/>
          <w:sz w:val="32"/>
          <w:szCs w:val="32"/>
        </w:rPr>
        <w:t>宣传人社政策</w:t>
      </w:r>
      <w:proofErr w:type="gramEnd"/>
      <w:r>
        <w:rPr>
          <w:rFonts w:ascii="Times New Roman" w:eastAsia="仿宋_GB2312" w:hAnsi="Times New Roman" w:cs="Times New Roman" w:hint="eastAsia"/>
          <w:sz w:val="32"/>
          <w:szCs w:val="32"/>
        </w:rPr>
        <w:t>。</w:t>
      </w:r>
    </w:p>
    <w:p w:rsidR="002E549D" w:rsidRDefault="00892BBC">
      <w:pPr>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（六）监督保障</w:t>
      </w:r>
    </w:p>
    <w:p w:rsidR="002E549D" w:rsidRDefault="00892BBC">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考核情况。一是切实按照县政府对部门政府信息公开考核要求，抓好本部门政府信息公开各项工作。二是对局属各单位、科室政府信息公开完成情况进行考核。</w:t>
      </w:r>
    </w:p>
    <w:p w:rsidR="002E549D" w:rsidRDefault="00892BBC">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培训情况。</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年，每季度均对局属各单位、科室负责信息公开人员开展一次培训，及时传达学习上级关于信息公开工作的最新要求。</w:t>
      </w:r>
    </w:p>
    <w:p w:rsidR="002E549D" w:rsidRDefault="00892BBC">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社会评议情况。通过多种方式面向服务对象征求对我局政府信息公开工作的意见建议，并根据意见建议及时改进。</w:t>
      </w:r>
    </w:p>
    <w:p w:rsidR="002E549D" w:rsidRDefault="00892BB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二、主动公开政府信息情况</w:t>
      </w:r>
    </w:p>
    <w:p w:rsidR="002E549D" w:rsidRDefault="002E549D">
      <w:pPr>
        <w:spacing w:line="560" w:lineRule="exact"/>
        <w:ind w:firstLineChars="200" w:firstLine="640"/>
        <w:rPr>
          <w:rFonts w:ascii="Times New Roman" w:eastAsia="黑体" w:hAnsi="Times New Roman" w:cs="Times New Roman"/>
          <w:sz w:val="32"/>
          <w:szCs w:val="32"/>
        </w:rPr>
      </w:pPr>
    </w:p>
    <w:p w:rsidR="002E549D" w:rsidRDefault="002E549D">
      <w:pPr>
        <w:pStyle w:val="a0"/>
        <w:rPr>
          <w:rFonts w:ascii="Times New Roman" w:eastAsia="黑体" w:hAnsi="Times New Roman" w:cs="Times New Roman"/>
          <w:sz w:val="32"/>
          <w:szCs w:val="32"/>
        </w:rPr>
      </w:pPr>
    </w:p>
    <w:p w:rsidR="002E549D" w:rsidRDefault="002E549D">
      <w:pPr>
        <w:pStyle w:val="a0"/>
        <w:rPr>
          <w:rFonts w:ascii="Times New Roman" w:eastAsia="黑体" w:hAnsi="Times New Roman" w:cs="Times New Roman"/>
          <w:sz w:val="32"/>
          <w:szCs w:val="32"/>
        </w:rPr>
      </w:pPr>
    </w:p>
    <w:p w:rsidR="002E549D" w:rsidRDefault="002E549D">
      <w:pPr>
        <w:pStyle w:val="a0"/>
        <w:rPr>
          <w:rFonts w:ascii="Times New Roman" w:eastAsia="黑体" w:hAnsi="Times New Roman" w:cs="Times New Roman"/>
          <w:sz w:val="32"/>
          <w:szCs w:val="32"/>
        </w:rPr>
      </w:pPr>
    </w:p>
    <w:p w:rsidR="002E549D" w:rsidRDefault="002E549D">
      <w:pPr>
        <w:pStyle w:val="a0"/>
        <w:rPr>
          <w:rFonts w:ascii="Times New Roman" w:eastAsia="黑体" w:hAnsi="Times New Roman" w:cs="Times New Roman"/>
          <w:sz w:val="32"/>
          <w:szCs w:val="32"/>
        </w:rPr>
      </w:pPr>
    </w:p>
    <w:p w:rsidR="002E549D" w:rsidRDefault="002E549D">
      <w:pPr>
        <w:pStyle w:val="a0"/>
        <w:rPr>
          <w:rFonts w:ascii="Times New Roman" w:eastAsia="黑体" w:hAnsi="Times New Roman" w:cs="Times New Roman"/>
          <w:sz w:val="32"/>
          <w:szCs w:val="32"/>
        </w:rPr>
      </w:pPr>
    </w:p>
    <w:tbl>
      <w:tblPr>
        <w:tblW w:w="8705" w:type="dxa"/>
        <w:jc w:val="center"/>
        <w:tblLook w:val="04A0" w:firstRow="1" w:lastRow="0" w:firstColumn="1" w:lastColumn="0" w:noHBand="0" w:noVBand="1"/>
      </w:tblPr>
      <w:tblGrid>
        <w:gridCol w:w="2752"/>
        <w:gridCol w:w="1984"/>
        <w:gridCol w:w="1985"/>
        <w:gridCol w:w="1984"/>
      </w:tblGrid>
      <w:tr w:rsidR="002E549D">
        <w:trPr>
          <w:trHeight w:val="495"/>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549D" w:rsidRDefault="00892BBC">
            <w:pPr>
              <w:widowControl/>
              <w:spacing w:line="360" w:lineRule="auto"/>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第二十条第（一）项</w:t>
            </w:r>
          </w:p>
        </w:tc>
      </w:tr>
      <w:tr w:rsidR="002E549D">
        <w:trPr>
          <w:trHeight w:val="882"/>
          <w:jc w:val="center"/>
        </w:trPr>
        <w:tc>
          <w:tcPr>
            <w:tcW w:w="2752" w:type="dxa"/>
            <w:tcBorders>
              <w:top w:val="nil"/>
              <w:left w:val="single" w:sz="4" w:space="0" w:color="auto"/>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本年新制作数量</w:t>
            </w:r>
          </w:p>
        </w:tc>
        <w:tc>
          <w:tcPr>
            <w:tcW w:w="1985" w:type="dxa"/>
            <w:tcBorders>
              <w:top w:val="single" w:sz="4" w:space="0" w:color="auto"/>
              <w:left w:val="nil"/>
              <w:bottom w:val="single" w:sz="4" w:space="0" w:color="auto"/>
              <w:right w:val="single" w:sz="4" w:space="0" w:color="auto"/>
            </w:tcBorders>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本年新公开数量</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对外公开总数量</w:t>
            </w:r>
          </w:p>
        </w:tc>
      </w:tr>
      <w:tr w:rsidR="002E549D">
        <w:trPr>
          <w:trHeight w:val="692"/>
          <w:jc w:val="center"/>
        </w:trPr>
        <w:tc>
          <w:tcPr>
            <w:tcW w:w="2752" w:type="dxa"/>
            <w:tcBorders>
              <w:top w:val="nil"/>
              <w:left w:val="single" w:sz="4" w:space="0" w:color="auto"/>
              <w:bottom w:val="single" w:sz="4" w:space="0" w:color="auto"/>
              <w:right w:val="single" w:sz="4" w:space="0" w:color="auto"/>
            </w:tcBorders>
            <w:noWrap/>
            <w:vAlign w:val="center"/>
          </w:tcPr>
          <w:p w:rsidR="002E549D" w:rsidRDefault="00892BBC">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规章</w:t>
            </w:r>
          </w:p>
        </w:tc>
        <w:tc>
          <w:tcPr>
            <w:tcW w:w="1984" w:type="dxa"/>
            <w:tcBorders>
              <w:top w:val="single" w:sz="4" w:space="0" w:color="auto"/>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w:t>
            </w:r>
          </w:p>
        </w:tc>
        <w:tc>
          <w:tcPr>
            <w:tcW w:w="1985" w:type="dxa"/>
            <w:tcBorders>
              <w:top w:val="single" w:sz="4" w:space="0" w:color="auto"/>
              <w:left w:val="nil"/>
              <w:bottom w:val="single" w:sz="4" w:space="0" w:color="auto"/>
              <w:right w:val="single" w:sz="4" w:space="0" w:color="auto"/>
            </w:tcBorders>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w:t>
            </w:r>
          </w:p>
        </w:tc>
      </w:tr>
      <w:tr w:rsidR="002E549D">
        <w:trPr>
          <w:trHeight w:val="572"/>
          <w:jc w:val="center"/>
        </w:trPr>
        <w:tc>
          <w:tcPr>
            <w:tcW w:w="2752" w:type="dxa"/>
            <w:tcBorders>
              <w:top w:val="nil"/>
              <w:left w:val="single" w:sz="4" w:space="0" w:color="auto"/>
              <w:bottom w:val="single" w:sz="4" w:space="0" w:color="auto"/>
              <w:right w:val="single" w:sz="4" w:space="0" w:color="auto"/>
            </w:tcBorders>
            <w:noWrap/>
            <w:vAlign w:val="center"/>
          </w:tcPr>
          <w:p w:rsidR="002E549D" w:rsidRDefault="00892BBC">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规范性文件</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w:t>
            </w:r>
          </w:p>
        </w:tc>
        <w:tc>
          <w:tcPr>
            <w:tcW w:w="1985" w:type="dxa"/>
            <w:tcBorders>
              <w:top w:val="nil"/>
              <w:left w:val="nil"/>
              <w:bottom w:val="single" w:sz="4" w:space="0" w:color="auto"/>
              <w:right w:val="single" w:sz="4" w:space="0" w:color="auto"/>
            </w:tcBorders>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w:t>
            </w:r>
          </w:p>
        </w:tc>
      </w:tr>
      <w:tr w:rsidR="002E549D">
        <w:trPr>
          <w:trHeight w:val="480"/>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第二十条第（五）项</w:t>
            </w:r>
          </w:p>
        </w:tc>
      </w:tr>
      <w:tr w:rsidR="002E549D">
        <w:trPr>
          <w:trHeight w:val="634"/>
          <w:jc w:val="center"/>
        </w:trPr>
        <w:tc>
          <w:tcPr>
            <w:tcW w:w="2752" w:type="dxa"/>
            <w:tcBorders>
              <w:top w:val="nil"/>
              <w:left w:val="single" w:sz="4" w:space="0" w:color="auto"/>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上一年项目数量</w:t>
            </w:r>
          </w:p>
        </w:tc>
        <w:tc>
          <w:tcPr>
            <w:tcW w:w="1985" w:type="dxa"/>
            <w:tcBorders>
              <w:top w:val="single" w:sz="4" w:space="0" w:color="auto"/>
              <w:left w:val="nil"/>
              <w:bottom w:val="single" w:sz="4" w:space="0" w:color="auto"/>
              <w:right w:val="single" w:sz="4" w:space="0" w:color="auto"/>
            </w:tcBorders>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本年增</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减</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处理决定数量</w:t>
            </w:r>
          </w:p>
        </w:tc>
      </w:tr>
      <w:tr w:rsidR="002E549D">
        <w:trPr>
          <w:trHeight w:val="670"/>
          <w:jc w:val="center"/>
        </w:trPr>
        <w:tc>
          <w:tcPr>
            <w:tcW w:w="2752" w:type="dxa"/>
            <w:tcBorders>
              <w:top w:val="nil"/>
              <w:left w:val="single" w:sz="4" w:space="0" w:color="auto"/>
              <w:bottom w:val="single" w:sz="4" w:space="0" w:color="auto"/>
              <w:right w:val="single" w:sz="4" w:space="0" w:color="auto"/>
            </w:tcBorders>
            <w:noWrap/>
            <w:vAlign w:val="center"/>
          </w:tcPr>
          <w:p w:rsidR="002E549D" w:rsidRDefault="00892BBC">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行政许可</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w:t>
            </w:r>
          </w:p>
        </w:tc>
        <w:tc>
          <w:tcPr>
            <w:tcW w:w="1985"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w:t>
            </w:r>
          </w:p>
        </w:tc>
      </w:tr>
      <w:tr w:rsidR="002E549D">
        <w:trPr>
          <w:trHeight w:val="694"/>
          <w:jc w:val="center"/>
        </w:trPr>
        <w:tc>
          <w:tcPr>
            <w:tcW w:w="2752" w:type="dxa"/>
            <w:tcBorders>
              <w:top w:val="nil"/>
              <w:left w:val="single" w:sz="4" w:space="0" w:color="auto"/>
              <w:bottom w:val="single" w:sz="4" w:space="0" w:color="auto"/>
              <w:right w:val="single" w:sz="4" w:space="0" w:color="auto"/>
            </w:tcBorders>
            <w:noWrap/>
            <w:vAlign w:val="center"/>
          </w:tcPr>
          <w:p w:rsidR="002E549D" w:rsidRDefault="00892BBC">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其他对外管理服务事项</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61</w:t>
            </w:r>
          </w:p>
        </w:tc>
        <w:tc>
          <w:tcPr>
            <w:tcW w:w="1985"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67602</w:t>
            </w:r>
          </w:p>
        </w:tc>
      </w:tr>
      <w:tr w:rsidR="002E549D">
        <w:trPr>
          <w:trHeight w:val="406"/>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第二十条第（六）项</w:t>
            </w:r>
          </w:p>
        </w:tc>
      </w:tr>
      <w:tr w:rsidR="002E549D">
        <w:trPr>
          <w:trHeight w:val="634"/>
          <w:jc w:val="center"/>
        </w:trPr>
        <w:tc>
          <w:tcPr>
            <w:tcW w:w="2752" w:type="dxa"/>
            <w:tcBorders>
              <w:top w:val="nil"/>
              <w:left w:val="single" w:sz="4" w:space="0" w:color="auto"/>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上一年项目数量</w:t>
            </w:r>
          </w:p>
        </w:tc>
        <w:tc>
          <w:tcPr>
            <w:tcW w:w="1985" w:type="dxa"/>
            <w:tcBorders>
              <w:top w:val="single" w:sz="4" w:space="0" w:color="auto"/>
              <w:left w:val="nil"/>
              <w:bottom w:val="single" w:sz="4" w:space="0" w:color="auto"/>
              <w:right w:val="single" w:sz="4" w:space="0" w:color="auto"/>
            </w:tcBorders>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本年增</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减</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处理决定数量</w:t>
            </w:r>
          </w:p>
        </w:tc>
      </w:tr>
      <w:tr w:rsidR="002E549D">
        <w:trPr>
          <w:trHeight w:val="564"/>
          <w:jc w:val="center"/>
        </w:trPr>
        <w:tc>
          <w:tcPr>
            <w:tcW w:w="2752" w:type="dxa"/>
            <w:tcBorders>
              <w:top w:val="nil"/>
              <w:left w:val="single" w:sz="4" w:space="0" w:color="auto"/>
              <w:bottom w:val="single" w:sz="4" w:space="0" w:color="auto"/>
              <w:right w:val="single" w:sz="4" w:space="0" w:color="auto"/>
            </w:tcBorders>
            <w:noWrap/>
            <w:vAlign w:val="center"/>
          </w:tcPr>
          <w:p w:rsidR="002E549D" w:rsidRDefault="00892BBC">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行政处罚</w:t>
            </w:r>
          </w:p>
        </w:tc>
        <w:tc>
          <w:tcPr>
            <w:tcW w:w="1984" w:type="dxa"/>
            <w:tcBorders>
              <w:top w:val="single" w:sz="4" w:space="0" w:color="auto"/>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64</w:t>
            </w:r>
          </w:p>
        </w:tc>
        <w:tc>
          <w:tcPr>
            <w:tcW w:w="1985" w:type="dxa"/>
            <w:tcBorders>
              <w:top w:val="single" w:sz="4" w:space="0" w:color="auto"/>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w:t>
            </w:r>
          </w:p>
        </w:tc>
      </w:tr>
      <w:tr w:rsidR="002E549D">
        <w:trPr>
          <w:trHeight w:val="572"/>
          <w:jc w:val="center"/>
        </w:trPr>
        <w:tc>
          <w:tcPr>
            <w:tcW w:w="2752" w:type="dxa"/>
            <w:tcBorders>
              <w:top w:val="nil"/>
              <w:left w:val="single" w:sz="4" w:space="0" w:color="auto"/>
              <w:bottom w:val="single" w:sz="4" w:space="0" w:color="auto"/>
              <w:right w:val="single" w:sz="4" w:space="0" w:color="auto"/>
            </w:tcBorders>
            <w:noWrap/>
            <w:vAlign w:val="center"/>
          </w:tcPr>
          <w:p w:rsidR="002E549D" w:rsidRDefault="00892BBC">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行政强制</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4</w:t>
            </w:r>
          </w:p>
        </w:tc>
        <w:tc>
          <w:tcPr>
            <w:tcW w:w="1985"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w:t>
            </w:r>
          </w:p>
        </w:tc>
      </w:tr>
      <w:tr w:rsidR="002E549D">
        <w:trPr>
          <w:trHeight w:val="474"/>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第二十条第（八）项</w:t>
            </w:r>
          </w:p>
        </w:tc>
      </w:tr>
      <w:tr w:rsidR="002E549D">
        <w:trPr>
          <w:trHeight w:val="270"/>
          <w:jc w:val="center"/>
        </w:trPr>
        <w:tc>
          <w:tcPr>
            <w:tcW w:w="2752" w:type="dxa"/>
            <w:tcBorders>
              <w:top w:val="nil"/>
              <w:left w:val="single" w:sz="4" w:space="0" w:color="auto"/>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信息内容</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上一年项目数量</w:t>
            </w:r>
          </w:p>
        </w:tc>
        <w:tc>
          <w:tcPr>
            <w:tcW w:w="3969" w:type="dxa"/>
            <w:gridSpan w:val="2"/>
            <w:tcBorders>
              <w:top w:val="single" w:sz="4" w:space="0" w:color="auto"/>
              <w:left w:val="nil"/>
              <w:bottom w:val="single" w:sz="4" w:space="0" w:color="auto"/>
              <w:right w:val="single" w:sz="4" w:space="0" w:color="000000"/>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本年增</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减</w:t>
            </w:r>
          </w:p>
        </w:tc>
      </w:tr>
      <w:tr w:rsidR="002E549D">
        <w:trPr>
          <w:trHeight w:val="722"/>
          <w:jc w:val="center"/>
        </w:trPr>
        <w:tc>
          <w:tcPr>
            <w:tcW w:w="2752" w:type="dxa"/>
            <w:tcBorders>
              <w:top w:val="nil"/>
              <w:left w:val="single" w:sz="4" w:space="0" w:color="auto"/>
              <w:bottom w:val="single" w:sz="4" w:space="0" w:color="auto"/>
              <w:right w:val="single" w:sz="4" w:space="0" w:color="auto"/>
            </w:tcBorders>
            <w:noWrap/>
            <w:vAlign w:val="center"/>
          </w:tcPr>
          <w:p w:rsidR="002E549D" w:rsidRDefault="00892BBC">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行政事业性收费</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w:t>
            </w:r>
          </w:p>
        </w:tc>
        <w:tc>
          <w:tcPr>
            <w:tcW w:w="3969" w:type="dxa"/>
            <w:gridSpan w:val="2"/>
            <w:tcBorders>
              <w:top w:val="single" w:sz="4" w:space="0" w:color="auto"/>
              <w:left w:val="nil"/>
              <w:bottom w:val="single" w:sz="4" w:space="0" w:color="auto"/>
              <w:right w:val="single" w:sz="4" w:space="0" w:color="000000"/>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w:t>
            </w:r>
          </w:p>
        </w:tc>
      </w:tr>
      <w:tr w:rsidR="002E549D">
        <w:trPr>
          <w:trHeight w:val="476"/>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第二十条第（九）项</w:t>
            </w:r>
          </w:p>
        </w:tc>
      </w:tr>
      <w:tr w:rsidR="002E549D">
        <w:trPr>
          <w:trHeight w:val="585"/>
          <w:jc w:val="center"/>
        </w:trPr>
        <w:tc>
          <w:tcPr>
            <w:tcW w:w="2752" w:type="dxa"/>
            <w:tcBorders>
              <w:top w:val="nil"/>
              <w:left w:val="single" w:sz="4" w:space="0" w:color="auto"/>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信息内容</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采购项目数量</w:t>
            </w:r>
          </w:p>
        </w:tc>
        <w:tc>
          <w:tcPr>
            <w:tcW w:w="3969" w:type="dxa"/>
            <w:gridSpan w:val="2"/>
            <w:tcBorders>
              <w:top w:val="single" w:sz="4" w:space="0" w:color="auto"/>
              <w:left w:val="nil"/>
              <w:bottom w:val="single" w:sz="4" w:space="0" w:color="auto"/>
              <w:right w:val="single" w:sz="4" w:space="0" w:color="000000"/>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proofErr w:type="gramStart"/>
            <w:r>
              <w:rPr>
                <w:rFonts w:ascii="Times New Roman" w:eastAsia="宋体" w:hAnsi="Times New Roman" w:cs="Times New Roman"/>
                <w:kern w:val="0"/>
                <w:sz w:val="24"/>
                <w:szCs w:val="24"/>
              </w:rPr>
              <w:t>采购总</w:t>
            </w:r>
            <w:proofErr w:type="gramEnd"/>
            <w:r>
              <w:rPr>
                <w:rFonts w:ascii="Times New Roman" w:eastAsia="宋体" w:hAnsi="Times New Roman" w:cs="Times New Roman"/>
                <w:kern w:val="0"/>
                <w:sz w:val="24"/>
                <w:szCs w:val="24"/>
              </w:rPr>
              <w:t>金额</w:t>
            </w:r>
          </w:p>
        </w:tc>
      </w:tr>
      <w:tr w:rsidR="002E549D">
        <w:trPr>
          <w:trHeight w:val="748"/>
          <w:jc w:val="center"/>
        </w:trPr>
        <w:tc>
          <w:tcPr>
            <w:tcW w:w="2752" w:type="dxa"/>
            <w:tcBorders>
              <w:top w:val="nil"/>
              <w:left w:val="single" w:sz="4" w:space="0" w:color="auto"/>
              <w:bottom w:val="single" w:sz="4" w:space="0" w:color="auto"/>
              <w:right w:val="single" w:sz="4" w:space="0" w:color="auto"/>
            </w:tcBorders>
            <w:noWrap/>
            <w:vAlign w:val="center"/>
          </w:tcPr>
          <w:p w:rsidR="002E549D" w:rsidRDefault="00892BBC">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政府集中采购</w:t>
            </w:r>
          </w:p>
        </w:tc>
        <w:tc>
          <w:tcPr>
            <w:tcW w:w="1984" w:type="dxa"/>
            <w:tcBorders>
              <w:top w:val="nil"/>
              <w:left w:val="nil"/>
              <w:bottom w:val="single" w:sz="4" w:space="0" w:color="auto"/>
              <w:right w:val="single" w:sz="4" w:space="0" w:color="auto"/>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w:t>
            </w:r>
          </w:p>
        </w:tc>
        <w:tc>
          <w:tcPr>
            <w:tcW w:w="3969" w:type="dxa"/>
            <w:gridSpan w:val="2"/>
            <w:tcBorders>
              <w:top w:val="single" w:sz="4" w:space="0" w:color="auto"/>
              <w:left w:val="nil"/>
              <w:bottom w:val="single" w:sz="4" w:space="0" w:color="auto"/>
              <w:right w:val="single" w:sz="4" w:space="0" w:color="000000"/>
            </w:tcBorders>
            <w:noWrap/>
            <w:vAlign w:val="center"/>
          </w:tcPr>
          <w:p w:rsidR="002E549D" w:rsidRDefault="00892BBC">
            <w:pPr>
              <w:widowControl/>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w:t>
            </w:r>
          </w:p>
        </w:tc>
      </w:tr>
    </w:tbl>
    <w:p w:rsidR="002E549D" w:rsidRDefault="002E549D">
      <w:pPr>
        <w:spacing w:line="560" w:lineRule="exact"/>
        <w:ind w:firstLineChars="200" w:firstLine="640"/>
        <w:rPr>
          <w:rFonts w:ascii="Times New Roman" w:eastAsia="仿宋_GB2312" w:hAnsi="Times New Roman" w:cs="Times New Roman"/>
          <w:sz w:val="32"/>
          <w:szCs w:val="32"/>
        </w:rPr>
      </w:pPr>
    </w:p>
    <w:p w:rsidR="002E549D" w:rsidRDefault="002E549D">
      <w:pPr>
        <w:spacing w:line="560" w:lineRule="exact"/>
        <w:ind w:firstLineChars="200" w:firstLine="640"/>
        <w:rPr>
          <w:rFonts w:ascii="Times New Roman" w:eastAsia="仿宋_GB2312" w:hAnsi="Times New Roman" w:cs="Times New Roman"/>
          <w:sz w:val="32"/>
          <w:szCs w:val="32"/>
        </w:rPr>
      </w:pPr>
    </w:p>
    <w:p w:rsidR="002E549D" w:rsidRDefault="002E549D">
      <w:pPr>
        <w:spacing w:line="560" w:lineRule="exact"/>
        <w:ind w:firstLineChars="200" w:firstLine="640"/>
        <w:rPr>
          <w:rFonts w:ascii="Times New Roman" w:eastAsia="仿宋_GB2312" w:hAnsi="Times New Roman" w:cs="Times New Roman"/>
          <w:sz w:val="32"/>
          <w:szCs w:val="32"/>
        </w:rPr>
      </w:pPr>
    </w:p>
    <w:p w:rsidR="002E549D" w:rsidRDefault="002E549D">
      <w:pPr>
        <w:spacing w:line="560" w:lineRule="exact"/>
        <w:ind w:firstLineChars="200" w:firstLine="640"/>
        <w:rPr>
          <w:rFonts w:ascii="Times New Roman" w:eastAsia="黑体" w:hAnsi="Times New Roman" w:cs="Times New Roman"/>
          <w:sz w:val="32"/>
          <w:szCs w:val="32"/>
        </w:rPr>
        <w:sectPr w:rsidR="002E549D">
          <w:pgSz w:w="11906" w:h="16838"/>
          <w:pgMar w:top="1440" w:right="1800" w:bottom="1440" w:left="1800" w:header="851" w:footer="992" w:gutter="0"/>
          <w:cols w:space="425"/>
          <w:docGrid w:type="lines" w:linePitch="312"/>
        </w:sectPr>
      </w:pPr>
    </w:p>
    <w:p w:rsidR="002E549D" w:rsidRDefault="00892BB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三、收到和处理政府信息公开申请情况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855"/>
        <w:gridCol w:w="2130"/>
        <w:gridCol w:w="825"/>
        <w:gridCol w:w="765"/>
        <w:gridCol w:w="765"/>
        <w:gridCol w:w="825"/>
        <w:gridCol w:w="990"/>
        <w:gridCol w:w="720"/>
        <w:gridCol w:w="702"/>
      </w:tblGrid>
      <w:tr w:rsidR="002E549D">
        <w:trPr>
          <w:jc w:val="center"/>
        </w:trPr>
        <w:tc>
          <w:tcPr>
            <w:tcW w:w="3479" w:type="dxa"/>
            <w:gridSpan w:val="3"/>
            <w:vMerge w:val="restart"/>
            <w:tcBorders>
              <w:top w:val="single" w:sz="4" w:space="0" w:color="auto"/>
              <w:left w:val="single" w:sz="4" w:space="0" w:color="auto"/>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（本列数据的勾</w:t>
            </w:r>
            <w:proofErr w:type="gramStart"/>
            <w:r>
              <w:rPr>
                <w:rFonts w:ascii="Times New Roman" w:eastAsia="宋体" w:hAnsi="Times New Roman" w:cs="Times New Roman"/>
                <w:szCs w:val="21"/>
              </w:rPr>
              <w:t>稽</w:t>
            </w:r>
            <w:proofErr w:type="gramEnd"/>
            <w:r>
              <w:rPr>
                <w:rFonts w:ascii="Times New Roman" w:eastAsia="宋体" w:hAnsi="Times New Roman" w:cs="Times New Roman"/>
                <w:szCs w:val="21"/>
              </w:rPr>
              <w:t>关系为：第一项加第二项之和，等于第三项加第四项之和）</w:t>
            </w:r>
          </w:p>
        </w:tc>
        <w:tc>
          <w:tcPr>
            <w:tcW w:w="5592" w:type="dxa"/>
            <w:gridSpan w:val="7"/>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申请人情况</w:t>
            </w:r>
          </w:p>
        </w:tc>
      </w:tr>
      <w:tr w:rsidR="002E549D">
        <w:trPr>
          <w:jc w:val="center"/>
        </w:trPr>
        <w:tc>
          <w:tcPr>
            <w:tcW w:w="8594" w:type="dxa"/>
            <w:gridSpan w:val="3"/>
            <w:vMerge/>
            <w:tcBorders>
              <w:top w:val="single" w:sz="4" w:space="0" w:color="auto"/>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825" w:type="dxa"/>
            <w:vMerge w:val="restart"/>
            <w:tcBorders>
              <w:top w:val="nil"/>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自然人</w:t>
            </w:r>
          </w:p>
        </w:tc>
        <w:tc>
          <w:tcPr>
            <w:tcW w:w="4065" w:type="dxa"/>
            <w:gridSpan w:val="5"/>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法人或其他组织</w:t>
            </w:r>
          </w:p>
        </w:tc>
        <w:tc>
          <w:tcPr>
            <w:tcW w:w="702" w:type="dxa"/>
            <w:vMerge w:val="restart"/>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总计</w:t>
            </w:r>
          </w:p>
        </w:tc>
      </w:tr>
      <w:tr w:rsidR="002E549D">
        <w:trPr>
          <w:jc w:val="center"/>
        </w:trPr>
        <w:tc>
          <w:tcPr>
            <w:tcW w:w="8594" w:type="dxa"/>
            <w:gridSpan w:val="3"/>
            <w:vMerge/>
            <w:tcBorders>
              <w:top w:val="single" w:sz="4" w:space="0" w:color="auto"/>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5592" w:type="dxa"/>
            <w:vMerge/>
            <w:tcBorders>
              <w:top w:val="nil"/>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商业企业</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科研机构</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社会公益组织</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法律服务机构</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其他</w:t>
            </w:r>
          </w:p>
        </w:tc>
        <w:tc>
          <w:tcPr>
            <w:tcW w:w="702" w:type="dxa"/>
            <w:vMerge/>
            <w:tcBorders>
              <w:top w:val="single" w:sz="4" w:space="0" w:color="auto"/>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r>
      <w:tr w:rsidR="002E549D">
        <w:trPr>
          <w:trHeight w:val="473"/>
          <w:jc w:val="center"/>
        </w:trPr>
        <w:tc>
          <w:tcPr>
            <w:tcW w:w="3479" w:type="dxa"/>
            <w:gridSpan w:val="3"/>
            <w:tcBorders>
              <w:top w:val="single" w:sz="4" w:space="0" w:color="auto"/>
              <w:left w:val="single" w:sz="4" w:space="0" w:color="auto"/>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一、本年新收政府信息公开申请数量</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 </w:t>
            </w: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r>
              <w:rPr>
                <w:rFonts w:ascii="Times New Roman" w:eastAsia="宋体" w:hAnsi="Times New Roman" w:cs="Times New Roman"/>
                <w:szCs w:val="21"/>
              </w:rPr>
              <w:t> </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trHeight w:val="423"/>
          <w:jc w:val="center"/>
        </w:trPr>
        <w:tc>
          <w:tcPr>
            <w:tcW w:w="3479" w:type="dxa"/>
            <w:gridSpan w:val="3"/>
            <w:tcBorders>
              <w:top w:val="single" w:sz="4" w:space="0" w:color="auto"/>
              <w:left w:val="single" w:sz="4" w:space="0" w:color="auto"/>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二、上年结转政府信息公开申请数量</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trHeight w:val="401"/>
          <w:jc w:val="center"/>
        </w:trPr>
        <w:tc>
          <w:tcPr>
            <w:tcW w:w="494" w:type="dxa"/>
            <w:vMerge w:val="restart"/>
            <w:tcBorders>
              <w:top w:val="nil"/>
              <w:left w:val="single" w:sz="4" w:space="0" w:color="auto"/>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三、本年度办理结果</w:t>
            </w:r>
          </w:p>
        </w:tc>
        <w:tc>
          <w:tcPr>
            <w:tcW w:w="2985" w:type="dxa"/>
            <w:gridSpan w:val="2"/>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楷体" w:hAnsi="Times New Roman" w:cs="Times New Roman"/>
                <w:szCs w:val="21"/>
              </w:rPr>
              <w:t>（一）予以公开</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gridSpan w:val="2"/>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楷体" w:hAnsi="Times New Roman" w:cs="Times New Roman"/>
                <w:szCs w:val="21"/>
              </w:rPr>
              <w:t>（二）部分公开（区分处理的，只计这一情形，不计其他情形）</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trHeight w:val="345"/>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855" w:type="dxa"/>
            <w:vMerge w:val="restart"/>
            <w:tcBorders>
              <w:top w:val="nil"/>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楷体" w:hAnsi="Times New Roman" w:cs="Times New Roman"/>
                <w:szCs w:val="21"/>
              </w:rPr>
              <w:t>（三）不予公开</w:t>
            </w:r>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vMerge/>
            <w:tcBorders>
              <w:top w:val="nil"/>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vMerge/>
            <w:tcBorders>
              <w:top w:val="nil"/>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vMerge/>
            <w:tcBorders>
              <w:top w:val="nil"/>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vMerge/>
            <w:tcBorders>
              <w:top w:val="nil"/>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vMerge/>
            <w:tcBorders>
              <w:top w:val="nil"/>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vMerge/>
            <w:tcBorders>
              <w:top w:val="nil"/>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trHeight w:val="344"/>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vMerge/>
            <w:tcBorders>
              <w:top w:val="nil"/>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855" w:type="dxa"/>
            <w:vMerge w:val="restart"/>
            <w:tcBorders>
              <w:top w:val="nil"/>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楷体" w:hAnsi="Times New Roman" w:cs="Times New Roman"/>
                <w:szCs w:val="21"/>
              </w:rPr>
              <w:t>（四）无法提供</w:t>
            </w:r>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vMerge/>
            <w:tcBorders>
              <w:top w:val="nil"/>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vMerge/>
            <w:tcBorders>
              <w:top w:val="nil"/>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855" w:type="dxa"/>
            <w:vMerge w:val="restart"/>
            <w:tcBorders>
              <w:top w:val="nil"/>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楷体" w:hAnsi="Times New Roman" w:cs="Times New Roman"/>
                <w:szCs w:val="21"/>
              </w:rPr>
              <w:t>（五）</w:t>
            </w:r>
            <w:proofErr w:type="gramStart"/>
            <w:r>
              <w:rPr>
                <w:rFonts w:ascii="Times New Roman" w:eastAsia="楷体" w:hAnsi="Times New Roman" w:cs="Times New Roman"/>
                <w:szCs w:val="21"/>
              </w:rPr>
              <w:t>不予处理</w:t>
            </w:r>
            <w:proofErr w:type="gramEnd"/>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trHeight w:val="456"/>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vMerge/>
            <w:tcBorders>
              <w:top w:val="nil"/>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vMerge/>
            <w:tcBorders>
              <w:top w:val="nil"/>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vMerge/>
            <w:tcBorders>
              <w:top w:val="nil"/>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vMerge/>
            <w:tcBorders>
              <w:top w:val="nil"/>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130" w:type="dxa"/>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gridSpan w:val="2"/>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楷体" w:hAnsi="Times New Roman" w:cs="Times New Roman"/>
                <w:szCs w:val="21"/>
              </w:rPr>
              <w:t>（六）其他处理</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Cs w:val="21"/>
              </w:rPr>
            </w:pPr>
          </w:p>
        </w:tc>
        <w:tc>
          <w:tcPr>
            <w:tcW w:w="2985" w:type="dxa"/>
            <w:gridSpan w:val="2"/>
            <w:tcBorders>
              <w:top w:val="single" w:sz="4" w:space="0" w:color="auto"/>
              <w:left w:val="nil"/>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楷体" w:hAnsi="Times New Roman" w:cs="Times New Roman"/>
                <w:szCs w:val="21"/>
              </w:rPr>
              <w:t>（七）总计</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r w:rsidR="002E549D">
        <w:trPr>
          <w:jc w:val="center"/>
        </w:trPr>
        <w:tc>
          <w:tcPr>
            <w:tcW w:w="3479" w:type="dxa"/>
            <w:gridSpan w:val="3"/>
            <w:tcBorders>
              <w:top w:val="single" w:sz="4" w:space="0" w:color="auto"/>
              <w:left w:val="single" w:sz="4" w:space="0" w:color="auto"/>
              <w:bottom w:val="single" w:sz="4" w:space="0" w:color="auto"/>
              <w:right w:val="single" w:sz="4" w:space="0" w:color="auto"/>
            </w:tcBorders>
            <w:vAlign w:val="center"/>
          </w:tcPr>
          <w:p w:rsidR="002E549D" w:rsidRDefault="00892BBC">
            <w:pPr>
              <w:widowControl/>
              <w:jc w:val="left"/>
              <w:rPr>
                <w:rFonts w:ascii="Times New Roman" w:eastAsia="宋体" w:hAnsi="Times New Roman" w:cs="Times New Roman"/>
                <w:kern w:val="0"/>
                <w:szCs w:val="21"/>
              </w:rPr>
            </w:pPr>
            <w:r>
              <w:rPr>
                <w:rFonts w:ascii="Times New Roman" w:eastAsia="宋体" w:hAnsi="Times New Roman" w:cs="Times New Roman"/>
                <w:szCs w:val="21"/>
              </w:rPr>
              <w:t>四、结转下年度继续办理</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6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8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99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20"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c>
          <w:tcPr>
            <w:tcW w:w="702"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Cs w:val="21"/>
              </w:rPr>
            </w:pPr>
            <w:r>
              <w:rPr>
                <w:rFonts w:ascii="Times New Roman" w:eastAsia="宋体" w:hAnsi="Times New Roman" w:cs="Times New Roman"/>
                <w:szCs w:val="21"/>
              </w:rPr>
              <w:t>0</w:t>
            </w:r>
          </w:p>
        </w:tc>
      </w:tr>
    </w:tbl>
    <w:p w:rsidR="002E549D" w:rsidRDefault="002E549D">
      <w:pPr>
        <w:spacing w:line="560" w:lineRule="exact"/>
        <w:ind w:firstLineChars="200" w:firstLine="640"/>
        <w:rPr>
          <w:rFonts w:ascii="Times New Roman" w:eastAsia="黑体" w:hAnsi="Times New Roman" w:cs="Times New Roman"/>
          <w:sz w:val="32"/>
          <w:szCs w:val="32"/>
        </w:rPr>
        <w:sectPr w:rsidR="002E549D">
          <w:pgSz w:w="11906" w:h="16838"/>
          <w:pgMar w:top="1134" w:right="1797" w:bottom="1134" w:left="1797" w:header="851" w:footer="992" w:gutter="0"/>
          <w:cols w:space="425"/>
          <w:docGrid w:type="linesAndChars" w:linePitch="312"/>
        </w:sectPr>
      </w:pPr>
    </w:p>
    <w:p w:rsidR="002E549D" w:rsidRDefault="00892BB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四、政府信息公开行政复议、行政诉讼情况</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707"/>
        <w:gridCol w:w="707"/>
        <w:gridCol w:w="707"/>
        <w:gridCol w:w="566"/>
        <w:gridCol w:w="707"/>
        <w:gridCol w:w="706"/>
        <w:gridCol w:w="755"/>
        <w:gridCol w:w="659"/>
        <w:gridCol w:w="548"/>
        <w:gridCol w:w="725"/>
        <w:gridCol w:w="699"/>
        <w:gridCol w:w="714"/>
        <w:gridCol w:w="708"/>
        <w:gridCol w:w="417"/>
      </w:tblGrid>
      <w:tr w:rsidR="002E549D">
        <w:trPr>
          <w:jc w:val="center"/>
        </w:trPr>
        <w:tc>
          <w:tcPr>
            <w:tcW w:w="3418" w:type="dxa"/>
            <w:gridSpan w:val="5"/>
            <w:tcBorders>
              <w:top w:val="single" w:sz="4" w:space="0" w:color="auto"/>
              <w:left w:val="single" w:sz="4" w:space="0" w:color="auto"/>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行政复议</w:t>
            </w:r>
          </w:p>
        </w:tc>
        <w:tc>
          <w:tcPr>
            <w:tcW w:w="6638" w:type="dxa"/>
            <w:gridSpan w:val="10"/>
            <w:tcBorders>
              <w:top w:val="single" w:sz="4" w:space="0" w:color="auto"/>
              <w:left w:val="nil"/>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行政诉讼</w:t>
            </w:r>
          </w:p>
        </w:tc>
      </w:tr>
      <w:tr w:rsidR="002E549D">
        <w:trPr>
          <w:trHeight w:val="747"/>
          <w:jc w:val="center"/>
        </w:trPr>
        <w:tc>
          <w:tcPr>
            <w:tcW w:w="731" w:type="dxa"/>
            <w:vMerge w:val="restart"/>
            <w:tcBorders>
              <w:top w:val="nil"/>
              <w:left w:val="single" w:sz="4" w:space="0" w:color="auto"/>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sz w:val="20"/>
                <w:szCs w:val="20"/>
              </w:rPr>
            </w:pPr>
            <w:r>
              <w:rPr>
                <w:rFonts w:ascii="Times New Roman" w:eastAsia="宋体" w:hAnsi="Times New Roman" w:cs="Times New Roman"/>
                <w:sz w:val="20"/>
                <w:szCs w:val="20"/>
              </w:rPr>
              <w:t>结果</w:t>
            </w:r>
          </w:p>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维持</w:t>
            </w:r>
          </w:p>
        </w:tc>
        <w:tc>
          <w:tcPr>
            <w:tcW w:w="707" w:type="dxa"/>
            <w:vMerge w:val="restart"/>
            <w:tcBorders>
              <w:top w:val="nil"/>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结果纠正</w:t>
            </w:r>
          </w:p>
        </w:tc>
        <w:tc>
          <w:tcPr>
            <w:tcW w:w="707" w:type="dxa"/>
            <w:vMerge w:val="restart"/>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其他结果</w:t>
            </w:r>
          </w:p>
        </w:tc>
        <w:tc>
          <w:tcPr>
            <w:tcW w:w="707" w:type="dxa"/>
            <w:vMerge w:val="restart"/>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尚未审结</w:t>
            </w:r>
          </w:p>
        </w:tc>
        <w:tc>
          <w:tcPr>
            <w:tcW w:w="566" w:type="dxa"/>
            <w:vMerge w:val="restart"/>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总计</w:t>
            </w:r>
          </w:p>
        </w:tc>
        <w:tc>
          <w:tcPr>
            <w:tcW w:w="3375" w:type="dxa"/>
            <w:gridSpan w:val="5"/>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未经复议直接起诉</w:t>
            </w:r>
          </w:p>
        </w:tc>
        <w:tc>
          <w:tcPr>
            <w:tcW w:w="3263" w:type="dxa"/>
            <w:gridSpan w:val="5"/>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复议后起诉</w:t>
            </w:r>
          </w:p>
        </w:tc>
      </w:tr>
      <w:tr w:rsidR="002E549D">
        <w:trPr>
          <w:trHeight w:val="1551"/>
          <w:jc w:val="center"/>
        </w:trPr>
        <w:tc>
          <w:tcPr>
            <w:tcW w:w="731" w:type="dxa"/>
            <w:vMerge/>
            <w:tcBorders>
              <w:top w:val="nil"/>
              <w:left w:val="single" w:sz="4" w:space="0" w:color="auto"/>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 w:val="24"/>
                <w:szCs w:val="24"/>
              </w:rPr>
            </w:pPr>
          </w:p>
        </w:tc>
        <w:tc>
          <w:tcPr>
            <w:tcW w:w="707" w:type="dxa"/>
            <w:vMerge/>
            <w:tcBorders>
              <w:top w:val="nil"/>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 w:val="24"/>
                <w:szCs w:val="24"/>
              </w:rPr>
            </w:pPr>
          </w:p>
        </w:tc>
        <w:tc>
          <w:tcPr>
            <w:tcW w:w="707" w:type="dxa"/>
            <w:vMerge/>
            <w:tcBorders>
              <w:top w:val="single" w:sz="4" w:space="0" w:color="auto"/>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 w:val="24"/>
                <w:szCs w:val="24"/>
              </w:rPr>
            </w:pPr>
          </w:p>
        </w:tc>
        <w:tc>
          <w:tcPr>
            <w:tcW w:w="707" w:type="dxa"/>
            <w:vMerge/>
            <w:tcBorders>
              <w:top w:val="single" w:sz="4" w:space="0" w:color="auto"/>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 w:val="24"/>
                <w:szCs w:val="24"/>
              </w:rPr>
            </w:pPr>
          </w:p>
        </w:tc>
        <w:tc>
          <w:tcPr>
            <w:tcW w:w="566" w:type="dxa"/>
            <w:vMerge/>
            <w:tcBorders>
              <w:top w:val="single" w:sz="4" w:space="0" w:color="auto"/>
              <w:left w:val="nil"/>
              <w:bottom w:val="single" w:sz="4" w:space="0" w:color="auto"/>
              <w:right w:val="single" w:sz="4" w:space="0" w:color="auto"/>
            </w:tcBorders>
            <w:vAlign w:val="center"/>
          </w:tcPr>
          <w:p w:rsidR="002E549D" w:rsidRDefault="002E549D">
            <w:pPr>
              <w:widowControl/>
              <w:jc w:val="left"/>
              <w:rPr>
                <w:rFonts w:ascii="Times New Roman" w:eastAsia="宋体" w:hAnsi="Times New Roman" w:cs="Times New Roman"/>
                <w:kern w:val="0"/>
                <w:sz w:val="24"/>
                <w:szCs w:val="24"/>
              </w:rPr>
            </w:pPr>
          </w:p>
        </w:tc>
        <w:tc>
          <w:tcPr>
            <w:tcW w:w="707"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结果维持</w:t>
            </w:r>
          </w:p>
        </w:tc>
        <w:tc>
          <w:tcPr>
            <w:tcW w:w="706"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结果纠正</w:t>
            </w:r>
          </w:p>
        </w:tc>
        <w:tc>
          <w:tcPr>
            <w:tcW w:w="75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其他结果</w:t>
            </w:r>
          </w:p>
        </w:tc>
        <w:tc>
          <w:tcPr>
            <w:tcW w:w="659"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尚未审结</w:t>
            </w:r>
          </w:p>
        </w:tc>
        <w:tc>
          <w:tcPr>
            <w:tcW w:w="548"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0"/>
                <w:szCs w:val="20"/>
              </w:rPr>
              <w:t>总计</w:t>
            </w:r>
          </w:p>
        </w:tc>
        <w:tc>
          <w:tcPr>
            <w:tcW w:w="725"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结果维持</w:t>
            </w:r>
          </w:p>
        </w:tc>
        <w:tc>
          <w:tcPr>
            <w:tcW w:w="699"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结果纠正</w:t>
            </w:r>
          </w:p>
        </w:tc>
        <w:tc>
          <w:tcPr>
            <w:tcW w:w="714"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0"/>
                <w:szCs w:val="20"/>
              </w:rPr>
              <w:t>其他结果</w:t>
            </w:r>
          </w:p>
        </w:tc>
        <w:tc>
          <w:tcPr>
            <w:tcW w:w="708"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尚未审结</w:t>
            </w:r>
          </w:p>
        </w:tc>
        <w:tc>
          <w:tcPr>
            <w:tcW w:w="417" w:type="dxa"/>
            <w:tcBorders>
              <w:top w:val="single" w:sz="4" w:space="0" w:color="auto"/>
              <w:left w:val="nil"/>
              <w:bottom w:val="single" w:sz="4" w:space="0" w:color="auto"/>
              <w:right w:val="single" w:sz="4" w:space="0" w:color="auto"/>
            </w:tcBorders>
            <w:vAlign w:val="center"/>
          </w:tcPr>
          <w:p w:rsidR="002E549D" w:rsidRDefault="00892BBC">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0"/>
                <w:szCs w:val="20"/>
              </w:rPr>
              <w:t>总计</w:t>
            </w:r>
          </w:p>
        </w:tc>
      </w:tr>
      <w:tr w:rsidR="002E549D">
        <w:trPr>
          <w:trHeight w:val="1402"/>
          <w:jc w:val="center"/>
        </w:trPr>
        <w:tc>
          <w:tcPr>
            <w:tcW w:w="731" w:type="dxa"/>
            <w:tcBorders>
              <w:top w:val="single" w:sz="4" w:space="0" w:color="auto"/>
              <w:left w:val="single" w:sz="4" w:space="0" w:color="auto"/>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sz w:val="20"/>
                <w:szCs w:val="20"/>
              </w:rPr>
              <w:t>0</w:t>
            </w:r>
          </w:p>
        </w:tc>
        <w:tc>
          <w:tcPr>
            <w:tcW w:w="707" w:type="dxa"/>
            <w:tcBorders>
              <w:top w:val="single" w:sz="4" w:space="0" w:color="auto"/>
              <w:left w:val="nil"/>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 </w:t>
            </w:r>
            <w:r>
              <w:rPr>
                <w:rFonts w:ascii="Times New Roman" w:eastAsia="宋体" w:hAnsi="Times New Roman" w:cs="Times New Roman" w:hint="eastAsia"/>
                <w:sz w:val="20"/>
                <w:szCs w:val="20"/>
              </w:rPr>
              <w:t>0</w:t>
            </w:r>
          </w:p>
        </w:tc>
        <w:tc>
          <w:tcPr>
            <w:tcW w:w="707" w:type="dxa"/>
            <w:tcBorders>
              <w:top w:val="single" w:sz="4" w:space="0" w:color="auto"/>
              <w:left w:val="nil"/>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sz w:val="20"/>
                <w:szCs w:val="20"/>
              </w:rPr>
              <w:t>0</w:t>
            </w:r>
          </w:p>
        </w:tc>
        <w:tc>
          <w:tcPr>
            <w:tcW w:w="707" w:type="dxa"/>
            <w:tcBorders>
              <w:top w:val="single" w:sz="4" w:space="0" w:color="auto"/>
              <w:left w:val="nil"/>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 </w:t>
            </w:r>
            <w:r>
              <w:rPr>
                <w:rFonts w:ascii="Times New Roman" w:eastAsia="宋体" w:hAnsi="Times New Roman" w:cs="Times New Roman" w:hint="eastAsia"/>
                <w:sz w:val="20"/>
                <w:szCs w:val="20"/>
              </w:rPr>
              <w:t>0</w:t>
            </w:r>
          </w:p>
        </w:tc>
        <w:tc>
          <w:tcPr>
            <w:tcW w:w="566" w:type="dxa"/>
            <w:tcBorders>
              <w:top w:val="single" w:sz="4" w:space="0" w:color="auto"/>
              <w:left w:val="nil"/>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w:t>
            </w:r>
          </w:p>
        </w:tc>
        <w:tc>
          <w:tcPr>
            <w:tcW w:w="707" w:type="dxa"/>
            <w:tcBorders>
              <w:top w:val="single" w:sz="4" w:space="0" w:color="auto"/>
              <w:left w:val="nil"/>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sz w:val="20"/>
                <w:szCs w:val="20"/>
              </w:rPr>
              <w:t>0</w:t>
            </w:r>
          </w:p>
        </w:tc>
        <w:tc>
          <w:tcPr>
            <w:tcW w:w="706" w:type="dxa"/>
            <w:tcBorders>
              <w:top w:val="single" w:sz="4" w:space="0" w:color="auto"/>
              <w:left w:val="nil"/>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 </w:t>
            </w:r>
            <w:r>
              <w:rPr>
                <w:rFonts w:ascii="Times New Roman" w:eastAsia="宋体" w:hAnsi="Times New Roman" w:cs="Times New Roman" w:hint="eastAsia"/>
                <w:sz w:val="20"/>
                <w:szCs w:val="20"/>
              </w:rPr>
              <w:t>0</w:t>
            </w:r>
          </w:p>
        </w:tc>
        <w:tc>
          <w:tcPr>
            <w:tcW w:w="755" w:type="dxa"/>
            <w:tcBorders>
              <w:top w:val="single" w:sz="4" w:space="0" w:color="auto"/>
              <w:left w:val="nil"/>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sz w:val="20"/>
                <w:szCs w:val="20"/>
              </w:rPr>
              <w:t>0</w:t>
            </w:r>
            <w:r>
              <w:rPr>
                <w:rFonts w:ascii="Times New Roman" w:eastAsia="宋体" w:hAnsi="Times New Roman" w:cs="Times New Roman"/>
                <w:sz w:val="20"/>
                <w:szCs w:val="20"/>
              </w:rPr>
              <w:t> </w:t>
            </w:r>
          </w:p>
        </w:tc>
        <w:tc>
          <w:tcPr>
            <w:tcW w:w="659" w:type="dxa"/>
            <w:tcBorders>
              <w:top w:val="single" w:sz="4" w:space="0" w:color="auto"/>
              <w:left w:val="nil"/>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sz w:val="20"/>
                <w:szCs w:val="20"/>
              </w:rPr>
              <w:t>0</w:t>
            </w:r>
          </w:p>
        </w:tc>
        <w:tc>
          <w:tcPr>
            <w:tcW w:w="548" w:type="dxa"/>
            <w:tcBorders>
              <w:top w:val="single" w:sz="4" w:space="0" w:color="auto"/>
              <w:left w:val="nil"/>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w:t>
            </w:r>
          </w:p>
        </w:tc>
        <w:tc>
          <w:tcPr>
            <w:tcW w:w="725" w:type="dxa"/>
            <w:tcBorders>
              <w:top w:val="single" w:sz="4" w:space="0" w:color="auto"/>
              <w:left w:val="nil"/>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 </w:t>
            </w:r>
            <w:r>
              <w:rPr>
                <w:rFonts w:ascii="Times New Roman" w:eastAsia="宋体" w:hAnsi="Times New Roman" w:cs="Times New Roman" w:hint="eastAsia"/>
                <w:sz w:val="20"/>
                <w:szCs w:val="20"/>
              </w:rPr>
              <w:t>0</w:t>
            </w:r>
          </w:p>
        </w:tc>
        <w:tc>
          <w:tcPr>
            <w:tcW w:w="699" w:type="dxa"/>
            <w:tcBorders>
              <w:top w:val="single" w:sz="4" w:space="0" w:color="auto"/>
              <w:left w:val="nil"/>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sz w:val="20"/>
                <w:szCs w:val="20"/>
              </w:rPr>
              <w:t> </w:t>
            </w:r>
            <w:r>
              <w:rPr>
                <w:rFonts w:ascii="Times New Roman" w:eastAsia="宋体" w:hAnsi="Times New Roman" w:cs="Times New Roman" w:hint="eastAsia"/>
                <w:sz w:val="20"/>
                <w:szCs w:val="20"/>
              </w:rPr>
              <w:t>0</w:t>
            </w:r>
          </w:p>
        </w:tc>
        <w:tc>
          <w:tcPr>
            <w:tcW w:w="714" w:type="dxa"/>
            <w:tcBorders>
              <w:top w:val="single" w:sz="4" w:space="0" w:color="auto"/>
              <w:left w:val="nil"/>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0"/>
                <w:szCs w:val="20"/>
              </w:rPr>
              <w:t> </w:t>
            </w:r>
            <w:r>
              <w:rPr>
                <w:rFonts w:ascii="Times New Roman" w:eastAsia="宋体" w:hAnsi="Times New Roman" w:cs="Times New Roman" w:hint="eastAsia"/>
                <w:kern w:val="0"/>
                <w:sz w:val="20"/>
                <w:szCs w:val="20"/>
              </w:rPr>
              <w:t>0</w:t>
            </w:r>
          </w:p>
        </w:tc>
        <w:tc>
          <w:tcPr>
            <w:tcW w:w="708" w:type="dxa"/>
            <w:tcBorders>
              <w:top w:val="single" w:sz="4" w:space="0" w:color="auto"/>
              <w:left w:val="nil"/>
              <w:bottom w:val="single" w:sz="4" w:space="0" w:color="auto"/>
              <w:right w:val="single" w:sz="4" w:space="0" w:color="auto"/>
            </w:tcBorders>
            <w:vAlign w:val="center"/>
          </w:tcPr>
          <w:p w:rsidR="002E549D" w:rsidRDefault="00892BBC">
            <w:pPr>
              <w:widowControl/>
              <w:spacing w:before="100" w:beforeAutospacing="1" w:after="180" w:line="480" w:lineRule="auto"/>
              <w:jc w:val="center"/>
              <w:rPr>
                <w:rFonts w:ascii="Times New Roman" w:eastAsia="宋体" w:hAnsi="Times New Roman" w:cs="Times New Roman"/>
                <w:kern w:val="0"/>
                <w:sz w:val="24"/>
                <w:szCs w:val="24"/>
              </w:rPr>
            </w:pPr>
            <w:r>
              <w:rPr>
                <w:rFonts w:ascii="Times New Roman" w:eastAsia="宋体" w:hAnsi="Times New Roman" w:cs="Times New Roman" w:hint="eastAsia"/>
                <w:sz w:val="20"/>
                <w:szCs w:val="20"/>
              </w:rPr>
              <w:t>0</w:t>
            </w:r>
            <w:r>
              <w:rPr>
                <w:rFonts w:ascii="Times New Roman" w:eastAsia="宋体" w:hAnsi="Times New Roman" w:cs="Times New Roman"/>
                <w:sz w:val="20"/>
                <w:szCs w:val="20"/>
              </w:rPr>
              <w:t> </w:t>
            </w:r>
          </w:p>
        </w:tc>
        <w:tc>
          <w:tcPr>
            <w:tcW w:w="417" w:type="dxa"/>
            <w:tcBorders>
              <w:top w:val="single" w:sz="4" w:space="0" w:color="auto"/>
              <w:left w:val="nil"/>
              <w:bottom w:val="single" w:sz="4" w:space="0" w:color="auto"/>
              <w:right w:val="single" w:sz="4" w:space="0" w:color="auto"/>
            </w:tcBorders>
            <w:vAlign w:val="center"/>
          </w:tcPr>
          <w:p w:rsidR="002E549D" w:rsidRDefault="00892BBC">
            <w:pPr>
              <w:widowControl/>
              <w:spacing w:line="48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0</w:t>
            </w:r>
          </w:p>
        </w:tc>
      </w:tr>
    </w:tbl>
    <w:p w:rsidR="002E549D" w:rsidRDefault="002E549D">
      <w:pPr>
        <w:spacing w:line="560" w:lineRule="exact"/>
        <w:ind w:firstLineChars="200" w:firstLine="640"/>
        <w:rPr>
          <w:rFonts w:ascii="Times New Roman" w:eastAsia="黑体" w:hAnsi="Times New Roman" w:cs="Times New Roman"/>
          <w:sz w:val="32"/>
          <w:szCs w:val="32"/>
        </w:rPr>
      </w:pPr>
    </w:p>
    <w:p w:rsidR="002E549D" w:rsidRDefault="00892BB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五、存在的主要问题及改进情况</w:t>
      </w:r>
    </w:p>
    <w:p w:rsidR="002E549D" w:rsidRDefault="00892BBC">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（一）主要问题</w:t>
      </w:r>
    </w:p>
    <w:p w:rsidR="002E549D" w:rsidRDefault="00892BBC">
      <w:pPr>
        <w:pStyle w:val="a7"/>
        <w:shd w:val="clear" w:color="auto" w:fill="FFFFFF"/>
        <w:spacing w:before="0" w:beforeAutospacing="0" w:after="0" w:afterAutospacing="0"/>
        <w:ind w:firstLine="420"/>
        <w:jc w:val="both"/>
        <w:rPr>
          <w:rFonts w:ascii="Times New Roman" w:eastAsia="仿宋_GB2312" w:hAnsi="Times New Roman" w:cs="Times New Roman"/>
          <w:sz w:val="32"/>
          <w:szCs w:val="32"/>
        </w:rPr>
      </w:pPr>
      <w:r>
        <w:rPr>
          <w:rFonts w:ascii="Times New Roman" w:eastAsia="仿宋_GB2312" w:hAnsi="Times New Roman" w:cs="Times New Roman"/>
          <w:sz w:val="32"/>
          <w:szCs w:val="32"/>
          <w:shd w:val="clear" w:color="auto" w:fill="FFFFFF"/>
        </w:rPr>
        <w:t>一是信息公开时效性需进一步加强；二是主动向社会公开信息的领域有待进一步拓展</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三是对于新媒体条件</w:t>
      </w:r>
      <w:proofErr w:type="gramStart"/>
      <w:r>
        <w:rPr>
          <w:rFonts w:ascii="Times New Roman" w:eastAsia="仿宋_GB2312" w:hAnsi="Times New Roman" w:cs="Times New Roman"/>
          <w:sz w:val="32"/>
          <w:szCs w:val="32"/>
          <w:shd w:val="clear" w:color="auto" w:fill="FFFFFF"/>
        </w:rPr>
        <w:t>下信息</w:t>
      </w:r>
      <w:proofErr w:type="gramEnd"/>
      <w:r>
        <w:rPr>
          <w:rFonts w:ascii="Times New Roman" w:eastAsia="仿宋_GB2312" w:hAnsi="Times New Roman" w:cs="Times New Roman"/>
          <w:sz w:val="32"/>
          <w:szCs w:val="32"/>
          <w:shd w:val="clear" w:color="auto" w:fill="FFFFFF"/>
        </w:rPr>
        <w:t>公开的途径、方法研究不够等。</w:t>
      </w:r>
    </w:p>
    <w:p w:rsidR="002E549D" w:rsidRDefault="00892BBC">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（二）改进措施</w:t>
      </w:r>
    </w:p>
    <w:p w:rsidR="002E549D" w:rsidRDefault="00892BBC">
      <w:pPr>
        <w:pStyle w:val="a7"/>
        <w:shd w:val="clear" w:color="auto" w:fill="FFFFFF"/>
        <w:spacing w:before="0" w:beforeAutospacing="0" w:after="0" w:afterAutospacing="0"/>
        <w:ind w:firstLineChars="200" w:firstLine="640"/>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下一步</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我</w:t>
      </w:r>
      <w:r>
        <w:rPr>
          <w:rFonts w:ascii="Times New Roman" w:eastAsia="仿宋_GB2312" w:hAnsi="Times New Roman" w:cs="Times New Roman"/>
          <w:sz w:val="32"/>
          <w:szCs w:val="32"/>
          <w:shd w:val="clear" w:color="auto" w:fill="FFFFFF"/>
        </w:rPr>
        <w:t>局</w:t>
      </w:r>
      <w:r>
        <w:rPr>
          <w:rFonts w:ascii="Times New Roman" w:eastAsia="仿宋_GB2312" w:hAnsi="Times New Roman" w:cs="Times New Roman"/>
          <w:sz w:val="32"/>
          <w:szCs w:val="32"/>
          <w:shd w:val="clear" w:color="auto" w:fill="FFFFFF"/>
        </w:rPr>
        <w:t>将继续按照有关文件的要求，强化信息公开意识，提升信息公开业务水平，在工作中严格要求，狠抓政务公开工作，及时认真做好依申请公开信息的受理工作，特别是对群众关注度高的财政预决算、三公经费、就业和社会保障等政府信息要及时督促信息公开主体按质按量及时公开。同时，面对当前新媒体条件下，还需进一步加强网络舆情引导，加大对政务公开的宣传力度，提高群众的参与性，多听取群众的意见，确保政府信息公开工作更好的服务于群众。</w:t>
      </w:r>
    </w:p>
    <w:p w:rsidR="002E549D" w:rsidRDefault="00892BBC">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六、其他需要报告的事项</w:t>
      </w:r>
    </w:p>
    <w:p w:rsidR="002E549D" w:rsidRDefault="00892BBC">
      <w:pPr>
        <w:pStyle w:val="a0"/>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本年度政府信息公开工作无其他报告事项。</w:t>
      </w:r>
    </w:p>
    <w:p w:rsidR="002E549D" w:rsidRDefault="002E549D">
      <w:pPr>
        <w:ind w:firstLineChars="200" w:firstLine="560"/>
        <w:rPr>
          <w:rFonts w:ascii="Times New Roman" w:eastAsia="仿宋_GB2312" w:hAnsi="Times New Roman" w:cs="Times New Roman"/>
          <w:sz w:val="28"/>
          <w:szCs w:val="28"/>
        </w:rPr>
      </w:pPr>
    </w:p>
    <w:p w:rsidR="002E549D" w:rsidRDefault="002E549D">
      <w:pPr>
        <w:ind w:firstLineChars="200" w:firstLine="560"/>
        <w:rPr>
          <w:rFonts w:ascii="Times New Roman" w:eastAsia="仿宋_GB2312" w:hAnsi="Times New Roman" w:cs="Times New Roman"/>
          <w:sz w:val="28"/>
          <w:szCs w:val="28"/>
        </w:rPr>
      </w:pPr>
    </w:p>
    <w:p w:rsidR="002E549D" w:rsidRDefault="002E549D">
      <w:pPr>
        <w:ind w:firstLineChars="200" w:firstLine="560"/>
        <w:rPr>
          <w:rFonts w:ascii="Times New Roman" w:eastAsia="仿宋_GB2312" w:hAnsi="Times New Roman" w:cs="Times New Roman"/>
          <w:sz w:val="28"/>
          <w:szCs w:val="28"/>
        </w:rPr>
      </w:pPr>
    </w:p>
    <w:p w:rsidR="002E549D" w:rsidRDefault="002E549D">
      <w:pPr>
        <w:ind w:firstLineChars="200" w:firstLine="560"/>
        <w:rPr>
          <w:rFonts w:ascii="Times New Roman" w:eastAsia="仿宋_GB2312" w:hAnsi="Times New Roman" w:cs="Times New Roman"/>
          <w:sz w:val="28"/>
          <w:szCs w:val="28"/>
        </w:rPr>
      </w:pPr>
    </w:p>
    <w:p w:rsidR="002E549D" w:rsidRDefault="002E549D">
      <w:pPr>
        <w:ind w:firstLineChars="200" w:firstLine="560"/>
        <w:rPr>
          <w:rFonts w:ascii="Times New Roman" w:eastAsia="仿宋_GB2312" w:hAnsi="Times New Roman" w:cs="Times New Roman"/>
          <w:sz w:val="28"/>
          <w:szCs w:val="28"/>
        </w:rPr>
      </w:pPr>
    </w:p>
    <w:p w:rsidR="002E549D" w:rsidRDefault="002E549D">
      <w:pPr>
        <w:ind w:firstLineChars="200" w:firstLine="420"/>
        <w:rPr>
          <w:rFonts w:ascii="Times New Roman" w:hAnsi="Times New Roman" w:cs="Times New Roman"/>
        </w:rPr>
      </w:pPr>
    </w:p>
    <w:sectPr w:rsidR="002E54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FA9A4"/>
    <w:multiLevelType w:val="singleLevel"/>
    <w:tmpl w:val="1D5FA9A4"/>
    <w:lvl w:ilvl="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FF"/>
    <w:rsid w:val="00003766"/>
    <w:rsid w:val="00011351"/>
    <w:rsid w:val="00033FFE"/>
    <w:rsid w:val="000406A0"/>
    <w:rsid w:val="00050F08"/>
    <w:rsid w:val="00067D0C"/>
    <w:rsid w:val="00097400"/>
    <w:rsid w:val="000B0330"/>
    <w:rsid w:val="000B0934"/>
    <w:rsid w:val="000E4BD9"/>
    <w:rsid w:val="000E69DA"/>
    <w:rsid w:val="000E6B32"/>
    <w:rsid w:val="000F2D8A"/>
    <w:rsid w:val="001010D4"/>
    <w:rsid w:val="00117B4D"/>
    <w:rsid w:val="00123B08"/>
    <w:rsid w:val="001245D4"/>
    <w:rsid w:val="00124A11"/>
    <w:rsid w:val="001366B4"/>
    <w:rsid w:val="00151924"/>
    <w:rsid w:val="00154708"/>
    <w:rsid w:val="00161940"/>
    <w:rsid w:val="00164480"/>
    <w:rsid w:val="0016467B"/>
    <w:rsid w:val="00186A62"/>
    <w:rsid w:val="001A6BB5"/>
    <w:rsid w:val="001B7C65"/>
    <w:rsid w:val="001E217A"/>
    <w:rsid w:val="001E5229"/>
    <w:rsid w:val="001E6FDD"/>
    <w:rsid w:val="00206BB2"/>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D09A1"/>
    <w:rsid w:val="002E3859"/>
    <w:rsid w:val="002E549D"/>
    <w:rsid w:val="00310B91"/>
    <w:rsid w:val="00317F8F"/>
    <w:rsid w:val="003336C5"/>
    <w:rsid w:val="003343A1"/>
    <w:rsid w:val="00342B75"/>
    <w:rsid w:val="00361769"/>
    <w:rsid w:val="003A551A"/>
    <w:rsid w:val="003B7614"/>
    <w:rsid w:val="003C1CCB"/>
    <w:rsid w:val="003C66CF"/>
    <w:rsid w:val="003D1317"/>
    <w:rsid w:val="003F3C5A"/>
    <w:rsid w:val="004020BC"/>
    <w:rsid w:val="00417E4F"/>
    <w:rsid w:val="00431DC0"/>
    <w:rsid w:val="0044469E"/>
    <w:rsid w:val="0044565B"/>
    <w:rsid w:val="004622B9"/>
    <w:rsid w:val="00465EE7"/>
    <w:rsid w:val="00474F8C"/>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5FA9"/>
    <w:rsid w:val="00852C30"/>
    <w:rsid w:val="00867D9F"/>
    <w:rsid w:val="0087437C"/>
    <w:rsid w:val="00874582"/>
    <w:rsid w:val="0087509A"/>
    <w:rsid w:val="00885D12"/>
    <w:rsid w:val="00892BBC"/>
    <w:rsid w:val="008A46AC"/>
    <w:rsid w:val="008D4B35"/>
    <w:rsid w:val="008D62E4"/>
    <w:rsid w:val="008E6862"/>
    <w:rsid w:val="008F0C7F"/>
    <w:rsid w:val="00902E17"/>
    <w:rsid w:val="00937389"/>
    <w:rsid w:val="0095696B"/>
    <w:rsid w:val="00971010"/>
    <w:rsid w:val="0099580A"/>
    <w:rsid w:val="009C36DF"/>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112E"/>
    <w:rsid w:val="00A9750E"/>
    <w:rsid w:val="00AD32E2"/>
    <w:rsid w:val="00AD7912"/>
    <w:rsid w:val="00AE68F1"/>
    <w:rsid w:val="00AE6F46"/>
    <w:rsid w:val="00AF6C2E"/>
    <w:rsid w:val="00B0527D"/>
    <w:rsid w:val="00B10618"/>
    <w:rsid w:val="00B209C0"/>
    <w:rsid w:val="00B222E6"/>
    <w:rsid w:val="00B2447E"/>
    <w:rsid w:val="00B52FB0"/>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3C40"/>
    <w:rsid w:val="00C615D5"/>
    <w:rsid w:val="00CB0401"/>
    <w:rsid w:val="00CB2F48"/>
    <w:rsid w:val="00CC6D06"/>
    <w:rsid w:val="00CE6F5A"/>
    <w:rsid w:val="00CF7A58"/>
    <w:rsid w:val="00D00DA1"/>
    <w:rsid w:val="00D11086"/>
    <w:rsid w:val="00D36A59"/>
    <w:rsid w:val="00D41DCE"/>
    <w:rsid w:val="00D47806"/>
    <w:rsid w:val="00D53DFE"/>
    <w:rsid w:val="00D601F0"/>
    <w:rsid w:val="00D628BA"/>
    <w:rsid w:val="00D72CD5"/>
    <w:rsid w:val="00D75DFC"/>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C4878"/>
    <w:rsid w:val="00F07DF7"/>
    <w:rsid w:val="00F227DD"/>
    <w:rsid w:val="00F241FE"/>
    <w:rsid w:val="00F250FA"/>
    <w:rsid w:val="00F33CEA"/>
    <w:rsid w:val="00F43078"/>
    <w:rsid w:val="00F53375"/>
    <w:rsid w:val="00F63D59"/>
    <w:rsid w:val="00F7222E"/>
    <w:rsid w:val="00F81217"/>
    <w:rsid w:val="00F84A56"/>
    <w:rsid w:val="00F85382"/>
    <w:rsid w:val="00F85A95"/>
    <w:rsid w:val="00F86849"/>
    <w:rsid w:val="00F97C97"/>
    <w:rsid w:val="00FD6BCF"/>
    <w:rsid w:val="00FE7C2B"/>
    <w:rsid w:val="0DF10778"/>
    <w:rsid w:val="1785035F"/>
    <w:rsid w:val="1D5C67BF"/>
    <w:rsid w:val="1E175C9C"/>
    <w:rsid w:val="228E61D2"/>
    <w:rsid w:val="22C76333"/>
    <w:rsid w:val="31B36856"/>
    <w:rsid w:val="35DC545C"/>
    <w:rsid w:val="486D55A9"/>
    <w:rsid w:val="5AD55508"/>
    <w:rsid w:val="5B9D394E"/>
    <w:rsid w:val="629B05FF"/>
    <w:rsid w:val="68073D0D"/>
    <w:rsid w:val="6DB045EA"/>
    <w:rsid w:val="6F6C57CC"/>
    <w:rsid w:val="72E5639B"/>
    <w:rsid w:val="7E020E13"/>
    <w:rsid w:val="7E673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qFormat/>
    <w:rPr>
      <w:rFonts w:ascii="Verdana" w:eastAsia="仿宋_GB2312" w:hAnsi="Verdana" w:cs="Verdana"/>
      <w:b/>
      <w:bCs/>
      <w:kern w:val="0"/>
      <w:sz w:val="28"/>
      <w:szCs w:val="28"/>
      <w:lang w:eastAsia="en-US"/>
    </w:rPr>
  </w:style>
  <w:style w:type="character" w:customStyle="1" w:styleId="Char">
    <w:name w:val="批注框文本 Char"/>
    <w:basedOn w:val="a1"/>
    <w:link w:val="a4"/>
    <w:uiPriority w:val="99"/>
    <w:semiHidden/>
    <w:qFormat/>
    <w:rPr>
      <w:sz w:val="18"/>
      <w:szCs w:val="18"/>
    </w:rPr>
  </w:style>
  <w:style w:type="character" w:customStyle="1" w:styleId="1Char">
    <w:name w:val="标题 1 Char"/>
    <w:basedOn w:val="a1"/>
    <w:link w:val="1"/>
    <w:uiPriority w:val="9"/>
    <w:qFormat/>
    <w:rPr>
      <w:rFonts w:ascii="宋体" w:eastAsia="宋体" w:hAnsi="宋体" w:cs="宋体"/>
      <w:b/>
      <w:bCs/>
      <w:kern w:val="36"/>
      <w:sz w:val="48"/>
      <w:szCs w:val="48"/>
    </w:rPr>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qFormat/>
    <w:rPr>
      <w:rFonts w:ascii="Verdana" w:eastAsia="仿宋_GB2312" w:hAnsi="Verdana" w:cs="Verdana"/>
      <w:b/>
      <w:bCs/>
      <w:kern w:val="0"/>
      <w:sz w:val="28"/>
      <w:szCs w:val="28"/>
      <w:lang w:eastAsia="en-US"/>
    </w:rPr>
  </w:style>
  <w:style w:type="character" w:customStyle="1" w:styleId="Char">
    <w:name w:val="批注框文本 Char"/>
    <w:basedOn w:val="a1"/>
    <w:link w:val="a4"/>
    <w:uiPriority w:val="99"/>
    <w:semiHidden/>
    <w:qFormat/>
    <w:rPr>
      <w:sz w:val="18"/>
      <w:szCs w:val="18"/>
    </w:rPr>
  </w:style>
  <w:style w:type="character" w:customStyle="1" w:styleId="1Char">
    <w:name w:val="标题 1 Char"/>
    <w:basedOn w:val="a1"/>
    <w:link w:val="1"/>
    <w:uiPriority w:val="9"/>
    <w:qFormat/>
    <w:rPr>
      <w:rFonts w:ascii="宋体" w:eastAsia="宋体" w:hAnsi="宋体" w:cs="宋体"/>
      <w:b/>
      <w:bCs/>
      <w:kern w:val="36"/>
      <w:sz w:val="48"/>
      <w:szCs w:val="48"/>
    </w:rPr>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2744</Words>
  <Characters>566</Characters>
  <Application>Microsoft Office Word</Application>
  <DocSecurity>0</DocSecurity>
  <Lines>4</Lines>
  <Paragraphs>6</Paragraphs>
  <ScaleCrop>false</ScaleCrop>
  <Company>gq</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cp:revision>
  <dcterms:created xsi:type="dcterms:W3CDTF">2024-03-08T09:29:00Z</dcterms:created>
  <dcterms:modified xsi:type="dcterms:W3CDTF">2024-03-08T09:29:00Z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71C779D2F2A346C3810CA3974FF34362</vt:lpwstr>
  </property>
</Properties>
</file>