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6A781">
      <w:pPr>
        <w:spacing w:line="240" w:lineRule="auto"/>
        <w:ind w:firstLine="0"/>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高青县</w:t>
      </w:r>
      <w:r>
        <w:rPr>
          <w:rFonts w:hint="default" w:ascii="Times New Roman" w:hAnsi="Times New Roman" w:eastAsia="方正小标宋简体" w:cs="Times New Roman"/>
          <w:sz w:val="44"/>
          <w:szCs w:val="44"/>
          <w:highlight w:val="none"/>
          <w:lang w:eastAsia="zh-CN"/>
        </w:rPr>
        <w:t>人力资源和社会保障</w:t>
      </w:r>
      <w:r>
        <w:rPr>
          <w:rFonts w:hint="default" w:ascii="Times New Roman" w:hAnsi="Times New Roman" w:eastAsia="方正小标宋简体" w:cs="Times New Roman"/>
          <w:sz w:val="44"/>
          <w:szCs w:val="44"/>
          <w:highlight w:val="none"/>
        </w:rPr>
        <w:t>局</w:t>
      </w:r>
    </w:p>
    <w:p w14:paraId="F5763FC8">
      <w:pPr>
        <w:spacing w:line="240" w:lineRule="auto"/>
        <w:ind w:firstLine="0"/>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202</w:t>
      </w:r>
      <w:r>
        <w:rPr>
          <w:rFonts w:hint="default" w:ascii="Times New Roman" w:hAnsi="Times New Roman" w:eastAsia="方正小标宋简体" w:cs="Times New Roman"/>
          <w:sz w:val="44"/>
          <w:szCs w:val="44"/>
          <w:highlight w:val="none"/>
          <w:lang w:val="en-US" w:eastAsia="zh-CN"/>
        </w:rPr>
        <w:t>5</w:t>
      </w:r>
      <w:r>
        <w:rPr>
          <w:rFonts w:hint="default" w:ascii="Times New Roman" w:hAnsi="Times New Roman" w:eastAsia="方正小标宋简体" w:cs="Times New Roman"/>
          <w:sz w:val="44"/>
          <w:szCs w:val="44"/>
          <w:highlight w:val="none"/>
        </w:rPr>
        <w:t>年政府信息公开工作年度报告</w:t>
      </w:r>
    </w:p>
    <w:p w14:paraId="418D70BC">
      <w:pPr>
        <w:spacing w:line="240" w:lineRule="auto"/>
        <w:ind w:firstLine="0"/>
        <w:jc w:val="center"/>
        <w:rPr>
          <w:rFonts w:hint="default" w:ascii="Times New Roman" w:hAnsi="Times New Roman" w:eastAsia="方正小标宋简体" w:cs="Times New Roman"/>
          <w:sz w:val="44"/>
          <w:szCs w:val="44"/>
          <w:highlight w:val="none"/>
        </w:rPr>
      </w:pPr>
    </w:p>
    <w:p w14:paraId="9790A4CD">
      <w:pPr>
        <w:keepNext w:val="0"/>
        <w:keepLines w:val="0"/>
        <w:pageBreakBefore w:val="0"/>
        <w:kinsoku/>
        <w:wordWrap/>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本报告根据《中华人民共和国政府信息公开条例》（国务院令第711号，以下简称《条例》）</w:t>
      </w:r>
      <w:r>
        <w:rPr>
          <w:rFonts w:hint="default" w:ascii="Times New Roman" w:hAnsi="Times New Roman" w:eastAsia="仿宋_GB2312" w:cs="Times New Roman"/>
          <w:szCs w:val="32"/>
          <w:highlight w:val="none"/>
        </w:rPr>
        <w:t>和《国务院办公厅政府信息与政务公开办公室关于印发&lt;中华人民共和国政府信息公开工作年度报告格式&gt;的通知》（国办公开办函〔2021〕30号）相关要求编制</w:t>
      </w:r>
      <w:r>
        <w:rPr>
          <w:rFonts w:hint="default" w:ascii="Times New Roman" w:hAnsi="Times New Roman" w:eastAsia="仿宋_GB2312" w:cs="Times New Roman"/>
          <w:highlight w:val="none"/>
        </w:rPr>
        <w:t>。报告全文分总体情况、主动公开政府信息情况、收到和处理政府信息公开申请情况、政府信息公开行政复议和行政诉讼情况、存在的主要问题及改进情况、其他需要报告的事项六个部分。</w:t>
      </w:r>
    </w:p>
    <w:p w14:paraId="65E39D1F">
      <w:pPr>
        <w:keepNext w:val="0"/>
        <w:keepLines w:val="0"/>
        <w:pageBreakBefore w:val="0"/>
        <w:widowControl/>
        <w:suppressLineNumbers w:val="0"/>
        <w:kinsoku/>
        <w:wordWrap/>
        <w:overflowPunct/>
        <w:topLinePunct w:val="0"/>
        <w:autoSpaceDE w:val="0"/>
        <w:autoSpaceDN w:val="0"/>
        <w:bidi w:val="0"/>
        <w:adjustRightInd/>
        <w:snapToGrid w:val="0"/>
        <w:spacing w:line="560" w:lineRule="exact"/>
        <w:jc w:val="left"/>
        <w:textAlignment w:val="auto"/>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rPr>
        <w:t>报告中所列数据统计期限自202</w:t>
      </w:r>
      <w:r>
        <w:rPr>
          <w:rFonts w:hint="default" w:ascii="Times New Roman" w:hAnsi="Times New Roman" w:eastAsia="仿宋_GB2312" w:cs="Times New Roman"/>
          <w:highlight w:val="none"/>
          <w:lang w:val="en-US" w:eastAsia="zh-CN"/>
        </w:rPr>
        <w:t>5</w:t>
      </w:r>
      <w:r>
        <w:rPr>
          <w:rFonts w:hint="default" w:ascii="Times New Roman" w:hAnsi="Times New Roman" w:eastAsia="仿宋_GB2312" w:cs="Times New Roman"/>
          <w:highlight w:val="none"/>
        </w:rPr>
        <w:t>年1月1日始，至202</w:t>
      </w:r>
      <w:r>
        <w:rPr>
          <w:rFonts w:hint="default" w:ascii="Times New Roman" w:hAnsi="Times New Roman" w:eastAsia="仿宋_GB2312" w:cs="Times New Roman"/>
          <w:highlight w:val="none"/>
          <w:lang w:val="en-US" w:eastAsia="zh-CN"/>
        </w:rPr>
        <w:t>5</w:t>
      </w:r>
      <w:r>
        <w:rPr>
          <w:rFonts w:hint="default" w:ascii="Times New Roman" w:hAnsi="Times New Roman" w:eastAsia="仿宋_GB2312" w:cs="Times New Roman"/>
          <w:highlight w:val="none"/>
        </w:rPr>
        <w:t>年12月31日止。报告电子版可在高青县人民政府门户网站（www.gaoqing.gov.cn）查阅和下载。如对报告内容有疑问，请与</w:t>
      </w:r>
      <w:r>
        <w:rPr>
          <w:rFonts w:hint="default" w:ascii="Times New Roman" w:hAnsi="Times New Roman" w:eastAsia="仿宋_GB2312" w:cs="Times New Roman"/>
          <w:highlight w:val="none"/>
          <w:lang w:val="en-US" w:eastAsia="zh-CN"/>
        </w:rPr>
        <w:t>高青县人力资源和社会保障局</w:t>
      </w:r>
      <w:r>
        <w:rPr>
          <w:rFonts w:hint="default" w:ascii="Times New Roman" w:hAnsi="Times New Roman" w:eastAsia="仿宋_GB2312" w:cs="Times New Roman"/>
          <w:highlight w:val="none"/>
        </w:rPr>
        <w:t>办公室联系（地址：</w:t>
      </w:r>
      <w:r>
        <w:rPr>
          <w:rFonts w:hint="default" w:ascii="Times New Roman" w:hAnsi="Times New Roman" w:eastAsia="仿宋_GB2312" w:cs="Times New Roman"/>
          <w:highlight w:val="none"/>
          <w:lang w:val="en-US" w:eastAsia="zh-CN"/>
        </w:rPr>
        <w:t>山东省淄博市高青县高苑东路9号；邮编：256300；电话：0533-6961247；传真：0533-6961247；邮箱：gqxrsjbgs@zb.shandong.cn）</w:t>
      </w:r>
      <w:r>
        <w:rPr>
          <w:rFonts w:hint="default" w:ascii="Times New Roman" w:hAnsi="Times New Roman" w:eastAsia="仿宋_GB2312" w:cs="Times New Roman"/>
          <w:highlight w:val="none"/>
        </w:rPr>
        <w:t>。</w:t>
      </w:r>
    </w:p>
    <w:p w14:paraId="4618B988">
      <w:pPr>
        <w:keepNext w:val="0"/>
        <w:keepLines w:val="0"/>
        <w:pageBreakBefore w:val="0"/>
        <w:kinsoku/>
        <w:wordWrap/>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一、总体情况</w:t>
      </w:r>
    </w:p>
    <w:p w14:paraId="905BDE48">
      <w:pPr>
        <w:keepNext w:val="0"/>
        <w:keepLines w:val="0"/>
        <w:pageBreakBefore w:val="0"/>
        <w:kinsoku/>
        <w:wordWrap/>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szCs w:val="32"/>
          <w:highlight w:val="none"/>
        </w:rPr>
        <w:t>202</w:t>
      </w:r>
      <w:r>
        <w:rPr>
          <w:rFonts w:hint="default" w:ascii="Times New Roman" w:hAnsi="Times New Roman" w:eastAsia="仿宋_GB2312" w:cs="Times New Roman"/>
          <w:szCs w:val="32"/>
          <w:highlight w:val="none"/>
          <w:lang w:val="en-US" w:eastAsia="zh-CN"/>
        </w:rPr>
        <w:t>5</w:t>
      </w:r>
      <w:r>
        <w:rPr>
          <w:rFonts w:hint="default" w:ascii="Times New Roman" w:hAnsi="Times New Roman" w:eastAsia="仿宋_GB2312" w:cs="Times New Roman"/>
          <w:szCs w:val="32"/>
          <w:highlight w:val="none"/>
        </w:rPr>
        <w:t>年，高青县</w:t>
      </w:r>
      <w:r>
        <w:rPr>
          <w:rFonts w:hint="default" w:ascii="Times New Roman" w:hAnsi="Times New Roman" w:eastAsia="仿宋_GB2312" w:cs="Times New Roman"/>
          <w:highlight w:val="none"/>
          <w:lang w:val="en-US" w:eastAsia="zh-CN"/>
        </w:rPr>
        <w:t>人力资源和社会保障局</w:t>
      </w:r>
      <w:r>
        <w:rPr>
          <w:rFonts w:hint="default" w:ascii="Times New Roman" w:hAnsi="Times New Roman" w:eastAsia="仿宋_GB2312" w:cs="Times New Roman"/>
          <w:szCs w:val="32"/>
          <w:highlight w:val="none"/>
        </w:rPr>
        <w:t>坚持以习近平新时代中国特色社会主义思想为指导，认真落实国家和省市县政务公开工作部署，</w:t>
      </w:r>
      <w:r>
        <w:rPr>
          <w:rFonts w:hint="default" w:ascii="Times New Roman" w:hAnsi="Times New Roman" w:eastAsia="仿宋_GB2312" w:cs="Times New Roman"/>
          <w:kern w:val="0"/>
          <w:sz w:val="32"/>
          <w:szCs w:val="32"/>
          <w:highlight w:val="none"/>
          <w:lang w:val="en-US" w:eastAsia="zh-CN"/>
        </w:rPr>
        <w:t>紧扣人社领域核心职能，不断提升政务服务的公开度与公众信任度。</w:t>
      </w:r>
    </w:p>
    <w:p w14:paraId="CCB53DC3">
      <w:pPr>
        <w:keepNext w:val="0"/>
        <w:keepLines w:val="0"/>
        <w:pageBreakBefore w:val="0"/>
        <w:kinsoku/>
        <w:wordWrap/>
        <w:overflowPunct/>
        <w:topLinePunct w:val="0"/>
        <w:autoSpaceDE w:val="0"/>
        <w:autoSpaceDN w:val="0"/>
        <w:bidi w:val="0"/>
        <w:adjustRightInd/>
        <w:snapToGrid w:val="0"/>
        <w:spacing w:line="560" w:lineRule="exact"/>
        <w:jc w:val="left"/>
        <w:textAlignment w:val="auto"/>
        <w:rPr>
          <w:rFonts w:hint="default" w:ascii="Times New Roman" w:hAnsi="Times New Roman" w:eastAsia="楷体_GB2312" w:cs="Times New Roman"/>
          <w:highlight w:val="none"/>
        </w:rPr>
      </w:pPr>
    </w:p>
    <w:p w14:paraId="CFA046FF">
      <w:pPr>
        <w:keepNext w:val="0"/>
        <w:keepLines w:val="0"/>
        <w:pageBreakBefore w:val="0"/>
        <w:kinsoku/>
        <w:wordWrap/>
        <w:overflowPunct/>
        <w:topLinePunct w:val="0"/>
        <w:autoSpaceDE w:val="0"/>
        <w:autoSpaceDN w:val="0"/>
        <w:bidi w:val="0"/>
        <w:adjustRightInd/>
        <w:snapToGrid w:val="0"/>
        <w:spacing w:line="560" w:lineRule="exact"/>
        <w:jc w:val="left"/>
        <w:textAlignment w:val="auto"/>
        <w:rPr>
          <w:rFonts w:hint="default" w:ascii="Times New Roman" w:hAnsi="Times New Roman" w:eastAsia="楷体_GB2312" w:cs="Times New Roman"/>
          <w:highlight w:val="none"/>
        </w:rPr>
      </w:pPr>
    </w:p>
    <w:p w14:paraId="091A0BCF">
      <w:pPr>
        <w:keepNext w:val="0"/>
        <w:keepLines w:val="0"/>
        <w:pageBreakBefore w:val="0"/>
        <w:kinsoku/>
        <w:wordWrap/>
        <w:overflowPunct/>
        <w:topLinePunct w:val="0"/>
        <w:autoSpaceDE w:val="0"/>
        <w:autoSpaceDN w:val="0"/>
        <w:bidi w:val="0"/>
        <w:adjustRightInd/>
        <w:snapToGrid w:val="0"/>
        <w:spacing w:line="560" w:lineRule="exact"/>
        <w:jc w:val="left"/>
        <w:textAlignment w:val="auto"/>
        <w:rPr>
          <w:rFonts w:hint="default" w:ascii="Times New Roman" w:hAnsi="Times New Roman" w:eastAsia="楷体_GB2312" w:cs="Times New Roman"/>
          <w:highlight w:val="none"/>
        </w:rPr>
      </w:pPr>
      <w:r>
        <w:rPr>
          <w:rFonts w:hint="default" w:ascii="Times New Roman" w:hAnsi="Times New Roman" w:eastAsia="楷体_GB2312" w:cs="Times New Roman"/>
          <w:highlight w:val="none"/>
        </w:rPr>
        <w:t>（一）主动公开</w:t>
      </w:r>
    </w:p>
    <w:p w14:paraId="67685894">
      <w:pPr>
        <w:keepNext w:val="0"/>
        <w:keepLines w:val="0"/>
        <w:pageBreakBefore w:val="0"/>
        <w:widowControl/>
        <w:suppressLineNumbers w:val="0"/>
        <w:kinsoku/>
        <w:wordWrap/>
        <w:overflowPunct/>
        <w:topLinePunct w:val="0"/>
        <w:autoSpaceDE w:val="0"/>
        <w:autoSpaceDN w:val="0"/>
        <w:bidi w:val="0"/>
        <w:adjustRightInd/>
        <w:snapToGrid w:val="0"/>
        <w:spacing w:line="560" w:lineRule="exact"/>
        <w:jc w:val="left"/>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坚持“加强政务公开工作，推进服务型政府建设”的原则，制定《高青县人力资源和社会保障局2025年政务公开工作实施方案》，按既定时间节点有序推进信息公开工作。聚焦群众关切的热点民生问题，每季度定期公示养老、工伤、失业三大保险运行情况，每月精准发布企业招聘岗位、高校毕业生专项招聘、就业困难人员专场招聘会、失业人员再就业招聘会等就业服务信息，及时对外公开一次性扩岗补助发放详情、最低工资标准等关键政策信息，同步规范公开事业单位公开招聘相关事宜。2025年全年主动公开各类信息511条，相较于2024年增加11条。扎实开展政策解读工作，通过生动案例剖析、直白语言阐释等方式，解读提前退休、社保缴费基数调整、失业保险申领条件等群众关注度高的政策内容。强化政民互动交流，全年共回复政府信箱群众留言27件，答复率达100%。</w:t>
      </w:r>
    </w:p>
    <w:p w14:paraId="56508CCD">
      <w:pPr>
        <w:keepNext w:val="0"/>
        <w:keepLines w:val="0"/>
        <w:pageBreakBefore w:val="0"/>
        <w:widowControl/>
        <w:suppressLineNumbers w:val="0"/>
        <w:kinsoku/>
        <w:wordWrap/>
        <w:overflowPunct/>
        <w:topLinePunct w:val="0"/>
        <w:autoSpaceDE w:val="0"/>
        <w:autoSpaceDN w:val="0"/>
        <w:bidi w:val="0"/>
        <w:adjustRightInd/>
        <w:snapToGrid w:val="0"/>
        <w:spacing w:line="560" w:lineRule="exact"/>
        <w:jc w:val="left"/>
        <w:textAlignment w:val="auto"/>
        <w:rPr>
          <w:rFonts w:ascii="楷体_GB2312" w:eastAsia="楷体_GB2312"/>
          <w:sz w:val="32"/>
          <w:szCs w:val="32"/>
          <w:highlight w:val="none"/>
        </w:rPr>
      </w:pPr>
      <w:r>
        <w:rPr>
          <w:rFonts w:hint="default" w:ascii="Times New Roman" w:hAnsi="Times New Roman" w:eastAsia="仿宋_GB2312" w:cs="Times New Roman"/>
          <w:highlight w:val="none"/>
          <w:lang w:val="en-US" w:eastAsia="zh-CN"/>
        </w:rPr>
        <w:drawing>
          <wp:anchor distT="0" distB="0" distL="0" distR="0" simplePos="0" relativeHeight="251659264" behindDoc="0" locked="0" layoutInCell="1" allowOverlap="1">
            <wp:simplePos x="0" y="0"/>
            <wp:positionH relativeFrom="column">
              <wp:posOffset>591820</wp:posOffset>
            </wp:positionH>
            <wp:positionV relativeFrom="paragraph">
              <wp:posOffset>127635</wp:posOffset>
            </wp:positionV>
            <wp:extent cx="4641215" cy="2573655"/>
            <wp:effectExtent l="0" t="0" r="0" b="0"/>
            <wp:wrapTopAndBottom/>
            <wp:docPr id="102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3B04E795">
      <w:pPr>
        <w:spacing w:line="560" w:lineRule="exact"/>
        <w:ind w:firstLine="640" w:firstLineChars="200"/>
        <w:rPr>
          <w:rFonts w:hint="eastAsia" w:ascii="仿宋_GB2312" w:eastAsia="仿宋_GB2312"/>
          <w:b/>
          <w:bCs/>
          <w:color w:val="FF0000"/>
          <w:sz w:val="32"/>
          <w:szCs w:val="32"/>
          <w:highlight w:val="none"/>
          <w:lang w:eastAsia="zh-CN"/>
        </w:rPr>
      </w:pPr>
      <w:r>
        <w:rPr>
          <w:rFonts w:hint="eastAsia" w:ascii="楷体_GB2312" w:eastAsia="楷体_GB2312"/>
          <w:sz w:val="32"/>
          <w:szCs w:val="32"/>
          <w:highlight w:val="none"/>
        </w:rPr>
        <w:t>（二）依申请公开</w:t>
      </w:r>
    </w:p>
    <w:p w14:paraId="89C8D2CF">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聚焦政府信息公开申请办理的规范化与高效化，</w:t>
      </w:r>
      <w:r>
        <w:rPr>
          <w:rFonts w:hint="default" w:ascii="仿宋_GB2312" w:eastAsia="仿宋_GB2312"/>
          <w:sz w:val="32"/>
          <w:szCs w:val="32"/>
          <w:highlight w:val="none"/>
          <w:lang w:val="en-US" w:eastAsia="zh-CN"/>
        </w:rPr>
        <w:t>强化内部协同与责任落实，指定专人负责申请登记与分流，并建立</w:t>
      </w:r>
      <w:r>
        <w:rPr>
          <w:rFonts w:hint="eastAsia" w:ascii="仿宋_GB2312" w:eastAsia="仿宋_GB2312"/>
          <w:sz w:val="32"/>
          <w:szCs w:val="32"/>
          <w:highlight w:val="none"/>
          <w:lang w:val="en-US" w:eastAsia="zh-CN"/>
        </w:rPr>
        <w:t>科</w:t>
      </w:r>
      <w:r>
        <w:rPr>
          <w:rFonts w:hint="default" w:ascii="仿宋_GB2312" w:eastAsia="仿宋_GB2312"/>
          <w:sz w:val="32"/>
          <w:szCs w:val="32"/>
          <w:highlight w:val="none"/>
          <w:lang w:val="en-US" w:eastAsia="zh-CN"/>
        </w:rPr>
        <w:t>室间联动办理机制，提升处理效率与准确性。</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年未收到政府信息公开申请，上年度结转0件。依申请公开政府信息未收取任何费用。未因政府信息公开被申请行政复议、提起行政诉讼</w:t>
      </w:r>
      <w:r>
        <w:rPr>
          <w:rFonts w:hint="eastAsia" w:ascii="仿宋_GB2312" w:eastAsia="仿宋_GB2312"/>
          <w:sz w:val="32"/>
          <w:szCs w:val="32"/>
          <w:lang w:eastAsia="zh-CN"/>
        </w:rPr>
        <w:t>。</w:t>
      </w:r>
    </w:p>
    <w:p w14:paraId="308EBD03">
      <w:pPr>
        <w:keepNext w:val="0"/>
        <w:keepLines w:val="0"/>
        <w:pageBreakBefore w:val="0"/>
        <w:kinsoku/>
        <w:wordWrap/>
        <w:overflowPunct/>
        <w:topLinePunct w:val="0"/>
        <w:autoSpaceDE w:val="0"/>
        <w:autoSpaceDN w:val="0"/>
        <w:bidi w:val="0"/>
        <w:adjustRightInd/>
        <w:snapToGrid w:val="0"/>
        <w:spacing w:line="560" w:lineRule="exact"/>
        <w:jc w:val="left"/>
        <w:textAlignment w:val="auto"/>
        <w:rPr>
          <w:rFonts w:hint="default" w:ascii="Times New Roman" w:hAnsi="Times New Roman" w:eastAsia="楷体_GB2312" w:cs="Times New Roman"/>
          <w:highlight w:val="none"/>
        </w:rPr>
      </w:pPr>
      <w:r>
        <w:rPr>
          <w:rFonts w:hint="default" w:ascii="Times New Roman" w:hAnsi="Times New Roman" w:eastAsia="楷体_GB2312" w:cs="Times New Roman"/>
          <w:highlight w:val="none"/>
        </w:rPr>
        <w:t>（</w:t>
      </w:r>
      <w:r>
        <w:rPr>
          <w:rFonts w:hint="eastAsia" w:eastAsia="楷体_GB2312" w:cs="Times New Roman"/>
          <w:highlight w:val="none"/>
          <w:lang w:eastAsia="zh-CN"/>
        </w:rPr>
        <w:t>三</w:t>
      </w:r>
      <w:r>
        <w:rPr>
          <w:rFonts w:hint="default" w:ascii="Times New Roman" w:hAnsi="Times New Roman" w:eastAsia="楷体_GB2312" w:cs="Times New Roman"/>
          <w:highlight w:val="none"/>
        </w:rPr>
        <w:t>）政府信息管理</w:t>
      </w:r>
    </w:p>
    <w:p w14:paraId="8392C031">
      <w:pPr>
        <w:keepNext w:val="0"/>
        <w:keepLines w:val="0"/>
        <w:pageBreakBefore w:val="0"/>
        <w:kinsoku/>
        <w:wordWrap/>
        <w:overflowPunct/>
        <w:topLinePunct w:val="0"/>
        <w:autoSpaceDE w:val="0"/>
        <w:autoSpaceDN w:val="0"/>
        <w:bidi w:val="0"/>
        <w:adjustRightInd/>
        <w:snapToGrid w:val="0"/>
        <w:spacing w:line="560" w:lineRule="exact"/>
        <w:jc w:val="left"/>
        <w:textAlignment w:val="auto"/>
        <w:rPr>
          <w:rFonts w:hint="eastAsia" w:ascii="Times New Roman" w:hAnsi="Times New Roman" w:eastAsia="仿宋_GB2312" w:cs="Times New Roman"/>
          <w:highlight w:val="none"/>
          <w:lang w:eastAsia="zh-CN"/>
        </w:rPr>
      </w:pPr>
      <w:r>
        <w:rPr>
          <w:rFonts w:hint="default" w:ascii="Times New Roman" w:hAnsi="Times New Roman" w:eastAsia="仿宋_GB2312" w:cs="Times New Roman"/>
          <w:highlight w:val="none"/>
        </w:rPr>
        <w:t>严格遵循政府信息全生命周期管理规范，及时对各类相关信息进行更新、修订与优化，对已过有效期的政府信息按法定程序开展清理工作。健全完善严格的信息公开审核机制，对政务公开的全过程操作进行标准化规范。</w:t>
      </w:r>
      <w:r>
        <w:rPr>
          <w:rFonts w:hint="default" w:ascii="Times New Roman" w:hAnsi="Times New Roman" w:eastAsia="仿宋_GB2312" w:cs="Times New Roman"/>
          <w:highlight w:val="none"/>
          <w:lang w:val="en-US" w:eastAsia="zh-CN"/>
        </w:rPr>
        <w:t>2025</w:t>
      </w:r>
      <w:r>
        <w:rPr>
          <w:rFonts w:hint="default" w:ascii="Times New Roman" w:hAnsi="Times New Roman" w:eastAsia="仿宋_GB2312" w:cs="Times New Roman"/>
          <w:highlight w:val="none"/>
        </w:rPr>
        <w:t>年</w:t>
      </w:r>
      <w:r>
        <w:rPr>
          <w:rFonts w:hint="default" w:ascii="Times New Roman" w:hAnsi="Times New Roman" w:eastAsia="仿宋_GB2312" w:cs="Times New Roman"/>
          <w:highlight w:val="none"/>
          <w:lang w:eastAsia="zh-CN"/>
        </w:rPr>
        <w:t>度，</w:t>
      </w:r>
      <w:r>
        <w:rPr>
          <w:rFonts w:hint="default" w:ascii="Times New Roman" w:hAnsi="Times New Roman" w:eastAsia="仿宋_GB2312" w:cs="Times New Roman"/>
          <w:highlight w:val="none"/>
        </w:rPr>
        <w:t>严格遵守保密管理相关条例，未发生因信息公开引发的泄密事件</w:t>
      </w:r>
      <w:r>
        <w:rPr>
          <w:rFonts w:hint="eastAsia" w:eastAsia="仿宋_GB2312" w:cs="Times New Roman"/>
          <w:highlight w:val="none"/>
          <w:lang w:eastAsia="zh-CN"/>
        </w:rPr>
        <w:t>。</w:t>
      </w:r>
      <w:bookmarkStart w:id="0" w:name="_GoBack"/>
      <w:bookmarkEnd w:id="0"/>
    </w:p>
    <w:p w14:paraId="F2DF229D">
      <w:pPr>
        <w:keepNext w:val="0"/>
        <w:keepLines w:val="0"/>
        <w:pageBreakBefore w:val="0"/>
        <w:kinsoku/>
        <w:wordWrap/>
        <w:overflowPunct/>
        <w:topLinePunct w:val="0"/>
        <w:autoSpaceDE w:val="0"/>
        <w:autoSpaceDN w:val="0"/>
        <w:bidi w:val="0"/>
        <w:adjustRightInd/>
        <w:snapToGrid w:val="0"/>
        <w:spacing w:line="560" w:lineRule="exact"/>
        <w:jc w:val="left"/>
        <w:textAlignment w:val="auto"/>
        <w:rPr>
          <w:rFonts w:hint="default" w:ascii="Times New Roman" w:hAnsi="Times New Roman" w:eastAsia="楷体_GB2312" w:cs="Times New Roman"/>
          <w:highlight w:val="none"/>
        </w:rPr>
      </w:pPr>
      <w:r>
        <w:rPr>
          <w:rFonts w:hint="default" w:ascii="Times New Roman" w:hAnsi="Times New Roman" w:eastAsia="楷体_GB2312" w:cs="Times New Roman"/>
          <w:highlight w:val="none"/>
        </w:rPr>
        <w:t>（</w:t>
      </w:r>
      <w:r>
        <w:rPr>
          <w:rFonts w:hint="eastAsia" w:eastAsia="楷体_GB2312" w:cs="Times New Roman"/>
          <w:highlight w:val="none"/>
          <w:lang w:eastAsia="zh-CN"/>
        </w:rPr>
        <w:t>四</w:t>
      </w:r>
      <w:r>
        <w:rPr>
          <w:rFonts w:hint="default" w:ascii="Times New Roman" w:hAnsi="Times New Roman" w:eastAsia="楷体_GB2312" w:cs="Times New Roman"/>
          <w:highlight w:val="none"/>
        </w:rPr>
        <w:t>）政府信息公开平台建设</w:t>
      </w:r>
    </w:p>
    <w:p w14:paraId="73511A9E">
      <w:pPr>
        <w:keepNext w:val="0"/>
        <w:keepLines w:val="0"/>
        <w:pageBreakBefore w:val="0"/>
        <w:kinsoku/>
        <w:wordWrap/>
        <w:overflowPunct/>
        <w:topLinePunct w:val="0"/>
        <w:autoSpaceDE w:val="0"/>
        <w:autoSpaceDN w:val="0"/>
        <w:bidi w:val="0"/>
        <w:adjustRightInd/>
        <w:snapToGrid w:val="0"/>
        <w:spacing w:line="560" w:lineRule="exact"/>
        <w:jc w:val="left"/>
        <w:textAlignment w:val="auto"/>
        <w:rPr>
          <w:rFonts w:hint="eastAsia"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在</w:t>
      </w:r>
      <w:r>
        <w:rPr>
          <w:rFonts w:hint="default" w:ascii="Times New Roman" w:hAnsi="Times New Roman" w:eastAsia="仿宋_GB2312" w:cs="Times New Roman"/>
          <w:highlight w:val="none"/>
        </w:rPr>
        <w:t>县政府门户网站新增“政府开放日”专属栏目，为公众了解人社工作搭建新窗口。充分发挥政务新媒体传播优势，在“最高青”客户端及时推送最新通知公告、工作动态及业务开展情况</w:t>
      </w:r>
      <w:r>
        <w:rPr>
          <w:rFonts w:hint="eastAsia" w:eastAsia="仿宋_GB2312" w:cs="Times New Roman"/>
          <w:highlight w:val="none"/>
          <w:lang w:eastAsia="zh-CN"/>
        </w:rPr>
        <w:t>。</w:t>
      </w:r>
    </w:p>
    <w:p w14:paraId="55F80FF6">
      <w:pPr>
        <w:keepNext w:val="0"/>
        <w:keepLines w:val="0"/>
        <w:pageBreakBefore w:val="0"/>
        <w:kinsoku/>
        <w:wordWrap/>
        <w:overflowPunct/>
        <w:topLinePunct w:val="0"/>
        <w:autoSpaceDE w:val="0"/>
        <w:autoSpaceDN w:val="0"/>
        <w:bidi w:val="0"/>
        <w:adjustRightInd/>
        <w:snapToGrid w:val="0"/>
        <w:spacing w:line="560" w:lineRule="exact"/>
        <w:jc w:val="left"/>
        <w:textAlignment w:val="auto"/>
        <w:rPr>
          <w:rFonts w:hint="default" w:ascii="Times New Roman" w:hAnsi="Times New Roman" w:eastAsia="楷体_GB2312" w:cs="Times New Roman"/>
          <w:highlight w:val="none"/>
        </w:rPr>
      </w:pPr>
      <w:r>
        <w:rPr>
          <w:rFonts w:hint="default" w:ascii="Times New Roman" w:hAnsi="Times New Roman" w:eastAsia="楷体_GB2312" w:cs="Times New Roman"/>
          <w:highlight w:val="none"/>
        </w:rPr>
        <w:t>（</w:t>
      </w:r>
      <w:r>
        <w:rPr>
          <w:rFonts w:hint="eastAsia" w:eastAsia="楷体_GB2312" w:cs="Times New Roman"/>
          <w:highlight w:val="none"/>
          <w:lang w:eastAsia="zh-CN"/>
        </w:rPr>
        <w:t>五</w:t>
      </w:r>
      <w:r>
        <w:rPr>
          <w:rFonts w:hint="default" w:ascii="Times New Roman" w:hAnsi="Times New Roman" w:eastAsia="楷体_GB2312" w:cs="Times New Roman"/>
          <w:highlight w:val="none"/>
        </w:rPr>
        <w:t>）监督保障</w:t>
      </w:r>
    </w:p>
    <w:p w14:paraId="F43F245B">
      <w:pPr>
        <w:keepNext w:val="0"/>
        <w:keepLines w:val="0"/>
        <w:pageBreakBefore w:val="0"/>
        <w:kinsoku/>
        <w:wordWrap/>
        <w:overflowPunct/>
        <w:topLinePunct w:val="0"/>
        <w:autoSpaceDE w:val="0"/>
        <w:autoSpaceDN w:val="0"/>
        <w:bidi w:val="0"/>
        <w:adjustRightInd/>
        <w:snapToGrid w:val="0"/>
        <w:spacing w:line="560" w:lineRule="exact"/>
        <w:jc w:val="left"/>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不断健全政务公开监督保障机制，</w:t>
      </w:r>
      <w:r>
        <w:rPr>
          <w:rFonts w:hint="default" w:ascii="Times New Roman" w:hAnsi="Times New Roman" w:eastAsia="仿宋_GB2312" w:cs="Times New Roman"/>
          <w:highlight w:val="none"/>
          <w:lang w:val="en-US" w:eastAsia="zh-CN"/>
        </w:rPr>
        <w:t>局</w:t>
      </w:r>
      <w:r>
        <w:rPr>
          <w:rFonts w:hint="default" w:ascii="Times New Roman" w:hAnsi="Times New Roman" w:eastAsia="仿宋_GB2312" w:cs="Times New Roman"/>
          <w:highlight w:val="none"/>
        </w:rPr>
        <w:t>办公室牵头统筹协调，并配备2名专</w:t>
      </w:r>
      <w:r>
        <w:rPr>
          <w:rFonts w:hint="eastAsia" w:eastAsia="仿宋_GB2312" w:cs="Times New Roman"/>
          <w:highlight w:val="none"/>
          <w:lang w:val="en-US" w:eastAsia="zh-CN"/>
        </w:rPr>
        <w:t>职</w:t>
      </w:r>
      <w:r>
        <w:rPr>
          <w:rFonts w:hint="default" w:ascii="Times New Roman" w:hAnsi="Times New Roman" w:eastAsia="仿宋_GB2312" w:cs="Times New Roman"/>
          <w:highlight w:val="none"/>
        </w:rPr>
        <w:t>工作人员</w:t>
      </w:r>
      <w:r>
        <w:rPr>
          <w:rFonts w:hint="eastAsia" w:eastAsia="仿宋_GB2312" w:cs="Times New Roman"/>
          <w:highlight w:val="none"/>
          <w:lang w:val="en-US" w:eastAsia="zh-CN"/>
        </w:rPr>
        <w:t>负责公开工作</w:t>
      </w:r>
      <w:r>
        <w:rPr>
          <w:rFonts w:hint="default" w:ascii="Times New Roman" w:hAnsi="Times New Roman" w:eastAsia="仿宋_GB2312" w:cs="Times New Roman"/>
          <w:highlight w:val="none"/>
        </w:rPr>
        <w:t>。2025年度，依托青蓝人社学习小组组织开展政务公开专题培训活动4次，着力提升</w:t>
      </w:r>
      <w:r>
        <w:rPr>
          <w:rFonts w:hint="default" w:ascii="Times New Roman" w:hAnsi="Times New Roman" w:eastAsia="仿宋_GB2312" w:cs="Times New Roman"/>
          <w:highlight w:val="none"/>
          <w:lang w:val="en-US" w:eastAsia="zh-CN"/>
        </w:rPr>
        <w:t>机关</w:t>
      </w:r>
      <w:r>
        <w:rPr>
          <w:rFonts w:hint="default" w:ascii="Times New Roman" w:hAnsi="Times New Roman" w:eastAsia="仿宋_GB2312" w:cs="Times New Roman"/>
          <w:highlight w:val="none"/>
        </w:rPr>
        <w:t>各科室、</w:t>
      </w:r>
      <w:r>
        <w:rPr>
          <w:rFonts w:hint="default" w:ascii="Times New Roman" w:hAnsi="Times New Roman" w:eastAsia="仿宋_GB2312" w:cs="Times New Roman"/>
          <w:highlight w:val="none"/>
          <w:lang w:val="en-US" w:eastAsia="zh-CN"/>
        </w:rPr>
        <w:t>局属</w:t>
      </w:r>
      <w:r>
        <w:rPr>
          <w:rFonts w:hint="default" w:ascii="Times New Roman" w:hAnsi="Times New Roman" w:eastAsia="仿宋_GB2312" w:cs="Times New Roman"/>
          <w:highlight w:val="none"/>
        </w:rPr>
        <w:t>单位业务人员的专业素养与实操能力。</w:t>
      </w:r>
    </w:p>
    <w:p w14:paraId="4D7E45FF">
      <w:pPr>
        <w:keepNext w:val="0"/>
        <w:keepLines w:val="0"/>
        <w:pageBreakBefore w:val="0"/>
        <w:kinsoku/>
        <w:wordWrap/>
        <w:overflowPunct/>
        <w:topLinePunct w:val="0"/>
        <w:autoSpaceDE w:val="0"/>
        <w:autoSpaceDN w:val="0"/>
        <w:bidi w:val="0"/>
        <w:adjustRightInd/>
        <w:snapToGrid w:val="0"/>
        <w:spacing w:line="560" w:lineRule="exact"/>
        <w:jc w:val="left"/>
        <w:textAlignment w:val="auto"/>
        <w:rPr>
          <w:rFonts w:hint="default" w:ascii="Times New Roman" w:hAnsi="Times New Roman" w:eastAsia="仿宋_GB2312" w:cs="Times New Roman"/>
          <w:highlight w:val="none"/>
        </w:rPr>
      </w:pPr>
    </w:p>
    <w:p w14:paraId="07AD6F8F">
      <w:pPr>
        <w:keepNext w:val="0"/>
        <w:keepLines w:val="0"/>
        <w:pageBreakBefore w:val="0"/>
        <w:kinsoku/>
        <w:wordWrap/>
        <w:overflowPunct/>
        <w:topLinePunct w:val="0"/>
        <w:autoSpaceDE w:val="0"/>
        <w:autoSpaceDN w:val="0"/>
        <w:bidi w:val="0"/>
        <w:adjustRightInd/>
        <w:snapToGrid w:val="0"/>
        <w:spacing w:line="560" w:lineRule="exact"/>
        <w:ind w:left="0" w:leftChars="0" w:firstLine="0" w:firstLineChars="0"/>
        <w:jc w:val="left"/>
        <w:textAlignment w:val="auto"/>
        <w:rPr>
          <w:rFonts w:hint="default" w:ascii="Times New Roman" w:hAnsi="Times New Roman" w:eastAsia="仿宋_GB2312" w:cs="Times New Roman"/>
          <w:highlight w:val="none"/>
        </w:rPr>
      </w:pPr>
    </w:p>
    <w:p w14:paraId="6614DF49">
      <w:pPr>
        <w:spacing w:after="156" w:afterLines="50" w:line="240" w:lineRule="auto"/>
        <w:ind w:firstLine="640" w:firstLineChars="200"/>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二、主动公开政府信息情况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2F8F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FD9CDA63">
            <w:pPr>
              <w:spacing w:line="240" w:lineRule="auto"/>
              <w:ind w:firstLine="0"/>
              <w:jc w:val="center"/>
              <w:rPr>
                <w:rFonts w:hint="default" w:ascii="Times New Roman" w:hAnsi="Times New Roman" w:eastAsia="黑体" w:cs="Times New Roman"/>
                <w:sz w:val="20"/>
                <w:highlight w:val="none"/>
              </w:rPr>
            </w:pPr>
            <w:r>
              <w:rPr>
                <w:rFonts w:hint="default" w:ascii="Times New Roman" w:hAnsi="Times New Roman" w:eastAsia="宋体" w:cs="Times New Roman"/>
                <w:snapToGrid/>
                <w:color w:val="000000"/>
                <w:sz w:val="20"/>
                <w:highlight w:val="none"/>
              </w:rPr>
              <w:t>第二十条第（一）项</w:t>
            </w:r>
          </w:p>
        </w:tc>
      </w:tr>
      <w:tr w14:paraId="76E7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2589" w:type="dxa"/>
            <w:vAlign w:val="center"/>
          </w:tcPr>
          <w:p w14:paraId="36F237DD">
            <w:pPr>
              <w:widowControl/>
              <w:autoSpaceDE/>
              <w:autoSpaceDN/>
              <w:snapToGrid/>
              <w:spacing w:line="240" w:lineRule="auto"/>
              <w:ind w:firstLine="0"/>
              <w:jc w:val="center"/>
              <w:rPr>
                <w:rFonts w:hint="default" w:ascii="Times New Roman" w:hAnsi="Times New Roman" w:eastAsia="宋体" w:cs="Times New Roman"/>
                <w:snapToGrid/>
                <w:color w:val="000000"/>
                <w:sz w:val="20"/>
                <w:highlight w:val="none"/>
              </w:rPr>
            </w:pPr>
            <w:r>
              <w:rPr>
                <w:rFonts w:hint="default" w:ascii="Times New Roman" w:hAnsi="Times New Roman" w:eastAsia="宋体" w:cs="Times New Roman"/>
                <w:snapToGrid/>
                <w:color w:val="000000"/>
                <w:sz w:val="20"/>
                <w:highlight w:val="none"/>
              </w:rPr>
              <w:t>信息内容</w:t>
            </w:r>
          </w:p>
        </w:tc>
        <w:tc>
          <w:tcPr>
            <w:tcW w:w="2130" w:type="dxa"/>
            <w:vAlign w:val="center"/>
          </w:tcPr>
          <w:p w14:paraId="208308B7">
            <w:pPr>
              <w:widowControl/>
              <w:autoSpaceDE/>
              <w:autoSpaceDN/>
              <w:snapToGrid/>
              <w:spacing w:line="240" w:lineRule="auto"/>
              <w:ind w:firstLine="0"/>
              <w:jc w:val="center"/>
              <w:rPr>
                <w:rFonts w:hint="default" w:ascii="Times New Roman" w:hAnsi="Times New Roman" w:eastAsia="宋体" w:cs="Times New Roman"/>
                <w:snapToGrid/>
                <w:sz w:val="20"/>
                <w:highlight w:val="none"/>
              </w:rPr>
            </w:pPr>
            <w:r>
              <w:rPr>
                <w:rFonts w:hint="default" w:ascii="Times New Roman" w:hAnsi="Times New Roman" w:eastAsia="宋体" w:cs="Times New Roman"/>
                <w:snapToGrid/>
                <w:color w:val="000000"/>
                <w:sz w:val="20"/>
                <w:highlight w:val="none"/>
              </w:rPr>
              <w:t>本年</w:t>
            </w:r>
            <w:r>
              <w:rPr>
                <w:rFonts w:hint="default" w:ascii="Times New Roman" w:hAnsi="Times New Roman" w:eastAsia="宋体" w:cs="Times New Roman"/>
                <w:snapToGrid/>
                <w:sz w:val="20"/>
                <w:highlight w:val="none"/>
              </w:rPr>
              <w:t>制发件数</w:t>
            </w:r>
          </w:p>
        </w:tc>
        <w:tc>
          <w:tcPr>
            <w:tcW w:w="2131" w:type="dxa"/>
            <w:vAlign w:val="center"/>
          </w:tcPr>
          <w:p w14:paraId="10B44952">
            <w:pPr>
              <w:widowControl/>
              <w:autoSpaceDE/>
              <w:autoSpaceDN/>
              <w:snapToGrid/>
              <w:spacing w:line="240" w:lineRule="auto"/>
              <w:ind w:firstLine="0"/>
              <w:jc w:val="center"/>
              <w:rPr>
                <w:rFonts w:hint="default" w:ascii="Times New Roman" w:hAnsi="Times New Roman" w:eastAsia="宋体" w:cs="Times New Roman"/>
                <w:snapToGrid/>
                <w:sz w:val="20"/>
                <w:highlight w:val="none"/>
              </w:rPr>
            </w:pPr>
            <w:r>
              <w:rPr>
                <w:rFonts w:hint="default" w:ascii="Times New Roman" w:hAnsi="Times New Roman" w:eastAsia="宋体" w:cs="Times New Roman"/>
                <w:snapToGrid/>
                <w:color w:val="000000"/>
                <w:sz w:val="20"/>
                <w:highlight w:val="none"/>
              </w:rPr>
              <w:t>本年废止件数</w:t>
            </w:r>
          </w:p>
        </w:tc>
        <w:tc>
          <w:tcPr>
            <w:tcW w:w="2131" w:type="dxa"/>
            <w:vAlign w:val="center"/>
          </w:tcPr>
          <w:p w14:paraId="97625D66">
            <w:pPr>
              <w:widowControl/>
              <w:autoSpaceDE/>
              <w:autoSpaceDN/>
              <w:snapToGrid/>
              <w:spacing w:line="240" w:lineRule="auto"/>
              <w:ind w:firstLine="0"/>
              <w:jc w:val="center"/>
              <w:rPr>
                <w:rFonts w:hint="default" w:ascii="Times New Roman" w:hAnsi="Times New Roman" w:eastAsia="宋体" w:cs="Times New Roman"/>
                <w:snapToGrid/>
                <w:sz w:val="20"/>
                <w:highlight w:val="none"/>
              </w:rPr>
            </w:pPr>
            <w:r>
              <w:rPr>
                <w:rFonts w:hint="default" w:ascii="Times New Roman" w:hAnsi="Times New Roman" w:eastAsia="宋体" w:cs="Times New Roman"/>
                <w:snapToGrid/>
                <w:color w:val="000000"/>
                <w:sz w:val="20"/>
                <w:highlight w:val="none"/>
              </w:rPr>
              <w:t>现行有效件</w:t>
            </w:r>
            <w:r>
              <w:rPr>
                <w:rFonts w:hint="default" w:ascii="Times New Roman" w:hAnsi="Times New Roman" w:eastAsia="宋体" w:cs="Times New Roman"/>
                <w:snapToGrid/>
                <w:sz w:val="20"/>
                <w:highlight w:val="none"/>
              </w:rPr>
              <w:t>数</w:t>
            </w:r>
          </w:p>
        </w:tc>
      </w:tr>
      <w:tr w14:paraId="AAAE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589" w:type="dxa"/>
            <w:vAlign w:val="center"/>
          </w:tcPr>
          <w:p w14:paraId="CD3DA3D2">
            <w:pPr>
              <w:widowControl/>
              <w:autoSpaceDE/>
              <w:autoSpaceDN/>
              <w:snapToGrid/>
              <w:spacing w:line="240" w:lineRule="auto"/>
              <w:ind w:firstLine="0"/>
              <w:rPr>
                <w:rFonts w:hint="default" w:ascii="Times New Roman" w:hAnsi="Times New Roman" w:eastAsia="宋体" w:cs="Times New Roman"/>
                <w:snapToGrid/>
                <w:color w:val="000000"/>
                <w:sz w:val="20"/>
                <w:highlight w:val="none"/>
              </w:rPr>
            </w:pPr>
            <w:r>
              <w:rPr>
                <w:rFonts w:hint="default" w:ascii="Times New Roman" w:hAnsi="Times New Roman" w:eastAsia="宋体" w:cs="Times New Roman"/>
                <w:snapToGrid/>
                <w:color w:val="000000"/>
                <w:sz w:val="20"/>
                <w:highlight w:val="none"/>
              </w:rPr>
              <w:t>规章</w:t>
            </w:r>
          </w:p>
        </w:tc>
        <w:tc>
          <w:tcPr>
            <w:tcW w:w="2130" w:type="dxa"/>
            <w:vAlign w:val="center"/>
          </w:tcPr>
          <w:p w14:paraId="EFE061AB">
            <w:pPr>
              <w:spacing w:line="240" w:lineRule="auto"/>
              <w:ind w:firstLine="0"/>
              <w:rPr>
                <w:rFonts w:hint="default" w:ascii="Times New Roman" w:hAnsi="Times New Roman" w:eastAsia="黑体" w:cs="Times New Roman"/>
                <w:sz w:val="20"/>
                <w:highlight w:val="none"/>
                <w:lang w:val="en-US" w:eastAsia="zh-CN"/>
              </w:rPr>
            </w:pPr>
            <w:r>
              <w:rPr>
                <w:rFonts w:hint="default" w:ascii="Times New Roman" w:hAnsi="Times New Roman" w:eastAsia="黑体" w:cs="Times New Roman"/>
                <w:sz w:val="20"/>
                <w:highlight w:val="none"/>
                <w:lang w:val="en-US" w:eastAsia="zh-CN"/>
              </w:rPr>
              <w:t>0</w:t>
            </w:r>
          </w:p>
        </w:tc>
        <w:tc>
          <w:tcPr>
            <w:tcW w:w="2131" w:type="dxa"/>
            <w:vAlign w:val="center"/>
          </w:tcPr>
          <w:p w14:paraId="0BF64798">
            <w:pPr>
              <w:spacing w:line="240" w:lineRule="auto"/>
              <w:ind w:firstLine="0"/>
              <w:rPr>
                <w:rFonts w:hint="default" w:ascii="Times New Roman" w:hAnsi="Times New Roman" w:eastAsia="黑体" w:cs="Times New Roman"/>
                <w:sz w:val="20"/>
                <w:highlight w:val="none"/>
                <w:lang w:val="en-US" w:eastAsia="zh-CN"/>
              </w:rPr>
            </w:pPr>
            <w:r>
              <w:rPr>
                <w:rFonts w:hint="default" w:ascii="Times New Roman" w:hAnsi="Times New Roman" w:eastAsia="黑体" w:cs="Times New Roman"/>
                <w:sz w:val="20"/>
                <w:highlight w:val="none"/>
                <w:lang w:val="en-US" w:eastAsia="zh-CN"/>
              </w:rPr>
              <w:t>0</w:t>
            </w:r>
          </w:p>
        </w:tc>
        <w:tc>
          <w:tcPr>
            <w:tcW w:w="2131" w:type="dxa"/>
            <w:vAlign w:val="center"/>
          </w:tcPr>
          <w:p w14:paraId="9DFF35FE">
            <w:pPr>
              <w:spacing w:line="240" w:lineRule="auto"/>
              <w:ind w:firstLine="0"/>
              <w:rPr>
                <w:rFonts w:hint="default" w:ascii="Times New Roman" w:hAnsi="Times New Roman" w:eastAsia="黑体" w:cs="Times New Roman"/>
                <w:sz w:val="20"/>
                <w:highlight w:val="none"/>
                <w:lang w:val="en-US" w:eastAsia="zh-CN"/>
              </w:rPr>
            </w:pPr>
            <w:r>
              <w:rPr>
                <w:rFonts w:hint="default" w:ascii="Times New Roman" w:hAnsi="Times New Roman" w:eastAsia="黑体" w:cs="Times New Roman"/>
                <w:sz w:val="20"/>
                <w:highlight w:val="none"/>
                <w:lang w:val="en-US" w:eastAsia="zh-CN"/>
              </w:rPr>
              <w:t>0</w:t>
            </w:r>
          </w:p>
        </w:tc>
      </w:tr>
      <w:tr w14:paraId="48D3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CB42E6A">
            <w:pPr>
              <w:widowControl/>
              <w:autoSpaceDE/>
              <w:autoSpaceDN/>
              <w:snapToGrid/>
              <w:spacing w:line="240" w:lineRule="auto"/>
              <w:ind w:firstLine="0"/>
              <w:rPr>
                <w:rFonts w:hint="default" w:ascii="Times New Roman" w:hAnsi="Times New Roman" w:eastAsia="宋体" w:cs="Times New Roman"/>
                <w:snapToGrid/>
                <w:color w:val="000000"/>
                <w:sz w:val="20"/>
                <w:highlight w:val="none"/>
              </w:rPr>
            </w:pPr>
            <w:r>
              <w:rPr>
                <w:rFonts w:hint="default" w:ascii="Times New Roman" w:hAnsi="Times New Roman" w:eastAsia="宋体" w:cs="Times New Roman"/>
                <w:snapToGrid/>
                <w:color w:val="000000"/>
                <w:sz w:val="20"/>
                <w:highlight w:val="none"/>
              </w:rPr>
              <w:t>行政规范性文件</w:t>
            </w:r>
          </w:p>
        </w:tc>
        <w:tc>
          <w:tcPr>
            <w:tcW w:w="2130" w:type="dxa"/>
            <w:vAlign w:val="center"/>
          </w:tcPr>
          <w:p w14:paraId="6389CE1E">
            <w:pPr>
              <w:spacing w:line="240" w:lineRule="auto"/>
              <w:ind w:firstLine="0"/>
              <w:rPr>
                <w:rFonts w:hint="default" w:ascii="Times New Roman" w:hAnsi="Times New Roman" w:eastAsia="黑体" w:cs="Times New Roman"/>
                <w:sz w:val="20"/>
                <w:highlight w:val="none"/>
                <w:lang w:val="en-US" w:eastAsia="zh-CN"/>
              </w:rPr>
            </w:pPr>
            <w:r>
              <w:rPr>
                <w:rFonts w:hint="default" w:ascii="Times New Roman" w:hAnsi="Times New Roman" w:eastAsia="黑体" w:cs="Times New Roman"/>
                <w:sz w:val="20"/>
                <w:highlight w:val="none"/>
                <w:lang w:val="en-US" w:eastAsia="zh-CN"/>
              </w:rPr>
              <w:t>0</w:t>
            </w:r>
          </w:p>
        </w:tc>
        <w:tc>
          <w:tcPr>
            <w:tcW w:w="2131" w:type="dxa"/>
            <w:vAlign w:val="center"/>
          </w:tcPr>
          <w:p w14:paraId="91B9D871">
            <w:pPr>
              <w:spacing w:line="240" w:lineRule="auto"/>
              <w:ind w:firstLine="0"/>
              <w:rPr>
                <w:rFonts w:hint="default" w:ascii="Times New Roman" w:hAnsi="Times New Roman" w:eastAsia="黑体" w:cs="Times New Roman"/>
                <w:sz w:val="20"/>
                <w:highlight w:val="none"/>
                <w:lang w:val="en-US" w:eastAsia="zh-CN"/>
              </w:rPr>
            </w:pPr>
            <w:r>
              <w:rPr>
                <w:rFonts w:hint="default" w:ascii="Times New Roman" w:hAnsi="Times New Roman" w:eastAsia="黑体" w:cs="Times New Roman"/>
                <w:sz w:val="20"/>
                <w:highlight w:val="none"/>
                <w:lang w:val="en-US" w:eastAsia="zh-CN"/>
              </w:rPr>
              <w:t>0</w:t>
            </w:r>
          </w:p>
        </w:tc>
        <w:tc>
          <w:tcPr>
            <w:tcW w:w="2131" w:type="dxa"/>
            <w:vAlign w:val="center"/>
          </w:tcPr>
          <w:p w14:paraId="3F5185AD">
            <w:pPr>
              <w:spacing w:line="240" w:lineRule="auto"/>
              <w:ind w:firstLine="0"/>
              <w:rPr>
                <w:rFonts w:hint="default" w:ascii="Times New Roman" w:hAnsi="Times New Roman" w:eastAsia="黑体" w:cs="Times New Roman"/>
                <w:sz w:val="20"/>
                <w:highlight w:val="none"/>
                <w:lang w:val="en-US" w:eastAsia="zh-CN"/>
              </w:rPr>
            </w:pPr>
            <w:r>
              <w:rPr>
                <w:rFonts w:hint="default" w:ascii="Times New Roman" w:hAnsi="Times New Roman" w:eastAsia="黑体" w:cs="Times New Roman"/>
                <w:sz w:val="20"/>
                <w:highlight w:val="none"/>
                <w:lang w:val="en-US" w:eastAsia="zh-CN"/>
              </w:rPr>
              <w:t>0</w:t>
            </w:r>
          </w:p>
        </w:tc>
      </w:tr>
      <w:tr w14:paraId="C8A1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EE965609">
            <w:pPr>
              <w:spacing w:line="240" w:lineRule="auto"/>
              <w:ind w:firstLine="0"/>
              <w:jc w:val="center"/>
              <w:rPr>
                <w:rFonts w:hint="default" w:ascii="Times New Roman" w:hAnsi="Times New Roman" w:eastAsia="宋体" w:cs="Times New Roman"/>
                <w:snapToGrid/>
                <w:color w:val="000000"/>
                <w:sz w:val="20"/>
                <w:highlight w:val="none"/>
              </w:rPr>
            </w:pPr>
            <w:r>
              <w:rPr>
                <w:rFonts w:hint="default" w:ascii="Times New Roman" w:hAnsi="Times New Roman" w:eastAsia="宋体" w:cs="Times New Roman"/>
                <w:snapToGrid/>
                <w:color w:val="000000"/>
                <w:sz w:val="20"/>
                <w:highlight w:val="none"/>
              </w:rPr>
              <w:t>第二十条第（五）项</w:t>
            </w:r>
          </w:p>
        </w:tc>
      </w:tr>
      <w:tr w14:paraId="0243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B58294A">
            <w:pPr>
              <w:widowControl/>
              <w:autoSpaceDE/>
              <w:autoSpaceDN/>
              <w:snapToGrid/>
              <w:spacing w:line="240" w:lineRule="auto"/>
              <w:ind w:firstLine="0"/>
              <w:jc w:val="center"/>
              <w:rPr>
                <w:rFonts w:hint="default" w:ascii="Times New Roman" w:hAnsi="Times New Roman" w:eastAsia="宋体" w:cs="Times New Roman"/>
                <w:snapToGrid/>
                <w:color w:val="000000"/>
                <w:sz w:val="20"/>
                <w:highlight w:val="none"/>
              </w:rPr>
            </w:pPr>
            <w:r>
              <w:rPr>
                <w:rFonts w:hint="default" w:ascii="Times New Roman" w:hAnsi="Times New Roman" w:eastAsia="宋体" w:cs="Times New Roman"/>
                <w:snapToGrid/>
                <w:color w:val="000000"/>
                <w:sz w:val="20"/>
                <w:highlight w:val="none"/>
              </w:rPr>
              <w:t>信息内容</w:t>
            </w:r>
          </w:p>
        </w:tc>
        <w:tc>
          <w:tcPr>
            <w:tcW w:w="6392" w:type="dxa"/>
            <w:gridSpan w:val="3"/>
            <w:vAlign w:val="center"/>
          </w:tcPr>
          <w:p w14:paraId="7B2D680D">
            <w:pPr>
              <w:spacing w:line="240" w:lineRule="auto"/>
              <w:ind w:firstLine="0"/>
              <w:jc w:val="center"/>
              <w:rPr>
                <w:rFonts w:hint="default" w:ascii="Times New Roman" w:hAnsi="Times New Roman" w:eastAsia="黑体" w:cs="Times New Roman"/>
                <w:sz w:val="20"/>
                <w:highlight w:val="none"/>
              </w:rPr>
            </w:pPr>
            <w:r>
              <w:rPr>
                <w:rFonts w:hint="default" w:ascii="Times New Roman" w:hAnsi="Times New Roman" w:eastAsia="宋体" w:cs="Times New Roman"/>
                <w:snapToGrid/>
                <w:color w:val="000000"/>
                <w:sz w:val="20"/>
                <w:highlight w:val="none"/>
              </w:rPr>
              <w:t>本年处理决定数量</w:t>
            </w:r>
          </w:p>
        </w:tc>
      </w:tr>
      <w:tr w14:paraId="55D2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805BF71F">
            <w:pPr>
              <w:widowControl/>
              <w:autoSpaceDE/>
              <w:autoSpaceDN/>
              <w:snapToGrid/>
              <w:spacing w:line="240" w:lineRule="auto"/>
              <w:ind w:firstLine="0"/>
              <w:rPr>
                <w:rFonts w:hint="default" w:ascii="Times New Roman" w:hAnsi="Times New Roman" w:eastAsia="宋体" w:cs="Times New Roman"/>
                <w:snapToGrid/>
                <w:color w:val="000000"/>
                <w:sz w:val="20"/>
                <w:highlight w:val="none"/>
              </w:rPr>
            </w:pPr>
            <w:r>
              <w:rPr>
                <w:rFonts w:hint="default" w:ascii="Times New Roman" w:hAnsi="Times New Roman" w:eastAsia="宋体" w:cs="Times New Roman"/>
                <w:snapToGrid/>
                <w:color w:val="000000"/>
                <w:sz w:val="20"/>
                <w:highlight w:val="none"/>
              </w:rPr>
              <w:t>行政许可</w:t>
            </w:r>
          </w:p>
        </w:tc>
        <w:tc>
          <w:tcPr>
            <w:tcW w:w="6392" w:type="dxa"/>
            <w:gridSpan w:val="3"/>
            <w:vAlign w:val="center"/>
          </w:tcPr>
          <w:p w14:paraId="987CF42C">
            <w:pPr>
              <w:spacing w:line="240" w:lineRule="auto"/>
              <w:ind w:firstLine="0"/>
              <w:jc w:val="center"/>
              <w:rPr>
                <w:rFonts w:hint="default" w:ascii="Times New Roman" w:hAnsi="Times New Roman" w:eastAsia="黑体" w:cs="Times New Roman"/>
                <w:sz w:val="20"/>
                <w:highlight w:val="none"/>
                <w:lang w:val="en-US" w:eastAsia="zh-CN"/>
              </w:rPr>
            </w:pPr>
            <w:r>
              <w:rPr>
                <w:rFonts w:hint="default" w:ascii="Times New Roman" w:hAnsi="Times New Roman" w:eastAsia="黑体" w:cs="Times New Roman"/>
                <w:sz w:val="20"/>
                <w:highlight w:val="none"/>
                <w:lang w:val="en-US" w:eastAsia="zh-CN"/>
              </w:rPr>
              <w:t>0</w:t>
            </w:r>
          </w:p>
        </w:tc>
      </w:tr>
      <w:tr w14:paraId="A2E7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F4FF3B88">
            <w:pPr>
              <w:spacing w:line="240" w:lineRule="auto"/>
              <w:ind w:firstLine="0"/>
              <w:jc w:val="center"/>
              <w:rPr>
                <w:rFonts w:hint="default" w:ascii="Times New Roman" w:hAnsi="Times New Roman" w:eastAsia="宋体" w:cs="Times New Roman"/>
                <w:snapToGrid/>
                <w:color w:val="000000"/>
                <w:sz w:val="20"/>
                <w:highlight w:val="none"/>
              </w:rPr>
            </w:pPr>
            <w:r>
              <w:rPr>
                <w:rFonts w:hint="default" w:ascii="Times New Roman" w:hAnsi="Times New Roman" w:eastAsia="宋体" w:cs="Times New Roman"/>
                <w:snapToGrid/>
                <w:color w:val="000000"/>
                <w:sz w:val="20"/>
                <w:highlight w:val="none"/>
              </w:rPr>
              <w:t>第二十条第（六）项</w:t>
            </w:r>
          </w:p>
        </w:tc>
      </w:tr>
      <w:tr w14:paraId="E93C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A25E276">
            <w:pPr>
              <w:widowControl/>
              <w:autoSpaceDE/>
              <w:autoSpaceDN/>
              <w:snapToGrid/>
              <w:spacing w:line="240" w:lineRule="auto"/>
              <w:ind w:firstLine="0"/>
              <w:jc w:val="center"/>
              <w:rPr>
                <w:rFonts w:hint="default" w:ascii="Times New Roman" w:hAnsi="Times New Roman" w:eastAsia="宋体" w:cs="Times New Roman"/>
                <w:snapToGrid/>
                <w:color w:val="000000"/>
                <w:sz w:val="20"/>
                <w:highlight w:val="none"/>
              </w:rPr>
            </w:pPr>
            <w:r>
              <w:rPr>
                <w:rFonts w:hint="default" w:ascii="Times New Roman" w:hAnsi="Times New Roman" w:eastAsia="宋体" w:cs="Times New Roman"/>
                <w:snapToGrid/>
                <w:color w:val="000000"/>
                <w:sz w:val="20"/>
                <w:highlight w:val="none"/>
              </w:rPr>
              <w:t>信息内容</w:t>
            </w:r>
          </w:p>
        </w:tc>
        <w:tc>
          <w:tcPr>
            <w:tcW w:w="6392" w:type="dxa"/>
            <w:gridSpan w:val="3"/>
            <w:vAlign w:val="center"/>
          </w:tcPr>
          <w:p w14:paraId="B603B1FC">
            <w:pPr>
              <w:spacing w:line="240" w:lineRule="auto"/>
              <w:ind w:firstLine="0"/>
              <w:jc w:val="center"/>
              <w:rPr>
                <w:rFonts w:hint="default" w:ascii="Times New Roman" w:hAnsi="Times New Roman" w:eastAsia="黑体" w:cs="Times New Roman"/>
                <w:sz w:val="20"/>
                <w:highlight w:val="none"/>
              </w:rPr>
            </w:pPr>
            <w:r>
              <w:rPr>
                <w:rFonts w:hint="default" w:ascii="Times New Roman" w:hAnsi="Times New Roman" w:eastAsia="宋体" w:cs="Times New Roman"/>
                <w:snapToGrid/>
                <w:color w:val="000000"/>
                <w:sz w:val="20"/>
                <w:highlight w:val="none"/>
              </w:rPr>
              <w:t>本年处理决定数量</w:t>
            </w:r>
          </w:p>
        </w:tc>
      </w:tr>
      <w:tr w14:paraId="6E73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9224ED87">
            <w:pPr>
              <w:widowControl/>
              <w:autoSpaceDE/>
              <w:autoSpaceDN/>
              <w:snapToGrid/>
              <w:spacing w:line="240" w:lineRule="auto"/>
              <w:ind w:firstLine="0"/>
              <w:rPr>
                <w:rFonts w:hint="default" w:ascii="Times New Roman" w:hAnsi="Times New Roman" w:eastAsia="宋体" w:cs="Times New Roman"/>
                <w:snapToGrid/>
                <w:color w:val="000000"/>
                <w:sz w:val="20"/>
                <w:highlight w:val="none"/>
              </w:rPr>
            </w:pPr>
            <w:r>
              <w:rPr>
                <w:rFonts w:hint="default" w:ascii="Times New Roman" w:hAnsi="Times New Roman" w:eastAsia="宋体" w:cs="Times New Roman"/>
                <w:snapToGrid/>
                <w:color w:val="000000"/>
                <w:sz w:val="20"/>
                <w:highlight w:val="none"/>
              </w:rPr>
              <w:t>行政处罚</w:t>
            </w:r>
          </w:p>
        </w:tc>
        <w:tc>
          <w:tcPr>
            <w:tcW w:w="6392" w:type="dxa"/>
            <w:gridSpan w:val="3"/>
            <w:vAlign w:val="center"/>
          </w:tcPr>
          <w:p w14:paraId="039CD5E4">
            <w:pPr>
              <w:spacing w:line="240" w:lineRule="auto"/>
              <w:ind w:firstLine="0"/>
              <w:jc w:val="center"/>
              <w:rPr>
                <w:rFonts w:hint="default" w:ascii="Times New Roman" w:hAnsi="Times New Roman" w:eastAsia="黑体" w:cs="Times New Roman"/>
                <w:sz w:val="20"/>
                <w:highlight w:val="none"/>
                <w:lang w:val="en-US" w:eastAsia="zh-CN"/>
              </w:rPr>
            </w:pPr>
            <w:r>
              <w:rPr>
                <w:rFonts w:hint="default" w:ascii="Times New Roman" w:hAnsi="Times New Roman" w:eastAsia="黑体" w:cs="Times New Roman"/>
                <w:sz w:val="20"/>
                <w:highlight w:val="none"/>
                <w:lang w:val="en-US" w:eastAsia="zh-CN"/>
              </w:rPr>
              <w:t>10</w:t>
            </w:r>
          </w:p>
        </w:tc>
      </w:tr>
      <w:tr w14:paraId="9781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AC10D5D">
            <w:pPr>
              <w:widowControl/>
              <w:autoSpaceDE/>
              <w:autoSpaceDN/>
              <w:snapToGrid/>
              <w:spacing w:line="240" w:lineRule="auto"/>
              <w:ind w:firstLine="0"/>
              <w:rPr>
                <w:rFonts w:hint="default" w:ascii="Times New Roman" w:hAnsi="Times New Roman" w:eastAsia="宋体" w:cs="Times New Roman"/>
                <w:snapToGrid/>
                <w:color w:val="000000"/>
                <w:sz w:val="20"/>
                <w:highlight w:val="none"/>
              </w:rPr>
            </w:pPr>
            <w:r>
              <w:rPr>
                <w:rFonts w:hint="default" w:ascii="Times New Roman" w:hAnsi="Times New Roman" w:eastAsia="宋体" w:cs="Times New Roman"/>
                <w:snapToGrid/>
                <w:color w:val="000000"/>
                <w:sz w:val="20"/>
                <w:highlight w:val="none"/>
              </w:rPr>
              <w:t>行政强制</w:t>
            </w:r>
          </w:p>
        </w:tc>
        <w:tc>
          <w:tcPr>
            <w:tcW w:w="6392" w:type="dxa"/>
            <w:gridSpan w:val="3"/>
            <w:vAlign w:val="center"/>
          </w:tcPr>
          <w:p w14:paraId="5C6B1FD1">
            <w:pPr>
              <w:spacing w:line="240" w:lineRule="auto"/>
              <w:ind w:firstLine="0"/>
              <w:jc w:val="center"/>
              <w:rPr>
                <w:rFonts w:hint="default" w:ascii="Times New Roman" w:hAnsi="Times New Roman" w:eastAsia="黑体" w:cs="Times New Roman"/>
                <w:sz w:val="20"/>
                <w:highlight w:val="none"/>
                <w:lang w:val="en-US" w:eastAsia="zh-CN"/>
              </w:rPr>
            </w:pPr>
            <w:r>
              <w:rPr>
                <w:rFonts w:hint="eastAsia" w:eastAsia="黑体" w:cs="Times New Roman"/>
                <w:sz w:val="20"/>
                <w:highlight w:val="none"/>
                <w:lang w:val="en-US" w:eastAsia="zh-CN"/>
              </w:rPr>
              <w:t>2</w:t>
            </w:r>
          </w:p>
        </w:tc>
      </w:tr>
      <w:tr w14:paraId="0546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161F14D7">
            <w:pPr>
              <w:spacing w:line="240" w:lineRule="auto"/>
              <w:ind w:firstLine="0"/>
              <w:jc w:val="center"/>
              <w:rPr>
                <w:rFonts w:hint="default" w:ascii="Times New Roman" w:hAnsi="Times New Roman" w:eastAsia="宋体" w:cs="Times New Roman"/>
                <w:snapToGrid/>
                <w:color w:val="000000"/>
                <w:sz w:val="20"/>
                <w:highlight w:val="none"/>
              </w:rPr>
            </w:pPr>
            <w:r>
              <w:rPr>
                <w:rFonts w:hint="default" w:ascii="Times New Roman" w:hAnsi="Times New Roman" w:eastAsia="宋体" w:cs="Times New Roman"/>
                <w:snapToGrid/>
                <w:color w:val="000000"/>
                <w:sz w:val="20"/>
                <w:highlight w:val="none"/>
              </w:rPr>
              <w:t>第二十条第（八）项</w:t>
            </w:r>
          </w:p>
        </w:tc>
      </w:tr>
      <w:tr w14:paraId="1F9C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D66B0613">
            <w:pPr>
              <w:widowControl/>
              <w:autoSpaceDE/>
              <w:autoSpaceDN/>
              <w:snapToGrid/>
              <w:spacing w:line="240" w:lineRule="auto"/>
              <w:ind w:firstLine="0"/>
              <w:jc w:val="center"/>
              <w:rPr>
                <w:rFonts w:hint="default" w:ascii="Times New Roman" w:hAnsi="Times New Roman" w:eastAsia="宋体" w:cs="Times New Roman"/>
                <w:snapToGrid/>
                <w:color w:val="000000"/>
                <w:sz w:val="20"/>
                <w:highlight w:val="none"/>
              </w:rPr>
            </w:pPr>
            <w:r>
              <w:rPr>
                <w:rFonts w:hint="default" w:ascii="Times New Roman" w:hAnsi="Times New Roman" w:eastAsia="宋体" w:cs="Times New Roman"/>
                <w:snapToGrid/>
                <w:color w:val="000000"/>
                <w:sz w:val="20"/>
                <w:highlight w:val="none"/>
              </w:rPr>
              <w:t>信息内容</w:t>
            </w:r>
          </w:p>
        </w:tc>
        <w:tc>
          <w:tcPr>
            <w:tcW w:w="6392" w:type="dxa"/>
            <w:gridSpan w:val="3"/>
            <w:vAlign w:val="center"/>
          </w:tcPr>
          <w:p w14:paraId="867AB442">
            <w:pPr>
              <w:spacing w:line="240" w:lineRule="auto"/>
              <w:ind w:firstLine="0"/>
              <w:jc w:val="center"/>
              <w:rPr>
                <w:rFonts w:hint="default" w:ascii="Times New Roman" w:hAnsi="Times New Roman" w:eastAsia="黑体" w:cs="Times New Roman"/>
                <w:sz w:val="20"/>
                <w:highlight w:val="none"/>
              </w:rPr>
            </w:pPr>
            <w:r>
              <w:rPr>
                <w:rFonts w:hint="default" w:ascii="Times New Roman" w:hAnsi="Times New Roman" w:eastAsia="宋体" w:cs="Times New Roman"/>
                <w:snapToGrid/>
                <w:color w:val="000000"/>
                <w:sz w:val="20"/>
                <w:highlight w:val="none"/>
              </w:rPr>
              <w:t>本年收费金额（单位：万元）</w:t>
            </w:r>
          </w:p>
        </w:tc>
      </w:tr>
      <w:tr w14:paraId="8AA2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A5CE2F34">
            <w:pPr>
              <w:widowControl/>
              <w:autoSpaceDE/>
              <w:autoSpaceDN/>
              <w:snapToGrid/>
              <w:spacing w:line="240" w:lineRule="auto"/>
              <w:ind w:firstLine="0"/>
              <w:rPr>
                <w:rFonts w:hint="default" w:ascii="Times New Roman" w:hAnsi="Times New Roman" w:eastAsia="宋体" w:cs="Times New Roman"/>
                <w:snapToGrid/>
                <w:color w:val="000000"/>
                <w:sz w:val="20"/>
                <w:highlight w:val="none"/>
              </w:rPr>
            </w:pPr>
            <w:r>
              <w:rPr>
                <w:rFonts w:hint="default" w:ascii="Times New Roman" w:hAnsi="Times New Roman" w:eastAsia="宋体" w:cs="Times New Roman"/>
                <w:snapToGrid/>
                <w:color w:val="000000"/>
                <w:sz w:val="20"/>
                <w:highlight w:val="none"/>
              </w:rPr>
              <w:t>行政事业性收费</w:t>
            </w:r>
          </w:p>
        </w:tc>
        <w:tc>
          <w:tcPr>
            <w:tcW w:w="6392" w:type="dxa"/>
            <w:gridSpan w:val="3"/>
            <w:vAlign w:val="center"/>
          </w:tcPr>
          <w:p w14:paraId="8F8B7E65">
            <w:pPr>
              <w:spacing w:line="240" w:lineRule="auto"/>
              <w:ind w:firstLine="0"/>
              <w:jc w:val="center"/>
              <w:rPr>
                <w:rFonts w:hint="default" w:ascii="Times New Roman" w:hAnsi="Times New Roman" w:eastAsia="黑体" w:cs="Times New Roman"/>
                <w:sz w:val="20"/>
                <w:highlight w:val="none"/>
                <w:lang w:val="en-US" w:eastAsia="zh-CN"/>
              </w:rPr>
            </w:pPr>
            <w:r>
              <w:rPr>
                <w:rFonts w:hint="default" w:ascii="Times New Roman" w:hAnsi="Times New Roman" w:eastAsia="黑体" w:cs="Times New Roman"/>
                <w:sz w:val="20"/>
                <w:highlight w:val="none"/>
                <w:lang w:val="en-US" w:eastAsia="zh-CN"/>
              </w:rPr>
              <w:t>13.512万</w:t>
            </w:r>
          </w:p>
        </w:tc>
      </w:tr>
    </w:tbl>
    <w:p w14:paraId="F58FA0E6">
      <w:pPr>
        <w:spacing w:line="240" w:lineRule="auto"/>
        <w:ind w:firstLine="0"/>
        <w:rPr>
          <w:rFonts w:hint="default" w:ascii="Times New Roman" w:hAnsi="Times New Roman" w:eastAsia="黑体" w:cs="Times New Roman"/>
          <w:sz w:val="30"/>
          <w:szCs w:val="30"/>
          <w:highlight w:val="none"/>
        </w:rPr>
      </w:pPr>
    </w:p>
    <w:p w14:paraId="0FA7211E">
      <w:pPr>
        <w:spacing w:line="240" w:lineRule="auto"/>
        <w:ind w:firstLine="0"/>
        <w:rPr>
          <w:rFonts w:hint="default" w:ascii="Times New Roman" w:hAnsi="Times New Roman" w:eastAsia="黑体" w:cs="Times New Roman"/>
          <w:sz w:val="30"/>
          <w:szCs w:val="30"/>
          <w:highlight w:val="none"/>
        </w:rPr>
      </w:pPr>
    </w:p>
    <w:p w14:paraId="6C4D62D0">
      <w:pPr>
        <w:spacing w:line="240" w:lineRule="auto"/>
        <w:ind w:firstLine="0"/>
        <w:rPr>
          <w:rFonts w:hint="default" w:ascii="Times New Roman" w:hAnsi="Times New Roman" w:eastAsia="黑体" w:cs="Times New Roman"/>
          <w:sz w:val="30"/>
          <w:szCs w:val="30"/>
          <w:highlight w:val="none"/>
        </w:rPr>
      </w:pPr>
    </w:p>
    <w:p w14:paraId="7D67F684">
      <w:pPr>
        <w:spacing w:line="240" w:lineRule="auto"/>
        <w:ind w:firstLine="0"/>
        <w:rPr>
          <w:rFonts w:hint="default" w:ascii="Times New Roman" w:hAnsi="Times New Roman" w:eastAsia="黑体" w:cs="Times New Roman"/>
          <w:sz w:val="30"/>
          <w:szCs w:val="30"/>
          <w:highlight w:val="none"/>
        </w:rPr>
      </w:pPr>
    </w:p>
    <w:p w14:paraId="6F9F826E">
      <w:pPr>
        <w:spacing w:line="240" w:lineRule="auto"/>
        <w:ind w:firstLine="0"/>
        <w:rPr>
          <w:rFonts w:hint="default" w:ascii="Times New Roman" w:hAnsi="Times New Roman" w:eastAsia="黑体" w:cs="Times New Roman"/>
          <w:sz w:val="30"/>
          <w:szCs w:val="30"/>
          <w:highlight w:val="none"/>
        </w:rPr>
      </w:pPr>
    </w:p>
    <w:p w14:paraId="354D33A1">
      <w:pPr>
        <w:spacing w:line="240" w:lineRule="auto"/>
        <w:ind w:firstLine="0"/>
        <w:rPr>
          <w:rFonts w:hint="default" w:ascii="Times New Roman" w:hAnsi="Times New Roman" w:eastAsia="黑体" w:cs="Times New Roman"/>
          <w:sz w:val="30"/>
          <w:szCs w:val="30"/>
          <w:highlight w:val="none"/>
        </w:rPr>
      </w:pPr>
    </w:p>
    <w:p w14:paraId="500330E2">
      <w:pPr>
        <w:spacing w:line="240" w:lineRule="auto"/>
        <w:ind w:firstLine="0"/>
        <w:rPr>
          <w:rFonts w:hint="default" w:ascii="Times New Roman" w:hAnsi="Times New Roman" w:eastAsia="黑体" w:cs="Times New Roman"/>
          <w:sz w:val="30"/>
          <w:szCs w:val="30"/>
          <w:highlight w:val="none"/>
        </w:rPr>
      </w:pPr>
    </w:p>
    <w:p w14:paraId="628D42E1">
      <w:pPr>
        <w:spacing w:line="240" w:lineRule="auto"/>
        <w:ind w:firstLine="0"/>
        <w:rPr>
          <w:rFonts w:hint="default" w:ascii="Times New Roman" w:hAnsi="Times New Roman" w:eastAsia="黑体" w:cs="Times New Roman"/>
          <w:sz w:val="30"/>
          <w:szCs w:val="30"/>
          <w:highlight w:val="none"/>
        </w:rPr>
      </w:pPr>
    </w:p>
    <w:p w14:paraId="3E1161BD">
      <w:pPr>
        <w:spacing w:line="240" w:lineRule="auto"/>
        <w:ind w:firstLine="0"/>
        <w:rPr>
          <w:rFonts w:hint="default" w:ascii="Times New Roman" w:hAnsi="Times New Roman" w:eastAsia="黑体" w:cs="Times New Roman"/>
          <w:sz w:val="30"/>
          <w:szCs w:val="30"/>
          <w:highlight w:val="none"/>
        </w:rPr>
      </w:pPr>
    </w:p>
    <w:p w14:paraId="783BE48F">
      <w:pPr>
        <w:spacing w:line="240" w:lineRule="auto"/>
        <w:ind w:firstLine="0"/>
        <w:rPr>
          <w:rFonts w:hint="default" w:ascii="Times New Roman" w:hAnsi="Times New Roman" w:eastAsia="黑体" w:cs="Times New Roman"/>
          <w:sz w:val="30"/>
          <w:szCs w:val="30"/>
          <w:highlight w:val="none"/>
        </w:rPr>
      </w:pPr>
    </w:p>
    <w:p w14:paraId="558C0E58">
      <w:pPr>
        <w:spacing w:line="240" w:lineRule="auto"/>
        <w:ind w:firstLine="0"/>
        <w:rPr>
          <w:rFonts w:hint="default" w:ascii="Times New Roman" w:hAnsi="Times New Roman" w:eastAsia="黑体" w:cs="Times New Roman"/>
          <w:sz w:val="30"/>
          <w:szCs w:val="30"/>
          <w:highlight w:val="none"/>
        </w:rPr>
      </w:pPr>
    </w:p>
    <w:p w14:paraId="2D9C8D05">
      <w:pPr>
        <w:spacing w:line="240" w:lineRule="auto"/>
        <w:ind w:firstLine="0"/>
        <w:rPr>
          <w:rFonts w:hint="default" w:ascii="Times New Roman" w:hAnsi="Times New Roman" w:eastAsia="黑体" w:cs="Times New Roman"/>
          <w:sz w:val="30"/>
          <w:szCs w:val="30"/>
          <w:highlight w:val="none"/>
        </w:rPr>
      </w:pPr>
    </w:p>
    <w:p w14:paraId="6F2CE3C9">
      <w:pPr>
        <w:spacing w:line="240" w:lineRule="auto"/>
        <w:ind w:firstLine="0"/>
        <w:rPr>
          <w:rFonts w:hint="default" w:ascii="Times New Roman" w:hAnsi="Times New Roman" w:eastAsia="黑体" w:cs="Times New Roman"/>
          <w:sz w:val="30"/>
          <w:szCs w:val="30"/>
          <w:highlight w:val="none"/>
        </w:rPr>
      </w:pPr>
    </w:p>
    <w:p w14:paraId="E3FC2C4D">
      <w:pPr>
        <w:spacing w:after="156" w:afterLines="50" w:line="240" w:lineRule="auto"/>
        <w:ind w:firstLine="640" w:firstLineChars="200"/>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三、收到和处理政府信息公开申请情况</w:t>
      </w:r>
    </w:p>
    <w:tbl>
      <w:tblPr>
        <w:tblStyle w:val="6"/>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D4246556">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CBE36B77">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r>
              <w:rPr>
                <w:rFonts w:hint="default" w:ascii="Times New Roman" w:hAnsi="Times New Roman" w:eastAsia="楷体" w:cs="Times New Roman"/>
                <w:snapToGrid/>
                <w:sz w:val="20"/>
                <w:highlight w:val="none"/>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0F82471">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申请人情况</w:t>
            </w:r>
          </w:p>
        </w:tc>
      </w:tr>
      <w:tr w14:paraId="6D88BFC0">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217BB585">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7060A2EC">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40440BE">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5277246F">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总计</w:t>
            </w:r>
          </w:p>
        </w:tc>
      </w:tr>
      <w:tr w14:paraId="7FF2423C">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059A8305">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850" w:type="dxa"/>
            <w:vMerge w:val="continue"/>
            <w:tcBorders>
              <w:top w:val="nil"/>
              <w:left w:val="nil"/>
              <w:bottom w:val="single" w:color="auto" w:sz="8" w:space="0"/>
              <w:right w:val="single" w:color="auto" w:sz="8" w:space="0"/>
            </w:tcBorders>
            <w:vAlign w:val="center"/>
          </w:tcPr>
          <w:p w14:paraId="3146E3A6">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F23DA74C">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商业</w:t>
            </w:r>
          </w:p>
          <w:p w14:paraId="E88D22F8">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8176C415">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科研</w:t>
            </w:r>
          </w:p>
          <w:p w14:paraId="ACF6AD43">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F9B177A2">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3C69B20">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FD546F56">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其他</w:t>
            </w:r>
          </w:p>
        </w:tc>
        <w:tc>
          <w:tcPr>
            <w:tcW w:w="756" w:type="dxa"/>
            <w:vMerge w:val="continue"/>
            <w:tcBorders>
              <w:top w:val="single" w:color="auto" w:sz="8" w:space="0"/>
              <w:left w:val="nil"/>
              <w:bottom w:val="inset" w:color="auto" w:sz="8" w:space="0"/>
              <w:right w:val="single" w:color="auto" w:sz="8" w:space="0"/>
            </w:tcBorders>
            <w:vAlign w:val="center"/>
          </w:tcPr>
          <w:p w14:paraId="261CC8AE">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r>
      <w:tr w14:paraId="4B95881F">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932029B">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9D2C60D">
            <w:pPr>
              <w:widowControl/>
              <w:autoSpaceDE/>
              <w:autoSpaceDN/>
              <w:snapToGrid/>
              <w:spacing w:line="240" w:lineRule="auto"/>
              <w:ind w:firstLine="0"/>
              <w:jc w:val="center"/>
              <w:rPr>
                <w:rFonts w:hint="default" w:ascii="Times New Roman" w:hAnsi="Times New Roman" w:eastAsia="宋体" w:cs="Times New Roman"/>
                <w:snapToGrid/>
                <w:sz w:val="20"/>
                <w:highlight w:val="none"/>
                <w:lang w:val="en-US" w:eastAsia="zh-CN"/>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92E8DC2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0F6627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BDEB69C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D3F77F3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8C8C627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840A6E6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r>
      <w:tr w14:paraId="0769D3C1">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C756F9E">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2BDB748">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8500F6F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8502733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EC4EF7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979B73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99884A5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B2C7718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r>
      <w:tr w14:paraId="FF22A15C">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648674B5">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D01C7F65">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B856399">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9920617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63C389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CEAEA03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9C581F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DE06143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49C79A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r>
      <w:tr w14:paraId="749A01B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F67DC655">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605DC0B5">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（二）部分公开</w:t>
            </w:r>
            <w:r>
              <w:rPr>
                <w:rFonts w:hint="default" w:ascii="Times New Roman" w:hAnsi="Times New Roman" w:eastAsia="楷体" w:cs="Times New Roman"/>
                <w:snapToGrid/>
                <w:sz w:val="20"/>
                <w:highlight w:val="none"/>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8867859A">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155B18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8A8DA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FD195D6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88E853C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44B60D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17A812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r>
      <w:tr w14:paraId="B363186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5921998">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6DD2F479">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4B1BA35">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6CCC9AFF">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30B289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A1D0BBF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C560147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0289517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EB267BD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C3A468D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r>
      <w:tr w14:paraId="1EED453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C985D06">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0" w:type="auto"/>
            <w:vMerge w:val="continue"/>
            <w:tcBorders>
              <w:top w:val="nil"/>
              <w:left w:val="nil"/>
              <w:bottom w:val="inset" w:color="auto" w:sz="8" w:space="0"/>
              <w:right w:val="single" w:color="auto" w:sz="8" w:space="0"/>
            </w:tcBorders>
            <w:vAlign w:val="center"/>
          </w:tcPr>
          <w:p w14:paraId="817F847F">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BF6B15B">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68D4CAE3">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8D5707A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BFCED2C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F299C6B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B755DE8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C71AF15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288B7EF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r>
      <w:tr w14:paraId="1B317CF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4FAED41">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0" w:type="auto"/>
            <w:vMerge w:val="continue"/>
            <w:tcBorders>
              <w:top w:val="nil"/>
              <w:left w:val="nil"/>
              <w:bottom w:val="inset" w:color="auto" w:sz="8" w:space="0"/>
              <w:right w:val="single" w:color="auto" w:sz="8" w:space="0"/>
            </w:tcBorders>
            <w:vAlign w:val="center"/>
          </w:tcPr>
          <w:p w14:paraId="F88115B4">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44016D7">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33111138">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186CFA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9047F00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EBBEA9E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9527150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F19FB9F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518149D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r>
      <w:tr w14:paraId="60348B6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0C18A1F">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0" w:type="auto"/>
            <w:vMerge w:val="continue"/>
            <w:tcBorders>
              <w:top w:val="nil"/>
              <w:left w:val="nil"/>
              <w:bottom w:val="inset" w:color="auto" w:sz="8" w:space="0"/>
              <w:right w:val="single" w:color="auto" w:sz="8" w:space="0"/>
            </w:tcBorders>
            <w:vAlign w:val="center"/>
          </w:tcPr>
          <w:p w14:paraId="2EEF1C0E">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B21025B">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157ED59C">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B869197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85B0C99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6549A6D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0125802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95C633B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665C123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r>
      <w:tr w14:paraId="343A161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E7247BF">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0" w:type="auto"/>
            <w:vMerge w:val="continue"/>
            <w:tcBorders>
              <w:top w:val="nil"/>
              <w:left w:val="nil"/>
              <w:bottom w:val="inset" w:color="auto" w:sz="8" w:space="0"/>
              <w:right w:val="single" w:color="auto" w:sz="8" w:space="0"/>
            </w:tcBorders>
            <w:vAlign w:val="center"/>
          </w:tcPr>
          <w:p w14:paraId="C3EB0181">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9A202F19">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5C53DFAD">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02D97FC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6D438A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8B268B2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3CB94AB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884AEE9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9EBA0F1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r>
      <w:tr w14:paraId="FF1BA96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8C00DE7">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0" w:type="auto"/>
            <w:vMerge w:val="continue"/>
            <w:tcBorders>
              <w:top w:val="nil"/>
              <w:left w:val="nil"/>
              <w:bottom w:val="inset" w:color="auto" w:sz="8" w:space="0"/>
              <w:right w:val="single" w:color="auto" w:sz="8" w:space="0"/>
            </w:tcBorders>
            <w:vAlign w:val="center"/>
          </w:tcPr>
          <w:p w14:paraId="1BD697CF">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A7D6DB4">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46890A77">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288C1A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A73F614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6EAC7ED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8B9DD65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B647231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BA12959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r>
      <w:tr w14:paraId="925D02F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A4E34D8">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0" w:type="auto"/>
            <w:vMerge w:val="continue"/>
            <w:tcBorders>
              <w:top w:val="nil"/>
              <w:left w:val="nil"/>
              <w:bottom w:val="inset" w:color="auto" w:sz="8" w:space="0"/>
              <w:right w:val="single" w:color="auto" w:sz="8" w:space="0"/>
            </w:tcBorders>
            <w:vAlign w:val="center"/>
          </w:tcPr>
          <w:p w14:paraId="FD32F775">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84675811">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0EA5AE99">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A769992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0A160E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95D9AE0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692E13F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D9E7E3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848315C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r>
      <w:tr w14:paraId="7620F72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EB429EA">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0" w:type="auto"/>
            <w:vMerge w:val="continue"/>
            <w:tcBorders>
              <w:top w:val="nil"/>
              <w:left w:val="nil"/>
              <w:bottom w:val="inset" w:color="auto" w:sz="8" w:space="0"/>
              <w:right w:val="single" w:color="auto" w:sz="8" w:space="0"/>
            </w:tcBorders>
            <w:vAlign w:val="center"/>
          </w:tcPr>
          <w:p w14:paraId="0EA41BE0">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5BC32EE">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0A037DBA">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3C72FD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68C9DF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489BEDF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0F57647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F669126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CC4AD5E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r>
      <w:tr w14:paraId="CA0F469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B228187A">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0454E06E">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FFB6981E">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5007DBED">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D6DF605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5D52631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9D7BDC6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07CFE18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FB2CDF9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654CBFB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r>
      <w:tr w14:paraId="FBF36FA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9601A46">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0" w:type="auto"/>
            <w:vMerge w:val="continue"/>
            <w:tcBorders>
              <w:top w:val="nil"/>
              <w:left w:val="nil"/>
              <w:bottom w:val="inset" w:color="auto" w:sz="8" w:space="0"/>
              <w:right w:val="single" w:color="auto" w:sz="8" w:space="0"/>
            </w:tcBorders>
            <w:vAlign w:val="center"/>
          </w:tcPr>
          <w:p w14:paraId="C23C809E">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DE50B07">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D3776D13">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A214AE9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930D468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508B41C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80B1209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8726C5E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B853DFE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r>
      <w:tr w14:paraId="6D21ECE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8CDA0569">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0" w:type="auto"/>
            <w:vMerge w:val="continue"/>
            <w:tcBorders>
              <w:top w:val="nil"/>
              <w:left w:val="nil"/>
              <w:bottom w:val="inset" w:color="auto" w:sz="8" w:space="0"/>
              <w:right w:val="single" w:color="auto" w:sz="8" w:space="0"/>
            </w:tcBorders>
            <w:vAlign w:val="center"/>
          </w:tcPr>
          <w:p w14:paraId="0F60B43C">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BB9E531">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F9D5C8B6">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1B3BAA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CFF5A97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CB6DC1D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DAA0D4A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D8B39E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9DB501B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r>
      <w:tr w14:paraId="ADE5D2C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68BEFB0">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7FA1A835">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E7D96DC">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DB2F5EA0">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EAB8494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4A7E9F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0586FD8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7663F23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D2AA003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75494A6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r>
      <w:tr w14:paraId="FCACD78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1A8F0D4">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0" w:type="auto"/>
            <w:vMerge w:val="continue"/>
            <w:tcBorders>
              <w:top w:val="nil"/>
              <w:left w:val="nil"/>
              <w:bottom w:val="inset" w:color="auto" w:sz="8" w:space="0"/>
              <w:right w:val="single" w:color="auto" w:sz="8" w:space="0"/>
            </w:tcBorders>
            <w:vAlign w:val="center"/>
          </w:tcPr>
          <w:p w14:paraId="6D347A10">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CCF62E3B">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3365B7DA">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F64C845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42748F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DEA39E3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B86B7D3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A21734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EAB45CB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r>
      <w:tr w14:paraId="60D9AF8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C276C35A">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0" w:type="auto"/>
            <w:vMerge w:val="continue"/>
            <w:tcBorders>
              <w:top w:val="nil"/>
              <w:left w:val="nil"/>
              <w:bottom w:val="inset" w:color="auto" w:sz="8" w:space="0"/>
              <w:right w:val="single" w:color="auto" w:sz="8" w:space="0"/>
            </w:tcBorders>
            <w:vAlign w:val="center"/>
          </w:tcPr>
          <w:p w14:paraId="5A17E8E8">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BC12F57D">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7DBBFDE3">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0094D32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D83B4EC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9A90AA1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A1EC42C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CEAF3D4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8EFBCAE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r>
      <w:tr w14:paraId="6B850B6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8C36706">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0" w:type="auto"/>
            <w:vMerge w:val="continue"/>
            <w:tcBorders>
              <w:top w:val="nil"/>
              <w:left w:val="nil"/>
              <w:bottom w:val="inset" w:color="auto" w:sz="8" w:space="0"/>
              <w:right w:val="single" w:color="auto" w:sz="8" w:space="0"/>
            </w:tcBorders>
            <w:vAlign w:val="center"/>
          </w:tcPr>
          <w:p w14:paraId="E9BE06A6">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8DF9AEE">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676643C6">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766A559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C1AADB8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5778116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DC73AE0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A2D1DB8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555D7E8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r>
      <w:tr w14:paraId="D080038D">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0E1C65A7">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0" w:type="auto"/>
            <w:vMerge w:val="continue"/>
            <w:tcBorders>
              <w:top w:val="nil"/>
              <w:left w:val="nil"/>
              <w:bottom w:val="inset" w:color="auto" w:sz="8" w:space="0"/>
              <w:right w:val="single" w:color="auto" w:sz="8" w:space="0"/>
            </w:tcBorders>
            <w:vAlign w:val="center"/>
          </w:tcPr>
          <w:p w14:paraId="0B7CAE28">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1D5B6D82">
            <w:pPr>
              <w:widowControl/>
              <w:autoSpaceDE/>
              <w:autoSpaceDN/>
              <w:snapToGrid/>
              <w:spacing w:line="240" w:lineRule="auto"/>
              <w:ind w:firstLine="0"/>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tcPr>
          <w:p w14:paraId="83CFD78A">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tcPr>
          <w:p w14:paraId="F94E6BA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tcPr>
          <w:p w14:paraId="C703E4E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tcPr>
          <w:p w14:paraId="CEC1A84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tcPr>
          <w:p w14:paraId="F684E51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tcPr>
          <w:p w14:paraId="07479B4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tcPr>
          <w:p w14:paraId="0772C5F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r>
      <w:tr w14:paraId="9A6E576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CCF0BD23">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5123CAEB">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AA8BD569">
            <w:pPr>
              <w:widowControl/>
              <w:autoSpaceDE/>
              <w:autoSpaceDN/>
              <w:snapToGrid/>
              <w:spacing w:line="240" w:lineRule="auto"/>
              <w:ind w:firstLine="0"/>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A0AFF1D3">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FA97A13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FC760BC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BC04254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2485E8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E7EEF1A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E5D3A9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r>
      <w:tr w14:paraId="E49FED4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AC1393C">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0" w:type="auto"/>
            <w:vMerge w:val="continue"/>
            <w:tcBorders>
              <w:top w:val="inset" w:color="auto" w:sz="8" w:space="0"/>
              <w:left w:val="nil"/>
              <w:bottom w:val="inset" w:color="auto" w:sz="8" w:space="0"/>
              <w:right w:val="single" w:color="auto" w:sz="8" w:space="0"/>
            </w:tcBorders>
            <w:vAlign w:val="center"/>
          </w:tcPr>
          <w:p w14:paraId="3C0E577F">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72CE29DA">
            <w:pPr>
              <w:widowControl/>
              <w:autoSpaceDE/>
              <w:autoSpaceDN/>
              <w:snapToGrid/>
              <w:spacing w:line="240" w:lineRule="auto"/>
              <w:ind w:firstLine="0"/>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4EAF71F">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6D3318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C6B8A24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BBF1EED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E1870CD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9896B6A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FD422C0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r>
      <w:tr w14:paraId="D176972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5FFA25C">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0" w:type="auto"/>
            <w:vMerge w:val="continue"/>
            <w:tcBorders>
              <w:top w:val="inset" w:color="auto" w:sz="8" w:space="0"/>
              <w:left w:val="nil"/>
              <w:bottom w:val="inset" w:color="auto" w:sz="8" w:space="0"/>
              <w:right w:val="single" w:color="auto" w:sz="8" w:space="0"/>
            </w:tcBorders>
            <w:vAlign w:val="center"/>
          </w:tcPr>
          <w:p w14:paraId="06E94BF5">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AEE975C2">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EBE91EB">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A1AA80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B9C7A7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96FE99E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C7355F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D31FB1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D21535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r>
      <w:tr w14:paraId="4EB5EFB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094F810">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228C06C9">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71FF87F">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883B75D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E35E5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DB16BC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EDC7319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9959B89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ED56FD2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r>
      <w:tr w14:paraId="C203D34A">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B73AA4BC">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F9E4D20C">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2BA7D1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372F92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AE890F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5FF8CB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7FA199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A96E22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r>
    </w:tbl>
    <w:p w14:paraId="3B0AE353">
      <w:pPr>
        <w:spacing w:line="240" w:lineRule="auto"/>
        <w:ind w:firstLine="600" w:firstLineChars="200"/>
        <w:rPr>
          <w:rFonts w:hint="default" w:ascii="Times New Roman" w:hAnsi="Times New Roman" w:eastAsia="黑体" w:cs="Times New Roman"/>
          <w:sz w:val="30"/>
          <w:szCs w:val="30"/>
          <w:highlight w:val="none"/>
        </w:rPr>
      </w:pPr>
    </w:p>
    <w:p w14:paraId="0E35649D">
      <w:pPr>
        <w:spacing w:line="240" w:lineRule="auto"/>
        <w:ind w:firstLine="600" w:firstLineChars="200"/>
        <w:rPr>
          <w:rFonts w:hint="default" w:ascii="Times New Roman" w:hAnsi="Times New Roman" w:eastAsia="黑体" w:cs="Times New Roman"/>
          <w:sz w:val="30"/>
          <w:szCs w:val="30"/>
          <w:highlight w:val="none"/>
        </w:rPr>
      </w:pPr>
    </w:p>
    <w:p w14:paraId="A2E1DC68">
      <w:pPr>
        <w:spacing w:after="156" w:afterLines="50" w:line="240" w:lineRule="auto"/>
        <w:ind w:firstLine="640" w:firstLineChars="200"/>
        <w:rPr>
          <w:rFonts w:hint="default" w:ascii="Times New Roman" w:hAnsi="Times New Roman" w:eastAsia="黑体" w:cs="Times New Roman"/>
          <w:sz w:val="30"/>
          <w:szCs w:val="30"/>
          <w:highlight w:val="none"/>
        </w:rPr>
      </w:pPr>
      <w:r>
        <w:rPr>
          <w:rFonts w:hint="default" w:ascii="Times New Roman" w:hAnsi="Times New Roman" w:eastAsia="黑体" w:cs="Times New Roman"/>
          <w:szCs w:val="32"/>
          <w:highlight w:val="none"/>
        </w:rPr>
        <w:t>四、政府信息公开行政复议、行政诉讼情况</w:t>
      </w:r>
    </w:p>
    <w:tbl>
      <w:tblPr>
        <w:tblStyle w:val="6"/>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8AB93AD8">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49ED32">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A1066672">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行政诉讼</w:t>
            </w:r>
          </w:p>
        </w:tc>
      </w:tr>
      <w:tr w14:paraId="C7AE8B12">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FA9B4198">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FDA0B8FF">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结果</w:t>
            </w:r>
            <w:r>
              <w:rPr>
                <w:rFonts w:hint="default" w:ascii="Times New Roman" w:hAnsi="Times New Roman" w:eastAsia="宋体" w:cs="Times New Roman"/>
                <w:snapToGrid/>
                <w:sz w:val="20"/>
                <w:highlight w:val="none"/>
              </w:rPr>
              <w:br w:type="textWrapping"/>
            </w:r>
            <w:r>
              <w:rPr>
                <w:rFonts w:hint="default" w:ascii="Times New Roman" w:hAnsi="Times New Roman" w:eastAsia="宋体" w:cs="Times New Roman"/>
                <w:snapToGrid/>
                <w:sz w:val="20"/>
                <w:highlight w:val="none"/>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A8D6142F">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其他</w:t>
            </w:r>
            <w:r>
              <w:rPr>
                <w:rFonts w:hint="default" w:ascii="Times New Roman" w:hAnsi="Times New Roman" w:eastAsia="宋体" w:cs="Times New Roman"/>
                <w:snapToGrid/>
                <w:sz w:val="20"/>
                <w:highlight w:val="none"/>
              </w:rPr>
              <w:br w:type="textWrapping"/>
            </w:r>
            <w:r>
              <w:rPr>
                <w:rFonts w:hint="default" w:ascii="Times New Roman" w:hAnsi="Times New Roman" w:eastAsia="宋体" w:cs="Times New Roman"/>
                <w:snapToGrid/>
                <w:sz w:val="20"/>
                <w:highlight w:val="none"/>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26C117">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尚未</w:t>
            </w:r>
            <w:r>
              <w:rPr>
                <w:rFonts w:hint="default" w:ascii="Times New Roman" w:hAnsi="Times New Roman" w:eastAsia="宋体" w:cs="Times New Roman"/>
                <w:snapToGrid/>
                <w:sz w:val="20"/>
                <w:highlight w:val="none"/>
              </w:rPr>
              <w:br w:type="textWrapping"/>
            </w:r>
            <w:r>
              <w:rPr>
                <w:rFonts w:hint="default" w:ascii="Times New Roman" w:hAnsi="Times New Roman" w:eastAsia="宋体" w:cs="Times New Roman"/>
                <w:snapToGrid/>
                <w:sz w:val="20"/>
                <w:highlight w:val="none"/>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96770BC2">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BC44F1C6">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8D2B971D">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复议后起诉</w:t>
            </w:r>
          </w:p>
        </w:tc>
      </w:tr>
      <w:tr w14:paraId="015B9469">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5F49C0C7">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0" w:type="auto"/>
            <w:vMerge w:val="continue"/>
            <w:tcBorders>
              <w:top w:val="nil"/>
              <w:left w:val="single" w:color="auto" w:sz="8" w:space="0"/>
              <w:bottom w:val="single" w:color="auto" w:sz="8" w:space="0"/>
              <w:right w:val="single" w:color="auto" w:sz="8" w:space="0"/>
            </w:tcBorders>
            <w:vAlign w:val="center"/>
          </w:tcPr>
          <w:p w14:paraId="FB0F7C62">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2E74CDEF">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73C6F790">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93B80BA1">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FBB5E15F">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结果</w:t>
            </w:r>
            <w:r>
              <w:rPr>
                <w:rFonts w:hint="default" w:ascii="Times New Roman" w:hAnsi="Times New Roman" w:eastAsia="宋体" w:cs="Times New Roman"/>
                <w:snapToGrid/>
                <w:sz w:val="20"/>
                <w:highlight w:val="none"/>
              </w:rPr>
              <w:br w:type="textWrapping"/>
            </w:r>
            <w:r>
              <w:rPr>
                <w:rFonts w:hint="default" w:ascii="Times New Roman" w:hAnsi="Times New Roman" w:eastAsia="宋体" w:cs="Times New Roman"/>
                <w:snapToGrid/>
                <w:sz w:val="20"/>
                <w:highlight w:val="none"/>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8E5A0FA2">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结果</w:t>
            </w:r>
            <w:r>
              <w:rPr>
                <w:rFonts w:hint="default" w:ascii="Times New Roman" w:hAnsi="Times New Roman" w:eastAsia="宋体" w:cs="Times New Roman"/>
                <w:snapToGrid/>
                <w:sz w:val="20"/>
                <w:highlight w:val="none"/>
              </w:rPr>
              <w:br w:type="textWrapping"/>
            </w:r>
            <w:r>
              <w:rPr>
                <w:rFonts w:hint="default" w:ascii="Times New Roman" w:hAnsi="Times New Roman" w:eastAsia="宋体" w:cs="Times New Roman"/>
                <w:snapToGrid/>
                <w:sz w:val="20"/>
                <w:highlight w:val="none"/>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8F5C9F">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其他</w:t>
            </w:r>
            <w:r>
              <w:rPr>
                <w:rFonts w:hint="default" w:ascii="Times New Roman" w:hAnsi="Times New Roman" w:eastAsia="宋体" w:cs="Times New Roman"/>
                <w:snapToGrid/>
                <w:sz w:val="20"/>
                <w:highlight w:val="none"/>
              </w:rPr>
              <w:br w:type="textWrapping"/>
            </w:r>
            <w:r>
              <w:rPr>
                <w:rFonts w:hint="default" w:ascii="Times New Roman" w:hAnsi="Times New Roman" w:eastAsia="宋体" w:cs="Times New Roman"/>
                <w:snapToGrid/>
                <w:sz w:val="20"/>
                <w:highlight w:val="none"/>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FBC748">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尚未</w:t>
            </w:r>
            <w:r>
              <w:rPr>
                <w:rFonts w:hint="default" w:ascii="Times New Roman" w:hAnsi="Times New Roman" w:eastAsia="宋体" w:cs="Times New Roman"/>
                <w:snapToGrid/>
                <w:sz w:val="20"/>
                <w:highlight w:val="none"/>
              </w:rPr>
              <w:br w:type="textWrapping"/>
            </w:r>
            <w:r>
              <w:rPr>
                <w:rFonts w:hint="default" w:ascii="Times New Roman" w:hAnsi="Times New Roman" w:eastAsia="宋体" w:cs="Times New Roman"/>
                <w:snapToGrid/>
                <w:sz w:val="20"/>
                <w:highlight w:val="none"/>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7F264E9">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color w:val="000000"/>
                <w:sz w:val="20"/>
                <w:highlight w:val="none"/>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EDEDC7A0">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结果</w:t>
            </w:r>
            <w:r>
              <w:rPr>
                <w:rFonts w:hint="default" w:ascii="Times New Roman" w:hAnsi="Times New Roman" w:eastAsia="宋体" w:cs="Times New Roman"/>
                <w:snapToGrid/>
                <w:sz w:val="20"/>
                <w:highlight w:val="none"/>
              </w:rPr>
              <w:br w:type="textWrapping"/>
            </w:r>
            <w:r>
              <w:rPr>
                <w:rFonts w:hint="default" w:ascii="Times New Roman" w:hAnsi="Times New Roman" w:eastAsia="宋体" w:cs="Times New Roman"/>
                <w:snapToGrid/>
                <w:sz w:val="20"/>
                <w:highlight w:val="none"/>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3DABD7">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结果</w:t>
            </w:r>
            <w:r>
              <w:rPr>
                <w:rFonts w:hint="default" w:ascii="Times New Roman" w:hAnsi="Times New Roman" w:eastAsia="宋体" w:cs="Times New Roman"/>
                <w:snapToGrid/>
                <w:sz w:val="20"/>
                <w:highlight w:val="none"/>
              </w:rPr>
              <w:br w:type="textWrapping"/>
            </w:r>
            <w:r>
              <w:rPr>
                <w:rFonts w:hint="default" w:ascii="Times New Roman" w:hAnsi="Times New Roman" w:eastAsia="宋体" w:cs="Times New Roman"/>
                <w:snapToGrid/>
                <w:sz w:val="20"/>
                <w:highlight w:val="none"/>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F6A461">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color w:val="000000"/>
                <w:sz w:val="20"/>
                <w:highlight w:val="none"/>
              </w:rPr>
              <w:t>其他</w:t>
            </w:r>
            <w:r>
              <w:rPr>
                <w:rFonts w:hint="default" w:ascii="Times New Roman" w:hAnsi="Times New Roman" w:eastAsia="宋体" w:cs="Times New Roman"/>
                <w:snapToGrid/>
                <w:color w:val="000000"/>
                <w:sz w:val="20"/>
                <w:highlight w:val="none"/>
              </w:rPr>
              <w:br w:type="textWrapping"/>
            </w:r>
            <w:r>
              <w:rPr>
                <w:rFonts w:hint="default" w:ascii="Times New Roman" w:hAnsi="Times New Roman" w:eastAsia="宋体" w:cs="Times New Roman"/>
                <w:snapToGrid/>
                <w:color w:val="000000"/>
                <w:sz w:val="20"/>
                <w:highlight w:val="none"/>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7DC32F4">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rPr>
              <w:t>尚未</w:t>
            </w:r>
            <w:r>
              <w:rPr>
                <w:rFonts w:hint="default" w:ascii="Times New Roman" w:hAnsi="Times New Roman" w:eastAsia="宋体" w:cs="Times New Roman"/>
                <w:snapToGrid/>
                <w:sz w:val="20"/>
                <w:highlight w:val="none"/>
              </w:rPr>
              <w:br w:type="textWrapping"/>
            </w:r>
            <w:r>
              <w:rPr>
                <w:rFonts w:hint="default" w:ascii="Times New Roman" w:hAnsi="Times New Roman" w:eastAsia="宋体" w:cs="Times New Roman"/>
                <w:snapToGrid/>
                <w:sz w:val="20"/>
                <w:highlight w:val="none"/>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F65F55">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color w:val="000000"/>
                <w:sz w:val="20"/>
                <w:highlight w:val="none"/>
              </w:rPr>
              <w:t>总计</w:t>
            </w:r>
          </w:p>
        </w:tc>
      </w:tr>
      <w:tr w14:paraId="C289246B">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E89D659">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F051BF6B">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AB3FDF68">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1AEAF7E">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DF6F832A">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B5756D7C">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9F8328E0">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DAE26DA1">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rPr>
            </w:pPr>
            <w:r>
              <w:rPr>
                <w:rFonts w:hint="default" w:ascii="Times New Roman" w:hAnsi="Times New Roman" w:eastAsia="宋体" w:cs="Times New Roman"/>
                <w:snapToGrid/>
                <w:sz w:val="20"/>
                <w:highlight w:val="none"/>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87F2F739">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1C15A5">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E0DBB7ED">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3B08283">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43D91BD">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D4AE54B">
            <w:pPr>
              <w:widowControl/>
              <w:autoSpaceDE/>
              <w:autoSpaceDN/>
              <w:snapToGrid/>
              <w:spacing w:line="240" w:lineRule="auto"/>
              <w:ind w:firstLine="0"/>
              <w:jc w:val="center"/>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0"/>
                <w:highlight w:val="none"/>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860DE824">
            <w:pPr>
              <w:widowControl/>
              <w:autoSpaceDE/>
              <w:autoSpaceDN/>
              <w:snapToGrid/>
              <w:spacing w:line="240" w:lineRule="auto"/>
              <w:ind w:firstLine="0"/>
              <w:jc w:val="left"/>
              <w:rPr>
                <w:rFonts w:hint="default" w:ascii="Times New Roman" w:hAnsi="Times New Roman" w:eastAsia="宋体" w:cs="Times New Roman"/>
                <w:snapToGrid/>
                <w:sz w:val="24"/>
                <w:szCs w:val="24"/>
                <w:highlight w:val="none"/>
                <w:lang w:val="en-US" w:eastAsia="zh-CN"/>
              </w:rPr>
            </w:pPr>
            <w:r>
              <w:rPr>
                <w:rFonts w:hint="default" w:ascii="Times New Roman" w:hAnsi="Times New Roman" w:eastAsia="宋体" w:cs="Times New Roman"/>
                <w:snapToGrid/>
                <w:sz w:val="24"/>
                <w:szCs w:val="24"/>
                <w:highlight w:val="none"/>
                <w:lang w:val="en-US" w:eastAsia="zh-CN"/>
              </w:rPr>
              <w:t>0</w:t>
            </w:r>
          </w:p>
        </w:tc>
      </w:tr>
    </w:tbl>
    <w:p w14:paraId="F41175A8">
      <w:pPr>
        <w:spacing w:line="240" w:lineRule="auto"/>
        <w:ind w:firstLine="640" w:firstLineChars="200"/>
        <w:rPr>
          <w:rFonts w:hint="default" w:ascii="Times New Roman" w:hAnsi="Times New Roman" w:eastAsia="黑体" w:cs="Times New Roman"/>
          <w:szCs w:val="32"/>
          <w:highlight w:val="none"/>
        </w:rPr>
      </w:pPr>
    </w:p>
    <w:p w14:paraId="FE45E597">
      <w:pPr>
        <w:spacing w:line="560" w:lineRule="exact"/>
        <w:ind w:firstLine="640" w:firstLineChars="200"/>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五、存在的主要问题及改进情况</w:t>
      </w:r>
    </w:p>
    <w:p w14:paraId="A7A86122">
      <w:pPr>
        <w:spacing w:line="560" w:lineRule="exact"/>
        <w:ind w:firstLine="640" w:firstLineChars="20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（一）存在问题</w:t>
      </w:r>
    </w:p>
    <w:p w14:paraId="D654074C">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一是</w:t>
      </w:r>
      <w:r>
        <w:rPr>
          <w:rFonts w:hint="default" w:ascii="Times New Roman" w:hAnsi="Times New Roman" w:eastAsia="仿宋_GB2312" w:cs="Times New Roman"/>
          <w:sz w:val="32"/>
          <w:szCs w:val="32"/>
          <w:highlight w:val="none"/>
          <w:lang w:eastAsia="zh-CN"/>
        </w:rPr>
        <w:t>重点领域信息公开回应社会关切的精准性有待提升。 在对社会公众普遍关切的高频事项，如社保缴费、待遇申领等流程细节和常见问题，信息供给的细化程度和更新及时性仍需加强。</w:t>
      </w:r>
    </w:p>
    <w:p w14:paraId="219D8343">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二是</w:t>
      </w:r>
      <w:r>
        <w:rPr>
          <w:rFonts w:hint="default" w:ascii="Times New Roman" w:hAnsi="Times New Roman" w:eastAsia="仿宋_GB2312" w:cs="Times New Roman"/>
          <w:sz w:val="32"/>
          <w:szCs w:val="32"/>
          <w:highlight w:val="none"/>
          <w:lang w:eastAsia="zh-CN"/>
        </w:rPr>
        <w:t>人员队伍稳定性不足。政务公开相关工作人员存在频繁更换的情况，新入职人员需一定时间熟悉业务，导致个别公开事项与对应栏目不匹配，信息分类发布的精准度有待提升。</w:t>
      </w:r>
    </w:p>
    <w:p w14:paraId="687F0DE7">
      <w:pPr>
        <w:keepNext w:val="0"/>
        <w:keepLines w:val="0"/>
        <w:pageBreakBefore w:val="0"/>
        <w:widowControl w:val="0"/>
        <w:numPr>
          <w:ilvl w:val="0"/>
          <w:numId w:val="1"/>
        </w:numPr>
        <w:kinsoku/>
        <w:wordWrap/>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改进情况</w:t>
      </w:r>
    </w:p>
    <w:p w14:paraId="877A1713">
      <w:pPr>
        <w:pStyle w:val="5"/>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580" w:lineRule="atLeast"/>
        <w:ind w:firstLine="624"/>
        <w:jc w:val="left"/>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一是深化</w:t>
      </w:r>
      <w:r>
        <w:rPr>
          <w:rFonts w:hint="eastAsia" w:eastAsia="仿宋_GB2312" w:cs="Times New Roman"/>
          <w:sz w:val="32"/>
          <w:szCs w:val="32"/>
          <w:highlight w:val="none"/>
          <w:lang w:eastAsia="zh-CN"/>
        </w:rPr>
        <w:t>重点领域信息公开</w:t>
      </w:r>
      <w:r>
        <w:rPr>
          <w:rFonts w:hint="default" w:ascii="Times New Roman" w:hAnsi="Times New Roman" w:eastAsia="仿宋_GB2312" w:cs="Times New Roman"/>
          <w:sz w:val="32"/>
          <w:szCs w:val="32"/>
          <w:highlight w:val="none"/>
          <w:lang w:eastAsia="zh-CN"/>
        </w:rPr>
        <w:t xml:space="preserve">。系统梳理就业、社保等重点领域的信息公开清单，推动从“公开事项”向“公开实效”延伸，定期公布相关工作数据。 </w:t>
      </w:r>
    </w:p>
    <w:p w14:paraId="6E363E9A">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黑体" w:cs="Times New Roman"/>
          <w:sz w:val="32"/>
          <w:szCs w:val="32"/>
          <w:highlight w:val="none"/>
        </w:rPr>
      </w:pPr>
      <w:r>
        <w:rPr>
          <w:rFonts w:hint="eastAsia" w:eastAsia="仿宋_GB2312" w:cs="Times New Roman"/>
          <w:sz w:val="32"/>
          <w:szCs w:val="32"/>
          <w:highlight w:val="none"/>
          <w:lang w:val="en-US" w:eastAsia="zh-CN"/>
        </w:rPr>
        <w:t>二是</w:t>
      </w:r>
      <w:r>
        <w:rPr>
          <w:rFonts w:hint="default" w:ascii="Times New Roman" w:hAnsi="Times New Roman" w:eastAsia="仿宋_GB2312" w:cs="Times New Roman"/>
          <w:sz w:val="32"/>
          <w:szCs w:val="32"/>
          <w:highlight w:val="none"/>
          <w:lang w:eastAsia="zh-CN"/>
        </w:rPr>
        <w:t>强化人员队伍建设与管理。建立政务公开岗位责任制，明确专人专岗负责信息公开工作，减少人员频繁变动对工作的影响。制定《信息公开栏目与事项对应清单》，规范信息分类标准和发布流程，为工作人员提供明确操作依据。优化培训体系，除常规专题培训外，新增“以老带新”实操培训模式，帮助新入职人员快速掌握业务技能。建立信息发布双人核对机制，信息公开前由业务人员和审核人员共同核对，确保公开事项与栏目精准对应，提升信息发布质量。</w:t>
      </w:r>
    </w:p>
    <w:p w14:paraId="819709B9">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六、其他需要报告的事项</w:t>
      </w:r>
    </w:p>
    <w:p w14:paraId="D5517F7A">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jc w:val="left"/>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（一）政府信息公开信息处理费收取情况</w:t>
      </w:r>
    </w:p>
    <w:p w14:paraId="3F09A3E1">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年本机关依申请公开政府信息未收取任何费用。</w:t>
      </w:r>
    </w:p>
    <w:p w14:paraId="D1682254">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jc w:val="left"/>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（二）落实上级年度政务公开工作要点情况</w:t>
      </w:r>
    </w:p>
    <w:p w14:paraId="B178EFCD">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严格落实国家和省市县政务公开工作要点，并根据《高青县人民政府办公室关于印发2025年高青县政务公开工作方案的通知》要求，制定了《高青县人力资源和社会保障局政务公开工作方案》，明确了重点任务、工作标准和完成时限。</w:t>
      </w:r>
      <w:r>
        <w:rPr>
          <w:rFonts w:hint="eastAsia" w:eastAsia="仿宋_GB2312" w:cs="Times New Roman"/>
          <w:sz w:val="32"/>
          <w:szCs w:val="32"/>
          <w:highlight w:val="none"/>
          <w:lang w:val="en-US" w:eastAsia="zh-CN"/>
        </w:rPr>
        <w:t>一是</w:t>
      </w:r>
      <w:r>
        <w:rPr>
          <w:rFonts w:hint="default" w:ascii="Times New Roman" w:hAnsi="Times New Roman" w:eastAsia="仿宋_GB2312" w:cs="Times New Roman"/>
          <w:sz w:val="32"/>
          <w:szCs w:val="32"/>
          <w:highlight w:val="none"/>
          <w:lang w:val="en-US" w:eastAsia="zh-CN"/>
        </w:rPr>
        <w:t>聚焦群众就业需求与企业用工痛点，建立常态化招聘信息公开机制。每月精准发布企业招聘岗位、高校毕业生专项招聘、就业困难人员专场招聘会、失业人员再就业招聘会等多元信息，清晰列明岗位要求、薪资待遇、招聘流程等关键内容。通过网站线上推送与线下服务大厅张贴公示相结合的方式，让群众实时掌握就业动态，助力企业高效对接求职人员，切实搭建起供需两端的便捷沟通桥梁。</w:t>
      </w:r>
    </w:p>
    <w:p w14:paraId="8DDCD7BD">
      <w:pPr>
        <w:keepNext w:val="0"/>
        <w:keepLines w:val="0"/>
        <w:pageBreakBefore w:val="0"/>
        <w:widowControl w:val="0"/>
        <w:kinsoku/>
        <w:wordWrap/>
        <w:overflowPunct/>
        <w:topLinePunct w:val="0"/>
        <w:autoSpaceDE w:val="0"/>
        <w:autoSpaceDN w:val="0"/>
        <w:bidi w:val="0"/>
        <w:adjustRightInd/>
        <w:snapToGrid w:val="0"/>
        <w:spacing w:line="560" w:lineRule="exact"/>
        <w:ind w:left="0" w:leftChars="0" w:firstLine="0" w:firstLineChars="0"/>
        <w:textAlignment w:val="auto"/>
        <w:rPr>
          <w:rFonts w:hint="default" w:ascii="Times New Roman" w:hAnsi="Times New Roman" w:eastAsia="仿宋_GB2312" w:cs="Times New Roman"/>
          <w:color w:val="0000FF"/>
          <w:sz w:val="32"/>
          <w:szCs w:val="32"/>
          <w:highlight w:val="none"/>
        </w:rPr>
      </w:pPr>
      <w:r>
        <w:rPr>
          <w:rFonts w:hint="eastAsia" w:eastAsia="仿宋_GB2312" w:cs="Times New Roman"/>
          <w:sz w:val="32"/>
          <w:szCs w:val="32"/>
          <w:highlight w:val="none"/>
          <w:lang w:val="en-US" w:eastAsia="zh-CN"/>
        </w:rPr>
        <w:t>二是</w:t>
      </w:r>
      <w:r>
        <w:rPr>
          <w:rFonts w:hint="default" w:ascii="Times New Roman" w:hAnsi="Times New Roman" w:eastAsia="仿宋_GB2312" w:cs="Times New Roman"/>
          <w:sz w:val="32"/>
          <w:szCs w:val="32"/>
          <w:highlight w:val="none"/>
          <w:lang w:val="en-US" w:eastAsia="zh-CN"/>
        </w:rPr>
        <w:t>以保障民生福祉为核心，全面公开各类惠民补贴及社保相关信息。按月公示技术技能提升补贴、创业补贴、创业担保贷款贴息、稳岗补贴、一次性扩岗补助等政策落实情况，详细说明补贴标准、申请流程及发放结果；按季度公开养老保险、工伤保险、失业保险参保人数、基金收支等基本情况，主动接受社会各界监督。通过清晰透明的信息公开，让群众对惠民政策“看得见、摸得着、用得上”，切实增强群众的获得感与幸福感。</w:t>
      </w:r>
      <w:r>
        <w:rPr>
          <w:rFonts w:hint="eastAsia" w:eastAsia="仿宋_GB2312" w:cs="Times New Roman"/>
          <w:sz w:val="32"/>
          <w:szCs w:val="32"/>
          <w:highlight w:val="none"/>
          <w:lang w:val="en-US" w:eastAsia="zh-CN"/>
        </w:rPr>
        <w:t>三是</w:t>
      </w:r>
      <w:r>
        <w:rPr>
          <w:rFonts w:hint="default" w:ascii="Times New Roman" w:hAnsi="Times New Roman" w:eastAsia="仿宋_GB2312" w:cs="Times New Roman"/>
          <w:sz w:val="32"/>
          <w:szCs w:val="32"/>
          <w:highlight w:val="none"/>
          <w:lang w:val="en-US" w:eastAsia="zh-CN"/>
        </w:rPr>
        <w:t>规范企业用工行为、保障劳动者合法权益，及时向社会公布最低工资标准，通过政务网站、新媒体平台、服务大厅宣传册等多渠道广泛宣传，明确最低工资标准具体数值、适用范围及执行时间。让企业清晰知晓用工底线，让劳动者明确自身权益边界，为构建和谐稳定的劳资关系提供坚实政策保障，推动县域用工环境持续优化。</w:t>
      </w:r>
    </w:p>
    <w:p w14:paraId="79A49F1A">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jc w:val="left"/>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（三）人大代表建议和政协委员提案办理结果公开情况</w:t>
      </w:r>
    </w:p>
    <w:p w14:paraId="3D4FA298">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2025年共承办县十八届人大</w:t>
      </w: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次会议建议1件，承办县政协十五届</w:t>
      </w: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次会议提案4件，办复率均为100%。除涉及国家秘密、工作秘密的，所有建议提案办理复文或摘要以及办理总体情况均在县政府门户网站建议提案办理专题中予以公开。</w:t>
      </w:r>
    </w:p>
    <w:p w14:paraId="A4A4D5DE">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jc w:val="left"/>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（四）政务公开工作创新情况</w:t>
      </w:r>
    </w:p>
    <w:p w14:paraId="A0F9B7CA">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构建“沉浸式”公开模式，打造“线上+线下”深度融合的公开体系，线上依托县政府门户网站、“最高青”客户端构建立体传播矩阵，实现政策信息快速直达；线下打造服务大厅“政务公开角”，依托每月20日的招聘会同步常态化开展政府开放日活动，邀请群众走进人社部门，实地观摩政策申报流程、业务办理环节，增强政务公开的直观性与互动性</w:t>
      </w:r>
      <w:r>
        <w:rPr>
          <w:rFonts w:hint="eastAsia" w:eastAsia="仿宋_GB2312" w:cs="Times New Roman"/>
          <w:sz w:val="32"/>
          <w:szCs w:val="32"/>
          <w:highlight w:val="none"/>
          <w:lang w:val="en-US" w:eastAsia="zh-CN"/>
        </w:rPr>
        <w:t>。</w:t>
      </w:r>
    </w:p>
    <w:p w14:paraId="9642336B">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jc w:val="left"/>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（五）有关数据统计说明</w:t>
      </w:r>
    </w:p>
    <w:p w14:paraId="5D21B3DE">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1.报告中所列数据可能因四舍五入原因与数据直接相加之和存在尾数差异。</w:t>
      </w:r>
    </w:p>
    <w:p w14:paraId="3571DC1E">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2.行政许可数量、行政处罚和行政强制数量，包括已公开和依法未公开的全部处理决定。</w:t>
      </w:r>
    </w:p>
    <w:p w14:paraId="12CA30B0">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jc w:val="left"/>
        <w:textAlignment w:val="auto"/>
        <w:rPr>
          <w:rFonts w:hint="default" w:ascii="Times New Roman" w:hAnsi="Times New Roman" w:eastAsia="楷体_GB2312" w:cs="Times New Roman"/>
          <w:sz w:val="32"/>
          <w:szCs w:val="32"/>
          <w:highlight w:val="none"/>
        </w:rPr>
      </w:pPr>
      <w:r>
        <w:rPr>
          <w:rFonts w:hint="default" w:ascii="Times New Roman" w:hAnsi="Times New Roman" w:eastAsia="仿宋_GB2312" w:cs="Times New Roman"/>
          <w:sz w:val="32"/>
          <w:szCs w:val="32"/>
          <w:highlight w:val="none"/>
        </w:rPr>
        <w:t>3.行政复议机关作为共同被告的行政诉讼案件，只计算原行为主体的案件数量，不计算行政复议机关的案件数量。</w:t>
      </w:r>
    </w:p>
    <w:sectPr>
      <w:footerReference r:id="rId5" w:type="default"/>
      <w:pgSz w:w="11906" w:h="16838"/>
      <w:pgMar w:top="1871" w:right="1474" w:bottom="1871"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D757AB43">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F9ADC64">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2F9ADC64">
                    <w:pPr>
                      <w:pStyle w:val="3"/>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FC7DD6"/>
    <w:rsid w:val="5A256D79"/>
    <w:rsid w:val="7D8D7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kern w:val="0"/>
      <w:sz w:val="32"/>
      <w:szCs w:val="20"/>
      <w:lang w:val="en-US" w:eastAsia="zh-CN" w:bidi="ar-SA"/>
    </w:rPr>
  </w:style>
  <w:style w:type="paragraph" w:styleId="2">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character" w:default="1" w:styleId="8">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pacing w:line="240" w:lineRule="atLeast"/>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pacing w:line="240" w:lineRule="atLeast"/>
      <w:jc w:val="center"/>
    </w:pPr>
    <w:rPr>
      <w:sz w:val="18"/>
      <w:szCs w:val="18"/>
    </w:rPr>
  </w:style>
  <w:style w:type="paragraph" w:styleId="5">
    <w:name w:val="Normal (Web)"/>
    <w:basedOn w:val="1"/>
    <w:uiPriority w:val="99"/>
    <w:pPr>
      <w:spacing w:before="0" w:beforeAutospacing="1" w:after="0" w:afterAutospacing="1"/>
      <w:ind w:left="0" w:right="0"/>
      <w:jc w:val="left"/>
    </w:pPr>
    <w:rPr>
      <w:kern w:val="0"/>
      <w:sz w:val="24"/>
      <w:lang w:val="en-US" w:eastAsia="zh-CN"/>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customStyle="1" w:styleId="10">
    <w:name w:val="页眉 Char"/>
    <w:basedOn w:val="8"/>
    <w:link w:val="4"/>
    <w:qFormat/>
    <w:uiPriority w:val="99"/>
    <w:rPr>
      <w:rFonts w:ascii="Times New Roman" w:hAnsi="Times New Roman" w:eastAsia="方正仿宋_GBK" w:cs="Times New Roman"/>
      <w:snapToGrid w:val="0"/>
      <w:kern w:val="0"/>
      <w:sz w:val="18"/>
      <w:szCs w:val="18"/>
    </w:rPr>
  </w:style>
  <w:style w:type="character" w:customStyle="1" w:styleId="11">
    <w:name w:val="页脚 Char"/>
    <w:basedOn w:val="8"/>
    <w:link w:val="3"/>
    <w:qFormat/>
    <w:uiPriority w:val="99"/>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政府信息公开数量</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Sheet1!$A$2:$A$4</c:f>
              <c:strCache>
                <c:ptCount val="3"/>
                <c:pt idx="0">
                  <c:v>2023年</c:v>
                </c:pt>
                <c:pt idx="1">
                  <c:v>2024年</c:v>
                </c:pt>
                <c:pt idx="2">
                  <c:v>2025年</c:v>
                </c:pt>
              </c:strCache>
            </c:strRef>
          </c:cat>
          <c:val>
            <c:numRef>
              <c:f>Sheet1!$B$2:$B$4</c:f>
              <c:numCache>
                <c:formatCode>General</c:formatCode>
                <c:ptCount val="3"/>
                <c:pt idx="0">
                  <c:v>446</c:v>
                </c:pt>
                <c:pt idx="1">
                  <c:v>500</c:v>
                </c:pt>
                <c:pt idx="2">
                  <c:v>511</c:v>
                </c:pt>
              </c:numCache>
            </c:numRef>
          </c:val>
        </c:ser>
        <c:dLbls>
          <c:showLegendKey val="0"/>
          <c:showVal val="0"/>
          <c:showCatName val="0"/>
          <c:showSerName val="0"/>
          <c:showPercent val="0"/>
          <c:showBubbleSize val="0"/>
        </c:dLbls>
        <c:gapWidth val="246"/>
        <c:overlap val="-28"/>
        <c:axId val="468752848"/>
        <c:axId val="201989966"/>
      </c:barChart>
      <c:dateAx>
        <c:axId val="46875284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201989966"/>
        <c:crosses val="autoZero"/>
        <c:auto val="0"/>
        <c:lblAlgn val="ctr"/>
        <c:lblOffset val="100"/>
        <c:baseTimeUnit val="days"/>
      </c:dateAx>
      <c:valAx>
        <c:axId val="201989966"/>
        <c:scaling>
          <c:orientation val="minMax"/>
          <c:max val="550"/>
          <c:min val="40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7528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34f2103-1c4b-4a19-8cb2-3540ca67ee0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9</Pages>
  <Words>1315</Words>
  <Characters>1427</Characters>
  <Paragraphs>426</Paragraphs>
  <TotalTime>22</TotalTime>
  <ScaleCrop>false</ScaleCrop>
  <LinksUpToDate>false</LinksUpToDate>
  <CharactersWithSpaces>1427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2022-01-06T09:04:00Z</dcterms:created>
  <dc:creator>lb</dc:creator>
  <cp:lastModifiedBy>。</cp:lastModifiedBy>
  <dcterms:modified xsi:type="dcterms:W3CDTF">2026-01-27T08:18:22Z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eyJoZGlkIjoiNDA0NDljNmFiMzFkY2ZjZmQ4N2MzMDQyM2Q3NzlkMzMiLCJ1c2VySWQiOiI1MjQ4Mzc4MjkifQ==</vt:lpwstr>
  </property>
  <property fmtid="{D5CDD505-2E9C-101B-9397-08002B2CF9AE}" pid="3" name="KSOProductBuildVer">
    <vt:lpwstr>2052-12.1.0.24657</vt:lpwstr>
  </property>
  <property fmtid="{D5CDD505-2E9C-101B-9397-08002B2CF9AE}" pid="4" name="ICV">
    <vt:lpwstr>DA1CD0B3299EA0EF08477069F19B860B_43</vt:lpwstr>
  </property>
</Properties>
</file>