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0BE">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高青县人力资源和社会保障局</w:t>
      </w:r>
    </w:p>
    <w:p w14:paraId="04B26D54">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2020年政府信息公开工作年度报告</w:t>
      </w:r>
    </w:p>
    <w:p w14:paraId="7E7955AD">
      <w:pPr>
        <w:spacing w:line="560" w:lineRule="exact"/>
        <w:ind w:firstLine="640" w:firstLineChars="200"/>
        <w:rPr>
          <w:rFonts w:ascii="Times New Roman" w:hAnsi="Times New Roman" w:eastAsia="仿宋_GB2312" w:cs="Times New Roman"/>
          <w:sz w:val="32"/>
          <w:szCs w:val="32"/>
        </w:rPr>
      </w:pPr>
    </w:p>
    <w:p w14:paraId="1A4A053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本报告根据《中华人民共和国政府信息公开条例》（国务院令第711号，以下简称《条例》）要求，由高青县人力资源和社会保障局办公室综合本单位政府信息公开工作情况编制。</w:t>
      </w:r>
    </w:p>
    <w:p w14:paraId="08AB5BF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报告全文由总体情况、主动公开政府信息情况、收到和处理政府信息公开申请情况、政府信息公开行政复议行政诉讼情况、存在的主要问题及改进情况、其他需要报告的事项6个部分组成。</w:t>
      </w:r>
    </w:p>
    <w:p w14:paraId="063F8B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报告中所列数据统计期限自2020年1月1日始，至2020年12月31日止。报告电子版可在高青县人民政府门户网站（www.gaoqing.gov.cn）查阅和下载。如对报告内容有疑问，请与高青县</w:t>
      </w:r>
      <w:r>
        <w:rPr>
          <w:rFonts w:hint="eastAsia" w:ascii="Times New Roman" w:hAnsi="Times New Roman" w:eastAsia="仿宋_GB2312" w:cs="Times New Roman"/>
          <w:sz w:val="32"/>
          <w:szCs w:val="32"/>
        </w:rPr>
        <w:t>人力资源和社会保障</w:t>
      </w:r>
      <w:r>
        <w:rPr>
          <w:rFonts w:ascii="Times New Roman" w:hAnsi="Times New Roman" w:eastAsia="仿宋_GB2312" w:cs="Times New Roman"/>
          <w:sz w:val="32"/>
          <w:szCs w:val="32"/>
        </w:rPr>
        <w:t>局办公室联系（地址：高青县城高苑东路9号；邮编：256300；电话：0533-6961247；传真：0533-6961247）。</w:t>
      </w:r>
    </w:p>
    <w:p w14:paraId="70414DB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14:paraId="3BB857D2">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（一）体制机制建设</w:t>
      </w:r>
    </w:p>
    <w:p w14:paraId="4060941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加强组织领导。县人社局始终将政府信息公开工作作为推动依法行政、提高行政效能的重要抓手和有效载体来抓。调整了高青县人力资源和社会保障局政务公开工作领导小组，由分管负责同志任组长，局办公室主任任副组长，各单位、科室业务骨干为组员，由局办公室负责统筹负责政府信息公开工作，现有1名工作人员具体负责。</w:t>
      </w:r>
    </w:p>
    <w:p w14:paraId="14367C6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2.2020年，为进一步加大政府信息公开力度，于年初召开领导小组会议专门安排部署年度工作，并于年中和年末召开调度总结会议。与此同时，进一步完善《高青县人力资源和社会保障局政府信息公开制度》，通过制度建设强化工作落实和责任落实。</w:t>
      </w:r>
    </w:p>
    <w:p w14:paraId="1D6EBFD7">
      <w:pPr>
        <w:pStyle w:val="2"/>
      </w:pPr>
      <w:r>
        <w:drawing>
          <wp:inline distT="0" distB="0" distL="114300" distR="114300">
            <wp:extent cx="5240020" cy="2760345"/>
            <wp:effectExtent l="0" t="0" r="17780" b="1905"/>
            <wp:docPr id="1" name="图片 1" descr="政务公开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公开培训会"/>
                    <pic:cNvPicPr>
                      <a:picLocks noChangeAspect="1"/>
                    </pic:cNvPicPr>
                  </pic:nvPicPr>
                  <pic:blipFill>
                    <a:blip r:embed="rId4"/>
                    <a:stretch>
                      <a:fillRect/>
                    </a:stretch>
                  </pic:blipFill>
                  <pic:spPr>
                    <a:xfrm>
                      <a:off x="0" y="0"/>
                      <a:ext cx="5240020" cy="2760345"/>
                    </a:xfrm>
                    <a:prstGeom prst="rect">
                      <a:avLst/>
                    </a:prstGeom>
                  </pic:spPr>
                </pic:pic>
              </a:graphicData>
            </a:graphic>
          </wp:inline>
        </w:drawing>
      </w:r>
    </w:p>
    <w:p w14:paraId="2E33F53D">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（二）主动公开</w:t>
      </w:r>
    </w:p>
    <w:p w14:paraId="54DFD155">
      <w:pPr>
        <w:spacing w:line="560" w:lineRule="exact"/>
        <w:ind w:firstLine="640" w:firstLineChars="200"/>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认真贯彻《中华人民共和国政府信息公开条例》要求，紧紧围绕省人社厅</w:t>
      </w:r>
      <w:r>
        <w:rPr>
          <w:rFonts w:hint="eastAsia" w:ascii="Times New Roman" w:hAnsi="Times New Roman" w:eastAsia="仿宋_GB2312" w:cs="Times New Roman"/>
          <w:sz w:val="32"/>
          <w:szCs w:val="32"/>
        </w:rPr>
        <w:t>及上级党委、政</w:t>
      </w:r>
      <w:r>
        <w:rPr>
          <w:rFonts w:ascii="Times New Roman" w:hAnsi="Times New Roman" w:eastAsia="仿宋_GB2312" w:cs="Times New Roman"/>
          <w:sz w:val="32"/>
          <w:szCs w:val="32"/>
        </w:rPr>
        <w:t>府决策部署和重大工作安排，聚焦</w:t>
      </w:r>
      <w:r>
        <w:rPr>
          <w:rFonts w:hint="eastAsia" w:ascii="Times New Roman" w:hAnsi="Times New Roman" w:eastAsia="仿宋_GB2312" w:cs="Times New Roman"/>
          <w:sz w:val="32"/>
          <w:szCs w:val="32"/>
        </w:rPr>
        <w:t>就业创业、社会保障工作，坚持以公开为常态、不公开为例外，遵循公正、公平、合法、便民的原则，推动政府信息公开工作，2020年主动公开信息466条，新媒体共发布信息79条。</w:t>
      </w:r>
    </w:p>
    <w:p w14:paraId="29D60440">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2020年，我局共承办1件人大建议和6件政协提案，均在规定时间内处理完毕且向人大代表和政协委员反馈办理情况。</w:t>
      </w:r>
      <w:r>
        <w:rPr>
          <w:rFonts w:hint="eastAsia" w:ascii="Times New Roman" w:hAnsi="Times New Roman" w:eastAsia="仿宋_GB2312" w:cs="Times New Roman"/>
          <w:bCs/>
          <w:sz w:val="32"/>
          <w:szCs w:val="32"/>
        </w:rPr>
        <w:t>建议提案</w:t>
      </w:r>
      <w:r>
        <w:rPr>
          <w:rFonts w:ascii="Times New Roman" w:hAnsi="Times New Roman" w:eastAsia="仿宋_GB2312" w:cs="Times New Roman"/>
          <w:bCs/>
          <w:sz w:val="32"/>
          <w:szCs w:val="32"/>
        </w:rPr>
        <w:t>办理情况均</w:t>
      </w:r>
      <w:r>
        <w:rPr>
          <w:rFonts w:hint="eastAsia" w:ascii="Times New Roman" w:hAnsi="Times New Roman" w:eastAsia="仿宋_GB2312" w:cs="Times New Roman"/>
          <w:bCs/>
          <w:sz w:val="32"/>
          <w:szCs w:val="32"/>
        </w:rPr>
        <w:t>及时进行了</w:t>
      </w:r>
      <w:r>
        <w:rPr>
          <w:rFonts w:ascii="Times New Roman" w:hAnsi="Times New Roman" w:eastAsia="仿宋_GB2312" w:cs="Times New Roman"/>
          <w:bCs/>
          <w:sz w:val="32"/>
          <w:szCs w:val="32"/>
        </w:rPr>
        <w:t>公开公示。</w:t>
      </w:r>
    </w:p>
    <w:p w14:paraId="74BA0028">
      <w:pPr>
        <w:numPr>
          <w:ilvl w:val="0"/>
          <w:numId w:val="1"/>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及时公开重点信息。一是就业创业方面，</w:t>
      </w:r>
      <w:r>
        <w:rPr>
          <w:rFonts w:ascii="Times New Roman" w:hAnsi="Times New Roman" w:eastAsia="仿宋_GB2312" w:cs="Times New Roman"/>
          <w:bCs/>
          <w:sz w:val="32"/>
          <w:szCs w:val="32"/>
        </w:rPr>
        <w:t>坚持把群众最关心、最需要了解的就业创业政策作为工作重点，公开就业创业信息，发布内容涵盖补贴申领、技能人才政策、就业创业、担保贷款等。</w:t>
      </w:r>
      <w:r>
        <w:rPr>
          <w:rFonts w:hint="eastAsia" w:ascii="Times New Roman" w:hAnsi="Times New Roman" w:eastAsia="仿宋_GB2312" w:cs="Times New Roman"/>
          <w:bCs/>
          <w:sz w:val="32"/>
          <w:szCs w:val="32"/>
        </w:rPr>
        <w:t>2020年</w:t>
      </w:r>
      <w:r>
        <w:rPr>
          <w:rFonts w:ascii="Times New Roman" w:hAnsi="Times New Roman" w:eastAsia="仿宋_GB2312" w:cs="Times New Roman"/>
          <w:bCs/>
          <w:sz w:val="32"/>
          <w:szCs w:val="32"/>
        </w:rPr>
        <w:t>共公布就业创业政策措施7条，服务信息98条。</w:t>
      </w:r>
      <w:r>
        <w:rPr>
          <w:rFonts w:hint="eastAsia" w:ascii="Times New Roman" w:hAnsi="Times New Roman" w:eastAsia="仿宋_GB2312" w:cs="Times New Roman"/>
          <w:bCs/>
          <w:sz w:val="32"/>
          <w:szCs w:val="32"/>
        </w:rPr>
        <w:t>二是社会保险方面，公开养老、工伤、失业保险相关政策文件、参保情况和待遇发放情况，及时公开城乡居保征收费率等工作；二是及时公开申领各类补贴的指南，企业社保稳岗返还等资金的通知等。2020年共公开社会保险政策类信息13条，社保运行类信息36条。三是劳动保障方面，公开行政执法事项清单、服务指南、执法人员资格清单、执法流程图、执法结果、执法统计年报等信息；及时“双随机、一公开”事项，主要包括随机抽查事项清单、抽查情况及结果、年度抽查计划等。2020年共发布此类信息13条。四是人事人才工作。及时发布各类事业单位招考信息，录用信息等信息，及时公开各类人才选拔、职称评审工作相关信息。2020年共发布此类信息53条。</w:t>
      </w:r>
    </w:p>
    <w:p w14:paraId="3AAE4184">
      <w:pPr>
        <w:pStyle w:val="2"/>
      </w:pPr>
      <w:r>
        <w:drawing>
          <wp:inline distT="0" distB="0" distL="114300" distR="114300">
            <wp:extent cx="5272405" cy="4178300"/>
            <wp:effectExtent l="0" t="0" r="4445" b="12700"/>
            <wp:docPr id="2" name="图片 2" descr="1611276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1276924(1)"/>
                    <pic:cNvPicPr>
                      <a:picLocks noChangeAspect="1"/>
                    </pic:cNvPicPr>
                  </pic:nvPicPr>
                  <pic:blipFill>
                    <a:blip r:embed="rId5"/>
                    <a:stretch>
                      <a:fillRect/>
                    </a:stretch>
                  </pic:blipFill>
                  <pic:spPr>
                    <a:xfrm>
                      <a:off x="0" y="0"/>
                      <a:ext cx="5272405" cy="4178300"/>
                    </a:xfrm>
                    <a:prstGeom prst="rect">
                      <a:avLst/>
                    </a:prstGeom>
                  </pic:spPr>
                </pic:pic>
              </a:graphicData>
            </a:graphic>
          </wp:inline>
        </w:drawing>
      </w:r>
    </w:p>
    <w:p w14:paraId="719CBC04">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（三）依申请公开</w:t>
      </w:r>
    </w:p>
    <w:p w14:paraId="62C7736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1.收到和处理政府信息公开申请情况。2020年，我局未收到政府信息公开申请。</w:t>
      </w:r>
    </w:p>
    <w:p w14:paraId="202333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2.收费和减免情况。2020年，我局在政府信息公开申请办理过程中，未收取任何费用。</w:t>
      </w:r>
    </w:p>
    <w:p w14:paraId="00BBB3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3.政府信息公开行政复议、行政诉讼情况。2020年，我局没有因政府信息公开被申请行政复议的情况。</w:t>
      </w:r>
    </w:p>
    <w:p w14:paraId="295EC1C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（四）政府信息管理</w:t>
      </w:r>
    </w:p>
    <w:p w14:paraId="7B4FB45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凡以局机关名义印发的文件，均明确信息公开选项，2020年，共制发公开发布文件17份，解读文件4份，不予公开文件12份。</w:t>
      </w:r>
    </w:p>
    <w:p w14:paraId="720331E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（五）平台建设</w:t>
      </w:r>
    </w:p>
    <w:p w14:paraId="1B1BE0CA">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1.用好政府网站政务公开版块及融公开工作平台。制定本部门政府信息公开清单，按照清单内容在政府网站及政府信息公开新平台公开版块，及时完善内容、更新内容。</w:t>
      </w:r>
    </w:p>
    <w:p w14:paraId="5C68EA83">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2.加强自身新媒体建设。充分加强我局两个微信公众号建设，按照求备案管理，安排专人负责信息审核、更新，及时宣传人社政策。</w:t>
      </w:r>
    </w:p>
    <w:p w14:paraId="630A075F">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（六）监督保障</w:t>
      </w:r>
    </w:p>
    <w:p w14:paraId="21C6C596">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1.考核情况。一是切实按照县政府对部门政府信息公开考核要求，抓好本部门政府信息公开各项工作。二是对局属各单位、科室政府信息公开完成情况进行考核。</w:t>
      </w:r>
    </w:p>
    <w:p w14:paraId="79F6D2A3">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2.培训情况。2020年，每季度均对局属各单位、科室负责信息公开人员开展一次培训，及时传达学习上级关于信息公开工作的最新要求。</w:t>
      </w:r>
    </w:p>
    <w:p w14:paraId="6254862D">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3.社会评议情况。通过多种方式面向服务对象征求对我局政府信息公开工作的意见建议，并根据意见建议及时改进。</w:t>
      </w:r>
    </w:p>
    <w:p w14:paraId="6241CD51">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p w14:paraId="35118681">
      <w:pPr>
        <w:spacing w:line="560" w:lineRule="exact"/>
        <w:ind w:firstLine="640" w:firstLineChars="200"/>
        <w:rPr>
          <w:rFonts w:ascii="Times New Roman" w:hAnsi="Times New Roman" w:eastAsia="黑体" w:cs="Times New Roman"/>
          <w:sz w:val="32"/>
          <w:szCs w:val="32"/>
        </w:rPr>
      </w:pPr>
    </w:p>
    <w:p w14:paraId="1298C617">
      <w:pPr>
        <w:pStyle w:val="2"/>
        <w:rPr>
          <w:rFonts w:ascii="Times New Roman" w:hAnsi="Times New Roman" w:eastAsia="黑体" w:cs="Times New Roman"/>
          <w:sz w:val="32"/>
          <w:szCs w:val="32"/>
        </w:rPr>
      </w:pPr>
    </w:p>
    <w:p w14:paraId="7BDABCF3">
      <w:pPr>
        <w:pStyle w:val="2"/>
        <w:rPr>
          <w:rFonts w:ascii="Times New Roman" w:hAnsi="Times New Roman" w:eastAsia="黑体" w:cs="Times New Roman"/>
          <w:sz w:val="32"/>
          <w:szCs w:val="32"/>
        </w:rPr>
      </w:pPr>
    </w:p>
    <w:p w14:paraId="61A110B6">
      <w:pPr>
        <w:pStyle w:val="2"/>
        <w:rPr>
          <w:rFonts w:ascii="Times New Roman" w:hAnsi="Times New Roman" w:eastAsia="黑体" w:cs="Times New Roman"/>
          <w:sz w:val="32"/>
          <w:szCs w:val="32"/>
        </w:rPr>
      </w:pPr>
    </w:p>
    <w:p w14:paraId="362C3CF4">
      <w:pPr>
        <w:pStyle w:val="2"/>
        <w:rPr>
          <w:rFonts w:ascii="Times New Roman" w:hAnsi="Times New Roman" w:eastAsia="黑体" w:cs="Times New Roman"/>
          <w:sz w:val="32"/>
          <w:szCs w:val="32"/>
        </w:rPr>
      </w:pPr>
    </w:p>
    <w:p w14:paraId="53F2F312">
      <w:pPr>
        <w:pStyle w:val="2"/>
        <w:rPr>
          <w:rFonts w:ascii="Times New Roman" w:hAnsi="Times New Roman" w:eastAsia="黑体" w:cs="Times New Roman"/>
          <w:sz w:val="32"/>
          <w:szCs w:val="32"/>
        </w:rPr>
      </w:pP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14:paraId="2602567E">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DBB40D">
            <w:pPr>
              <w:widowControl/>
              <w:spacing w:line="360" w:lineRule="auto"/>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第二十条第（一）项</w:t>
            </w:r>
          </w:p>
        </w:tc>
      </w:tr>
      <w:tr w14:paraId="54A434C2">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14:paraId="71D10DB9">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7C96177B">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本年新制作数量</w:t>
            </w:r>
          </w:p>
        </w:tc>
        <w:tc>
          <w:tcPr>
            <w:tcW w:w="1985" w:type="dxa"/>
            <w:tcBorders>
              <w:top w:val="single" w:color="auto" w:sz="4" w:space="0"/>
              <w:left w:val="nil"/>
              <w:bottom w:val="single" w:color="auto" w:sz="4" w:space="0"/>
              <w:right w:val="single" w:color="auto" w:sz="4" w:space="0"/>
            </w:tcBorders>
            <w:vAlign w:val="center"/>
          </w:tcPr>
          <w:p w14:paraId="2EA424CF">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本年新公开数量</w:t>
            </w:r>
          </w:p>
        </w:tc>
        <w:tc>
          <w:tcPr>
            <w:tcW w:w="1984" w:type="dxa"/>
            <w:tcBorders>
              <w:top w:val="nil"/>
              <w:left w:val="nil"/>
              <w:bottom w:val="single" w:color="auto" w:sz="4" w:space="0"/>
              <w:right w:val="single" w:color="auto" w:sz="4" w:space="0"/>
            </w:tcBorders>
            <w:noWrap/>
            <w:vAlign w:val="center"/>
          </w:tcPr>
          <w:p w14:paraId="35211E19">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对外公开总数量</w:t>
            </w:r>
          </w:p>
        </w:tc>
      </w:tr>
      <w:tr w14:paraId="284EE5C8">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14:paraId="6566486A">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14:paraId="6476571A">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985" w:type="dxa"/>
            <w:tcBorders>
              <w:top w:val="single" w:color="auto" w:sz="4" w:space="0"/>
              <w:left w:val="nil"/>
              <w:bottom w:val="single" w:color="auto" w:sz="4" w:space="0"/>
              <w:right w:val="single" w:color="auto" w:sz="4" w:space="0"/>
            </w:tcBorders>
            <w:vAlign w:val="center"/>
          </w:tcPr>
          <w:p w14:paraId="26D0D21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69EBA443">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3047F1EF">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2BCC4DA2">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规范性文件</w:t>
            </w:r>
          </w:p>
        </w:tc>
        <w:tc>
          <w:tcPr>
            <w:tcW w:w="1984" w:type="dxa"/>
            <w:tcBorders>
              <w:top w:val="nil"/>
              <w:left w:val="nil"/>
              <w:bottom w:val="single" w:color="auto" w:sz="4" w:space="0"/>
              <w:right w:val="single" w:color="auto" w:sz="4" w:space="0"/>
            </w:tcBorders>
            <w:noWrap/>
            <w:vAlign w:val="center"/>
          </w:tcPr>
          <w:p w14:paraId="0DBF748D">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985" w:type="dxa"/>
            <w:tcBorders>
              <w:top w:val="nil"/>
              <w:left w:val="nil"/>
              <w:bottom w:val="single" w:color="auto" w:sz="4" w:space="0"/>
              <w:right w:val="single" w:color="auto" w:sz="4" w:space="0"/>
            </w:tcBorders>
            <w:vAlign w:val="center"/>
          </w:tcPr>
          <w:p w14:paraId="4D097AD7">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74F87BD1">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26DDBF25">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F0988B7">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第二十条第（五）项</w:t>
            </w:r>
          </w:p>
        </w:tc>
      </w:tr>
      <w:tr w14:paraId="047B0DAF">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6FB111F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77134DC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385C4A95">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本年增/减</w:t>
            </w:r>
          </w:p>
        </w:tc>
        <w:tc>
          <w:tcPr>
            <w:tcW w:w="1984" w:type="dxa"/>
            <w:tcBorders>
              <w:top w:val="nil"/>
              <w:left w:val="nil"/>
              <w:bottom w:val="single" w:color="auto" w:sz="4" w:space="0"/>
              <w:right w:val="single" w:color="auto" w:sz="4" w:space="0"/>
            </w:tcBorders>
            <w:noWrap/>
            <w:vAlign w:val="center"/>
          </w:tcPr>
          <w:p w14:paraId="725320E8">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处理决定数量</w:t>
            </w:r>
          </w:p>
        </w:tc>
      </w:tr>
      <w:tr w14:paraId="2D70604D">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14:paraId="3C22ACCD">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行政许可</w:t>
            </w:r>
          </w:p>
        </w:tc>
        <w:tc>
          <w:tcPr>
            <w:tcW w:w="1984" w:type="dxa"/>
            <w:tcBorders>
              <w:top w:val="nil"/>
              <w:left w:val="nil"/>
              <w:bottom w:val="single" w:color="auto" w:sz="4" w:space="0"/>
              <w:right w:val="single" w:color="auto" w:sz="4" w:space="0"/>
            </w:tcBorders>
            <w:noWrap/>
            <w:vAlign w:val="center"/>
          </w:tcPr>
          <w:p w14:paraId="460888A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1985" w:type="dxa"/>
            <w:tcBorders>
              <w:top w:val="nil"/>
              <w:left w:val="nil"/>
              <w:bottom w:val="single" w:color="auto" w:sz="4" w:space="0"/>
              <w:right w:val="single" w:color="auto" w:sz="4" w:space="0"/>
            </w:tcBorders>
            <w:noWrap/>
            <w:vAlign w:val="center"/>
          </w:tcPr>
          <w:p w14:paraId="4F5AA8EA">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3E8D1D1F">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14617AC9">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14:paraId="79E3FAC9">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14:paraId="58B0297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61</w:t>
            </w:r>
          </w:p>
        </w:tc>
        <w:tc>
          <w:tcPr>
            <w:tcW w:w="1985" w:type="dxa"/>
            <w:tcBorders>
              <w:top w:val="nil"/>
              <w:left w:val="nil"/>
              <w:bottom w:val="single" w:color="auto" w:sz="4" w:space="0"/>
              <w:right w:val="single" w:color="auto" w:sz="4" w:space="0"/>
            </w:tcBorders>
            <w:noWrap/>
            <w:vAlign w:val="center"/>
          </w:tcPr>
          <w:p w14:paraId="3211F90D">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31637702">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67602</w:t>
            </w:r>
          </w:p>
        </w:tc>
      </w:tr>
      <w:tr w14:paraId="00937D39">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082065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第二十条第（六）项</w:t>
            </w:r>
          </w:p>
        </w:tc>
      </w:tr>
      <w:tr w14:paraId="28B8DFCD">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14:paraId="4B05623E">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14:paraId="034A2A23">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14:paraId="4B6523CA">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本年增/减</w:t>
            </w:r>
          </w:p>
        </w:tc>
        <w:tc>
          <w:tcPr>
            <w:tcW w:w="1984" w:type="dxa"/>
            <w:tcBorders>
              <w:top w:val="nil"/>
              <w:left w:val="nil"/>
              <w:bottom w:val="single" w:color="auto" w:sz="4" w:space="0"/>
              <w:right w:val="single" w:color="auto" w:sz="4" w:space="0"/>
            </w:tcBorders>
            <w:noWrap/>
            <w:vAlign w:val="center"/>
          </w:tcPr>
          <w:p w14:paraId="6DFE88A0">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处理决定数量</w:t>
            </w:r>
          </w:p>
        </w:tc>
      </w:tr>
      <w:tr w14:paraId="6B704ED4">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14:paraId="11563DE4">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14:paraId="54A68C0D">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64</w:t>
            </w:r>
          </w:p>
        </w:tc>
        <w:tc>
          <w:tcPr>
            <w:tcW w:w="1985" w:type="dxa"/>
            <w:tcBorders>
              <w:top w:val="single" w:color="auto" w:sz="4" w:space="0"/>
              <w:left w:val="nil"/>
              <w:bottom w:val="single" w:color="auto" w:sz="4" w:space="0"/>
              <w:right w:val="single" w:color="auto" w:sz="4" w:space="0"/>
            </w:tcBorders>
            <w:noWrap/>
            <w:vAlign w:val="center"/>
          </w:tcPr>
          <w:p w14:paraId="08B6073B">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1E4390CA">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r>
      <w:tr w14:paraId="768DEB1E">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14:paraId="4E0AEF55">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行政强制</w:t>
            </w:r>
          </w:p>
        </w:tc>
        <w:tc>
          <w:tcPr>
            <w:tcW w:w="1984" w:type="dxa"/>
            <w:tcBorders>
              <w:top w:val="nil"/>
              <w:left w:val="nil"/>
              <w:bottom w:val="single" w:color="auto" w:sz="4" w:space="0"/>
              <w:right w:val="single" w:color="auto" w:sz="4" w:space="0"/>
            </w:tcBorders>
            <w:noWrap/>
            <w:vAlign w:val="center"/>
          </w:tcPr>
          <w:p w14:paraId="052AB9C0">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1985" w:type="dxa"/>
            <w:tcBorders>
              <w:top w:val="nil"/>
              <w:left w:val="nil"/>
              <w:bottom w:val="single" w:color="auto" w:sz="4" w:space="0"/>
              <w:right w:val="single" w:color="auto" w:sz="4" w:space="0"/>
            </w:tcBorders>
            <w:noWrap/>
            <w:vAlign w:val="center"/>
          </w:tcPr>
          <w:p w14:paraId="79CD0875">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c>
          <w:tcPr>
            <w:tcW w:w="1984" w:type="dxa"/>
            <w:tcBorders>
              <w:top w:val="nil"/>
              <w:left w:val="nil"/>
              <w:bottom w:val="single" w:color="auto" w:sz="4" w:space="0"/>
              <w:right w:val="single" w:color="auto" w:sz="4" w:space="0"/>
            </w:tcBorders>
            <w:noWrap/>
            <w:vAlign w:val="center"/>
          </w:tcPr>
          <w:p w14:paraId="3D8A746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7A81D32E">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3F4CBE">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第二十条第（八）项</w:t>
            </w:r>
          </w:p>
        </w:tc>
      </w:tr>
      <w:tr w14:paraId="34F0F921">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14:paraId="13943D4B">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信息内容</w:t>
            </w:r>
          </w:p>
        </w:tc>
        <w:tc>
          <w:tcPr>
            <w:tcW w:w="1984" w:type="dxa"/>
            <w:tcBorders>
              <w:top w:val="nil"/>
              <w:left w:val="nil"/>
              <w:bottom w:val="single" w:color="auto" w:sz="4" w:space="0"/>
              <w:right w:val="single" w:color="auto" w:sz="4" w:space="0"/>
            </w:tcBorders>
            <w:noWrap/>
            <w:vAlign w:val="center"/>
          </w:tcPr>
          <w:p w14:paraId="339078D7">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2D439AFF">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本年增/减</w:t>
            </w:r>
          </w:p>
        </w:tc>
      </w:tr>
      <w:tr w14:paraId="2AA5D06E">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14:paraId="22F5CCC6">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14:paraId="78CF715E">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3969" w:type="dxa"/>
            <w:gridSpan w:val="2"/>
            <w:tcBorders>
              <w:top w:val="single" w:color="auto" w:sz="4" w:space="0"/>
              <w:left w:val="nil"/>
              <w:bottom w:val="single" w:color="auto" w:sz="4" w:space="0"/>
              <w:right w:val="single" w:color="000000" w:sz="4" w:space="0"/>
            </w:tcBorders>
            <w:noWrap/>
            <w:vAlign w:val="center"/>
          </w:tcPr>
          <w:p w14:paraId="6AE164BB">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r>
      <w:tr w14:paraId="32DD1086">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14E75B">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第二十条第（九）项</w:t>
            </w:r>
          </w:p>
        </w:tc>
      </w:tr>
      <w:tr w14:paraId="57DF7843">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14:paraId="4BAA96D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信息内容</w:t>
            </w:r>
          </w:p>
        </w:tc>
        <w:tc>
          <w:tcPr>
            <w:tcW w:w="1984" w:type="dxa"/>
            <w:tcBorders>
              <w:top w:val="nil"/>
              <w:left w:val="nil"/>
              <w:bottom w:val="single" w:color="auto" w:sz="4" w:space="0"/>
              <w:right w:val="single" w:color="auto" w:sz="4" w:space="0"/>
            </w:tcBorders>
            <w:noWrap/>
            <w:vAlign w:val="center"/>
          </w:tcPr>
          <w:p w14:paraId="54BE4774">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14:paraId="1ED58E09">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采购总金额</w:t>
            </w:r>
          </w:p>
        </w:tc>
      </w:tr>
      <w:tr w14:paraId="02CE8859">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14:paraId="48D5446A">
            <w:pPr>
              <w:widowControl/>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政府集中采购</w:t>
            </w:r>
          </w:p>
        </w:tc>
        <w:tc>
          <w:tcPr>
            <w:tcW w:w="1984" w:type="dxa"/>
            <w:tcBorders>
              <w:top w:val="nil"/>
              <w:left w:val="nil"/>
              <w:bottom w:val="single" w:color="auto" w:sz="4" w:space="0"/>
              <w:right w:val="single" w:color="auto" w:sz="4" w:space="0"/>
            </w:tcBorders>
            <w:noWrap/>
            <w:vAlign w:val="center"/>
          </w:tcPr>
          <w:p w14:paraId="76A02904">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3969" w:type="dxa"/>
            <w:gridSpan w:val="2"/>
            <w:tcBorders>
              <w:top w:val="single" w:color="auto" w:sz="4" w:space="0"/>
              <w:left w:val="nil"/>
              <w:bottom w:val="single" w:color="auto" w:sz="4" w:space="0"/>
              <w:right w:val="single" w:color="000000" w:sz="4" w:space="0"/>
            </w:tcBorders>
            <w:noWrap/>
            <w:vAlign w:val="center"/>
          </w:tcPr>
          <w:p w14:paraId="014A4681">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r>
    </w:tbl>
    <w:p w14:paraId="32556BE5">
      <w:pPr>
        <w:spacing w:line="560" w:lineRule="exact"/>
        <w:ind w:firstLine="640" w:firstLineChars="200"/>
        <w:rPr>
          <w:rFonts w:ascii="Times New Roman" w:hAnsi="Times New Roman" w:eastAsia="仿宋_GB2312" w:cs="Times New Roman"/>
          <w:sz w:val="32"/>
          <w:szCs w:val="32"/>
        </w:rPr>
      </w:pPr>
    </w:p>
    <w:p w14:paraId="3614A0DF">
      <w:pPr>
        <w:spacing w:line="560" w:lineRule="exact"/>
        <w:ind w:firstLine="640" w:firstLineChars="200"/>
        <w:rPr>
          <w:rFonts w:ascii="Times New Roman" w:hAnsi="Times New Roman" w:eastAsia="仿宋_GB2312" w:cs="Times New Roman"/>
          <w:sz w:val="32"/>
          <w:szCs w:val="32"/>
        </w:rPr>
      </w:pPr>
    </w:p>
    <w:p w14:paraId="06805468">
      <w:pPr>
        <w:spacing w:line="560" w:lineRule="exact"/>
        <w:ind w:firstLine="640" w:firstLineChars="200"/>
        <w:rPr>
          <w:rFonts w:ascii="Times New Roman" w:hAnsi="Times New Roman" w:eastAsia="仿宋_GB2312" w:cs="Times New Roman"/>
          <w:sz w:val="32"/>
          <w:szCs w:val="32"/>
        </w:rPr>
      </w:pPr>
    </w:p>
    <w:p w14:paraId="61AF85C5">
      <w:pPr>
        <w:spacing w:line="560" w:lineRule="exact"/>
        <w:ind w:firstLine="640" w:firstLineChars="200"/>
        <w:rPr>
          <w:rFonts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4CB07AA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14:paraId="27A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14:paraId="794B6D79">
            <w:pPr>
              <w:widowControl/>
              <w:jc w:val="center"/>
              <w:rPr>
                <w:rFonts w:ascii="Times New Roman" w:hAnsi="Times New Roman" w:eastAsia="宋体" w:cs="Times New Roman"/>
                <w:kern w:val="0"/>
                <w:szCs w:val="21"/>
              </w:rPr>
            </w:pPr>
            <w:r>
              <w:rPr>
                <w:rFonts w:ascii="Times New Roman" w:hAnsi="Times New Roman" w:eastAsia="宋体" w:cs="Times New Roman"/>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14:paraId="539831DA">
            <w:pPr>
              <w:widowControl/>
              <w:jc w:val="center"/>
              <w:rPr>
                <w:rFonts w:ascii="Times New Roman" w:hAnsi="Times New Roman" w:eastAsia="宋体" w:cs="Times New Roman"/>
                <w:kern w:val="0"/>
                <w:szCs w:val="21"/>
              </w:rPr>
            </w:pPr>
            <w:r>
              <w:rPr>
                <w:rFonts w:ascii="Times New Roman" w:hAnsi="Times New Roman" w:eastAsia="宋体" w:cs="Times New Roman"/>
                <w:szCs w:val="21"/>
              </w:rPr>
              <w:t>申请人情况</w:t>
            </w:r>
          </w:p>
        </w:tc>
      </w:tr>
      <w:tr w14:paraId="41E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14:paraId="6347467E">
            <w:pPr>
              <w:widowControl/>
              <w:jc w:val="left"/>
              <w:rPr>
                <w:rFonts w:ascii="Times New Roman" w:hAnsi="Times New Roman" w:eastAsia="宋体" w:cs="Times New Roman"/>
                <w:kern w:val="0"/>
                <w:szCs w:val="21"/>
              </w:rPr>
            </w:pPr>
          </w:p>
        </w:tc>
        <w:tc>
          <w:tcPr>
            <w:tcW w:w="825" w:type="dxa"/>
            <w:vMerge w:val="restart"/>
            <w:tcBorders>
              <w:top w:val="nil"/>
              <w:left w:val="nil"/>
              <w:bottom w:val="single" w:color="auto" w:sz="4" w:space="0"/>
              <w:right w:val="single" w:color="auto" w:sz="4" w:space="0"/>
            </w:tcBorders>
            <w:vAlign w:val="center"/>
          </w:tcPr>
          <w:p w14:paraId="703102FF">
            <w:pPr>
              <w:widowControl/>
              <w:jc w:val="center"/>
              <w:rPr>
                <w:rFonts w:ascii="Times New Roman" w:hAnsi="Times New Roman" w:eastAsia="宋体" w:cs="Times New Roman"/>
                <w:kern w:val="0"/>
                <w:szCs w:val="21"/>
              </w:rPr>
            </w:pPr>
            <w:r>
              <w:rPr>
                <w:rFonts w:ascii="Times New Roman" w:hAnsi="Times New Roman" w:eastAsia="宋体" w:cs="Times New Roman"/>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14:paraId="55C579D2">
            <w:pPr>
              <w:widowControl/>
              <w:jc w:val="center"/>
              <w:rPr>
                <w:rFonts w:ascii="Times New Roman" w:hAnsi="Times New Roman" w:eastAsia="宋体" w:cs="Times New Roman"/>
                <w:kern w:val="0"/>
                <w:szCs w:val="21"/>
              </w:rPr>
            </w:pPr>
            <w:r>
              <w:rPr>
                <w:rFonts w:ascii="Times New Roman" w:hAnsi="Times New Roman" w:eastAsia="宋体" w:cs="Times New Roman"/>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14:paraId="3C4693EF">
            <w:pPr>
              <w:widowControl/>
              <w:jc w:val="center"/>
              <w:rPr>
                <w:rFonts w:ascii="Times New Roman" w:hAnsi="Times New Roman" w:eastAsia="宋体" w:cs="Times New Roman"/>
                <w:kern w:val="0"/>
                <w:szCs w:val="21"/>
              </w:rPr>
            </w:pPr>
            <w:r>
              <w:rPr>
                <w:rFonts w:ascii="Times New Roman" w:hAnsi="Times New Roman" w:eastAsia="宋体" w:cs="Times New Roman"/>
                <w:szCs w:val="21"/>
              </w:rPr>
              <w:t>总计</w:t>
            </w:r>
          </w:p>
        </w:tc>
      </w:tr>
      <w:tr w14:paraId="53DC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14:paraId="291970E6">
            <w:pPr>
              <w:widowControl/>
              <w:jc w:val="left"/>
              <w:rPr>
                <w:rFonts w:ascii="Times New Roman" w:hAnsi="Times New Roman" w:eastAsia="宋体" w:cs="Times New Roman"/>
                <w:kern w:val="0"/>
                <w:szCs w:val="21"/>
              </w:rPr>
            </w:pPr>
          </w:p>
        </w:tc>
        <w:tc>
          <w:tcPr>
            <w:tcW w:w="5592" w:type="dxa"/>
            <w:vMerge w:val="continue"/>
            <w:tcBorders>
              <w:top w:val="nil"/>
              <w:left w:val="nil"/>
              <w:bottom w:val="single" w:color="auto" w:sz="4" w:space="0"/>
              <w:right w:val="single" w:color="auto" w:sz="4" w:space="0"/>
            </w:tcBorders>
            <w:vAlign w:val="center"/>
          </w:tcPr>
          <w:p w14:paraId="342DA4BD">
            <w:pPr>
              <w:widowControl/>
              <w:jc w:val="left"/>
              <w:rPr>
                <w:rFonts w:ascii="Times New Roman" w:hAnsi="Times New Roman" w:eastAsia="宋体" w:cs="Times New Roman"/>
                <w:kern w:val="0"/>
                <w:szCs w:val="21"/>
              </w:rPr>
            </w:pPr>
          </w:p>
        </w:tc>
        <w:tc>
          <w:tcPr>
            <w:tcW w:w="765" w:type="dxa"/>
            <w:tcBorders>
              <w:top w:val="single" w:color="auto" w:sz="4" w:space="0"/>
              <w:left w:val="nil"/>
              <w:bottom w:val="single" w:color="auto" w:sz="4" w:space="0"/>
              <w:right w:val="single" w:color="auto" w:sz="4" w:space="0"/>
            </w:tcBorders>
            <w:vAlign w:val="center"/>
          </w:tcPr>
          <w:p w14:paraId="3E658EC6">
            <w:pPr>
              <w:widowControl/>
              <w:jc w:val="center"/>
              <w:rPr>
                <w:rFonts w:ascii="Times New Roman" w:hAnsi="Times New Roman" w:eastAsia="宋体" w:cs="Times New Roman"/>
                <w:kern w:val="0"/>
                <w:szCs w:val="21"/>
              </w:rPr>
            </w:pPr>
            <w:r>
              <w:rPr>
                <w:rFonts w:ascii="Times New Roman" w:hAnsi="Times New Roman" w:eastAsia="宋体" w:cs="Times New Roman"/>
                <w:szCs w:val="21"/>
              </w:rPr>
              <w:t>商业企业</w:t>
            </w:r>
          </w:p>
        </w:tc>
        <w:tc>
          <w:tcPr>
            <w:tcW w:w="765" w:type="dxa"/>
            <w:tcBorders>
              <w:top w:val="single" w:color="auto" w:sz="4" w:space="0"/>
              <w:left w:val="nil"/>
              <w:bottom w:val="single" w:color="auto" w:sz="4" w:space="0"/>
              <w:right w:val="single" w:color="auto" w:sz="4" w:space="0"/>
            </w:tcBorders>
            <w:vAlign w:val="center"/>
          </w:tcPr>
          <w:p w14:paraId="7B8ABCCE">
            <w:pPr>
              <w:widowControl/>
              <w:jc w:val="center"/>
              <w:rPr>
                <w:rFonts w:ascii="Times New Roman" w:hAnsi="Times New Roman" w:eastAsia="宋体" w:cs="Times New Roman"/>
                <w:kern w:val="0"/>
                <w:szCs w:val="21"/>
              </w:rPr>
            </w:pPr>
            <w:r>
              <w:rPr>
                <w:rFonts w:ascii="Times New Roman" w:hAnsi="Times New Roman" w:eastAsia="宋体" w:cs="Times New Roman"/>
                <w:szCs w:val="21"/>
              </w:rPr>
              <w:t>科研机构</w:t>
            </w:r>
          </w:p>
        </w:tc>
        <w:tc>
          <w:tcPr>
            <w:tcW w:w="825" w:type="dxa"/>
            <w:tcBorders>
              <w:top w:val="single" w:color="auto" w:sz="4" w:space="0"/>
              <w:left w:val="nil"/>
              <w:bottom w:val="single" w:color="auto" w:sz="4" w:space="0"/>
              <w:right w:val="single" w:color="auto" w:sz="4" w:space="0"/>
            </w:tcBorders>
            <w:vAlign w:val="center"/>
          </w:tcPr>
          <w:p w14:paraId="1085A06E">
            <w:pPr>
              <w:widowControl/>
              <w:jc w:val="center"/>
              <w:rPr>
                <w:rFonts w:ascii="Times New Roman" w:hAnsi="Times New Roman" w:eastAsia="宋体" w:cs="Times New Roman"/>
                <w:kern w:val="0"/>
                <w:szCs w:val="21"/>
              </w:rPr>
            </w:pPr>
            <w:r>
              <w:rPr>
                <w:rFonts w:ascii="Times New Roman" w:hAnsi="Times New Roman" w:eastAsia="宋体" w:cs="Times New Roman"/>
                <w:szCs w:val="21"/>
              </w:rPr>
              <w:t>社会公益组织</w:t>
            </w:r>
          </w:p>
        </w:tc>
        <w:tc>
          <w:tcPr>
            <w:tcW w:w="990" w:type="dxa"/>
            <w:tcBorders>
              <w:top w:val="single" w:color="auto" w:sz="4" w:space="0"/>
              <w:left w:val="nil"/>
              <w:bottom w:val="single" w:color="auto" w:sz="4" w:space="0"/>
              <w:right w:val="single" w:color="auto" w:sz="4" w:space="0"/>
            </w:tcBorders>
            <w:vAlign w:val="center"/>
          </w:tcPr>
          <w:p w14:paraId="563E78D5">
            <w:pPr>
              <w:widowControl/>
              <w:jc w:val="center"/>
              <w:rPr>
                <w:rFonts w:ascii="Times New Roman" w:hAnsi="Times New Roman" w:eastAsia="宋体" w:cs="Times New Roman"/>
                <w:kern w:val="0"/>
                <w:szCs w:val="21"/>
              </w:rPr>
            </w:pPr>
            <w:r>
              <w:rPr>
                <w:rFonts w:ascii="Times New Roman" w:hAnsi="Times New Roman" w:eastAsia="宋体" w:cs="Times New Roman"/>
                <w:szCs w:val="21"/>
              </w:rPr>
              <w:t>法律服务机构</w:t>
            </w:r>
          </w:p>
        </w:tc>
        <w:tc>
          <w:tcPr>
            <w:tcW w:w="720" w:type="dxa"/>
            <w:tcBorders>
              <w:top w:val="single" w:color="auto" w:sz="4" w:space="0"/>
              <w:left w:val="nil"/>
              <w:bottom w:val="single" w:color="auto" w:sz="4" w:space="0"/>
              <w:right w:val="single" w:color="auto" w:sz="4" w:space="0"/>
            </w:tcBorders>
            <w:vAlign w:val="center"/>
          </w:tcPr>
          <w:p w14:paraId="305F24A5">
            <w:pPr>
              <w:widowControl/>
              <w:jc w:val="center"/>
              <w:rPr>
                <w:rFonts w:ascii="Times New Roman" w:hAnsi="Times New Roman" w:eastAsia="宋体" w:cs="Times New Roman"/>
                <w:kern w:val="0"/>
                <w:szCs w:val="21"/>
              </w:rPr>
            </w:pPr>
            <w:r>
              <w:rPr>
                <w:rFonts w:ascii="Times New Roman" w:hAnsi="Times New Roman" w:eastAsia="宋体" w:cs="Times New Roman"/>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14:paraId="1D12154C">
            <w:pPr>
              <w:widowControl/>
              <w:jc w:val="left"/>
              <w:rPr>
                <w:rFonts w:ascii="Times New Roman" w:hAnsi="Times New Roman" w:eastAsia="宋体" w:cs="Times New Roman"/>
                <w:kern w:val="0"/>
                <w:szCs w:val="21"/>
              </w:rPr>
            </w:pPr>
          </w:p>
        </w:tc>
      </w:tr>
      <w:tr w14:paraId="2C8A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21452F54">
            <w:pPr>
              <w:widowControl/>
              <w:jc w:val="left"/>
              <w:rPr>
                <w:rFonts w:ascii="Times New Roman" w:hAnsi="Times New Roman" w:eastAsia="宋体" w:cs="Times New Roman"/>
                <w:kern w:val="0"/>
                <w:szCs w:val="21"/>
              </w:rPr>
            </w:pPr>
            <w:r>
              <w:rPr>
                <w:rFonts w:ascii="Times New Roman" w:hAnsi="Times New Roman" w:eastAsia="宋体" w:cs="Times New Roman"/>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14:paraId="6377AACD">
            <w:pPr>
              <w:widowControl/>
              <w:jc w:val="center"/>
              <w:rPr>
                <w:rFonts w:ascii="Times New Roman" w:hAnsi="Times New Roman" w:eastAsia="宋体" w:cs="Times New Roman"/>
                <w:kern w:val="0"/>
                <w:szCs w:val="21"/>
              </w:rPr>
            </w:pPr>
            <w:r>
              <w:rPr>
                <w:rFonts w:ascii="Times New Roman" w:hAnsi="Times New Roman" w:eastAsia="宋体" w:cs="Times New Roman"/>
                <w:szCs w:val="21"/>
              </w:rPr>
              <w:t> 0</w:t>
            </w:r>
          </w:p>
        </w:tc>
        <w:tc>
          <w:tcPr>
            <w:tcW w:w="765" w:type="dxa"/>
            <w:tcBorders>
              <w:top w:val="single" w:color="auto" w:sz="4" w:space="0"/>
              <w:left w:val="nil"/>
              <w:bottom w:val="single" w:color="auto" w:sz="4" w:space="0"/>
              <w:right w:val="single" w:color="auto" w:sz="4" w:space="0"/>
            </w:tcBorders>
            <w:vAlign w:val="center"/>
          </w:tcPr>
          <w:p w14:paraId="566E77CF">
            <w:pPr>
              <w:widowControl/>
              <w:jc w:val="center"/>
              <w:rPr>
                <w:rFonts w:ascii="Times New Roman" w:hAnsi="Times New Roman" w:eastAsia="宋体" w:cs="Times New Roman"/>
                <w:kern w:val="0"/>
                <w:szCs w:val="21"/>
              </w:rPr>
            </w:pPr>
            <w:r>
              <w:rPr>
                <w:rFonts w:ascii="Times New Roman" w:hAnsi="Times New Roman" w:eastAsia="宋体" w:cs="Times New Roman"/>
                <w:szCs w:val="21"/>
              </w:rPr>
              <w:t>0 </w:t>
            </w:r>
          </w:p>
        </w:tc>
        <w:tc>
          <w:tcPr>
            <w:tcW w:w="765" w:type="dxa"/>
            <w:tcBorders>
              <w:top w:val="single" w:color="auto" w:sz="4" w:space="0"/>
              <w:left w:val="nil"/>
              <w:bottom w:val="single" w:color="auto" w:sz="4" w:space="0"/>
              <w:right w:val="single" w:color="auto" w:sz="4" w:space="0"/>
            </w:tcBorders>
            <w:vAlign w:val="center"/>
          </w:tcPr>
          <w:p w14:paraId="23B90BA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7C5C0D3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730FFC1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6091DAB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499ABC7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42EA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71AFFB63">
            <w:pPr>
              <w:widowControl/>
              <w:jc w:val="left"/>
              <w:rPr>
                <w:rFonts w:ascii="Times New Roman" w:hAnsi="Times New Roman" w:eastAsia="宋体" w:cs="Times New Roman"/>
                <w:kern w:val="0"/>
                <w:szCs w:val="21"/>
              </w:rPr>
            </w:pPr>
            <w:r>
              <w:rPr>
                <w:rFonts w:ascii="Times New Roman" w:hAnsi="Times New Roman" w:eastAsia="宋体" w:cs="Times New Roman"/>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14:paraId="4579750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026D039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10A90B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89E88B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20F08B1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90A626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2A4BB8D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121E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14:paraId="4900197A">
            <w:pPr>
              <w:widowControl/>
              <w:jc w:val="center"/>
              <w:rPr>
                <w:rFonts w:ascii="Times New Roman" w:hAnsi="Times New Roman" w:eastAsia="宋体" w:cs="Times New Roman"/>
                <w:kern w:val="0"/>
                <w:szCs w:val="21"/>
              </w:rPr>
            </w:pPr>
            <w:r>
              <w:rPr>
                <w:rFonts w:ascii="Times New Roman" w:hAnsi="Times New Roman" w:eastAsia="宋体" w:cs="Times New Roman"/>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14:paraId="46421586">
            <w:pPr>
              <w:widowControl/>
              <w:jc w:val="left"/>
              <w:rPr>
                <w:rFonts w:ascii="Times New Roman" w:hAnsi="Times New Roman" w:eastAsia="宋体" w:cs="Times New Roman"/>
                <w:kern w:val="0"/>
                <w:szCs w:val="21"/>
              </w:rPr>
            </w:pPr>
            <w:r>
              <w:rPr>
                <w:rFonts w:ascii="Times New Roman" w:hAnsi="Times New Roman" w:eastAsia="楷体" w:cs="Times New Roman"/>
                <w:szCs w:val="21"/>
              </w:rPr>
              <w:t>（一）予以公开</w:t>
            </w:r>
          </w:p>
        </w:tc>
        <w:tc>
          <w:tcPr>
            <w:tcW w:w="825" w:type="dxa"/>
            <w:tcBorders>
              <w:top w:val="single" w:color="auto" w:sz="4" w:space="0"/>
              <w:left w:val="nil"/>
              <w:bottom w:val="single" w:color="auto" w:sz="4" w:space="0"/>
              <w:right w:val="single" w:color="auto" w:sz="4" w:space="0"/>
            </w:tcBorders>
            <w:vAlign w:val="center"/>
          </w:tcPr>
          <w:p w14:paraId="369CDD7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7CB0286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10CD378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6EE8954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73DFEC4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239FFB6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582E4D4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2829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198D32F0">
            <w:pPr>
              <w:widowControl/>
              <w:jc w:val="left"/>
              <w:rPr>
                <w:rFonts w:ascii="Times New Roman" w:hAnsi="Times New Roman" w:eastAsia="宋体" w:cs="Times New Roman"/>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77C329DD">
            <w:pPr>
              <w:widowControl/>
              <w:jc w:val="left"/>
              <w:rPr>
                <w:rFonts w:ascii="Times New Roman" w:hAnsi="Times New Roman" w:eastAsia="宋体" w:cs="Times New Roman"/>
                <w:kern w:val="0"/>
                <w:szCs w:val="21"/>
              </w:rPr>
            </w:pPr>
            <w:r>
              <w:rPr>
                <w:rFonts w:ascii="Times New Roman" w:hAnsi="Times New Roman" w:eastAsia="楷体" w:cs="Times New Roman"/>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14:paraId="089032A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AD1615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11A9C1F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502CB9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04B5997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7AE53EB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42E22C5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0DF8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left w:val="single" w:color="auto" w:sz="4" w:space="0"/>
              <w:bottom w:val="single" w:color="auto" w:sz="4" w:space="0"/>
              <w:right w:val="single" w:color="auto" w:sz="4" w:space="0"/>
            </w:tcBorders>
            <w:vAlign w:val="center"/>
          </w:tcPr>
          <w:p w14:paraId="708AEF38">
            <w:pPr>
              <w:widowControl/>
              <w:jc w:val="left"/>
              <w:rPr>
                <w:rFonts w:ascii="Times New Roman" w:hAnsi="Times New Roman" w:eastAsia="宋体" w:cs="Times New Roman"/>
                <w:kern w:val="0"/>
                <w:szCs w:val="21"/>
              </w:rPr>
            </w:pPr>
          </w:p>
        </w:tc>
        <w:tc>
          <w:tcPr>
            <w:tcW w:w="855" w:type="dxa"/>
            <w:vMerge w:val="restart"/>
            <w:tcBorders>
              <w:top w:val="nil"/>
              <w:left w:val="nil"/>
              <w:bottom w:val="single" w:color="auto" w:sz="4" w:space="0"/>
              <w:right w:val="single" w:color="auto" w:sz="4" w:space="0"/>
            </w:tcBorders>
            <w:vAlign w:val="center"/>
          </w:tcPr>
          <w:p w14:paraId="03152FD2">
            <w:pPr>
              <w:widowControl/>
              <w:jc w:val="left"/>
              <w:rPr>
                <w:rFonts w:ascii="Times New Roman" w:hAnsi="Times New Roman" w:eastAsia="宋体" w:cs="Times New Roman"/>
                <w:kern w:val="0"/>
                <w:szCs w:val="21"/>
              </w:rPr>
            </w:pPr>
            <w:r>
              <w:rPr>
                <w:rFonts w:ascii="Times New Roman" w:hAnsi="Times New Roman" w:eastAsia="楷体" w:cs="Times New Roman"/>
                <w:szCs w:val="21"/>
              </w:rPr>
              <w:t>（三）不予公开</w:t>
            </w:r>
          </w:p>
        </w:tc>
        <w:tc>
          <w:tcPr>
            <w:tcW w:w="2130" w:type="dxa"/>
            <w:tcBorders>
              <w:top w:val="single" w:color="auto" w:sz="4" w:space="0"/>
              <w:left w:val="nil"/>
              <w:bottom w:val="single" w:color="auto" w:sz="4" w:space="0"/>
              <w:right w:val="single" w:color="auto" w:sz="4" w:space="0"/>
            </w:tcBorders>
            <w:vAlign w:val="center"/>
          </w:tcPr>
          <w:p w14:paraId="03381011">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0B1146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E0A41C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67A42F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5E141EB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46791A4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1C273DE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263AA5A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3D79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0C9B641B">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73415010">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4A12BF96">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96D98B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7AFB6E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5D4C526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4337728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08D19A7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C5D500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659A02C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3332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4730E7B4">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1F30B196">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37C739BD">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68F5AEF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9073B4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5CA06FD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4D087C9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570047A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3930E21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2EE9BB9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150A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36B1CDB2">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6FCA9AE4">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0BFF3EE8">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420F4A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089D68B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4E77E06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FFC9B2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26FAC19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54A70DB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0409C56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1794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65166684">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4C690072">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635F14CC">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69540D5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0AC2D06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0584710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892C6B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43433A7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1F3C378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322F0FC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736E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0AC595F8">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5E0B2E0C">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6D2354E0">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A4BB5A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1025995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73B3DC1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9261F5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3D443CF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17CE2AA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6921ACF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4D04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0CEDEF85">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5EC0BADC">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24E37F9F">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EBF0F2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7C7A083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9920F4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136327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1A117B3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7BACCB7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0F57624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229D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left w:val="single" w:color="auto" w:sz="4" w:space="0"/>
              <w:bottom w:val="single" w:color="auto" w:sz="4" w:space="0"/>
              <w:right w:val="single" w:color="auto" w:sz="4" w:space="0"/>
            </w:tcBorders>
            <w:vAlign w:val="center"/>
          </w:tcPr>
          <w:p w14:paraId="2C67CC00">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6DD243E9">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46806F5C">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248F1F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54FCA4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7D36075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7A3C37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64EB8F8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302F2E2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3AF28A7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276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59AA36C3">
            <w:pPr>
              <w:widowControl/>
              <w:jc w:val="left"/>
              <w:rPr>
                <w:rFonts w:ascii="Times New Roman" w:hAnsi="Times New Roman" w:eastAsia="宋体" w:cs="Times New Roman"/>
                <w:kern w:val="0"/>
                <w:szCs w:val="21"/>
              </w:rPr>
            </w:pPr>
          </w:p>
        </w:tc>
        <w:tc>
          <w:tcPr>
            <w:tcW w:w="855" w:type="dxa"/>
            <w:vMerge w:val="restart"/>
            <w:tcBorders>
              <w:top w:val="nil"/>
              <w:left w:val="nil"/>
              <w:bottom w:val="single" w:color="auto" w:sz="4" w:space="0"/>
              <w:right w:val="single" w:color="auto" w:sz="4" w:space="0"/>
            </w:tcBorders>
            <w:vAlign w:val="center"/>
          </w:tcPr>
          <w:p w14:paraId="672FC7B8">
            <w:pPr>
              <w:widowControl/>
              <w:jc w:val="left"/>
              <w:rPr>
                <w:rFonts w:ascii="Times New Roman" w:hAnsi="Times New Roman" w:eastAsia="宋体" w:cs="Times New Roman"/>
                <w:kern w:val="0"/>
                <w:szCs w:val="21"/>
              </w:rPr>
            </w:pPr>
            <w:r>
              <w:rPr>
                <w:rFonts w:ascii="Times New Roman" w:hAnsi="Times New Roman" w:eastAsia="楷体" w:cs="Times New Roman"/>
                <w:szCs w:val="21"/>
              </w:rPr>
              <w:t>（四）无法提供</w:t>
            </w:r>
          </w:p>
        </w:tc>
        <w:tc>
          <w:tcPr>
            <w:tcW w:w="2130" w:type="dxa"/>
            <w:tcBorders>
              <w:top w:val="single" w:color="auto" w:sz="4" w:space="0"/>
              <w:left w:val="nil"/>
              <w:bottom w:val="single" w:color="auto" w:sz="4" w:space="0"/>
              <w:right w:val="single" w:color="auto" w:sz="4" w:space="0"/>
            </w:tcBorders>
            <w:vAlign w:val="center"/>
          </w:tcPr>
          <w:p w14:paraId="1737B62D">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380FB7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4F2C58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3D6C50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5C397A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799AF12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1DD6621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77FCF68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3349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127F3FCD">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35BB4031">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51A5DDA1">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4D1632A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B56CC9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5C3F0C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7AFA76C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2C83D3B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57FD3F2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6AD4BD4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7CC6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6714AA1C">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0EDA53E8">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51BA3987">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010C41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426122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4429CD7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497E0D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006306D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393C09C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1A32E3C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4E39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62F4CE2D">
            <w:pPr>
              <w:widowControl/>
              <w:jc w:val="left"/>
              <w:rPr>
                <w:rFonts w:ascii="Times New Roman" w:hAnsi="Times New Roman" w:eastAsia="宋体" w:cs="Times New Roman"/>
                <w:kern w:val="0"/>
                <w:szCs w:val="21"/>
              </w:rPr>
            </w:pPr>
          </w:p>
        </w:tc>
        <w:tc>
          <w:tcPr>
            <w:tcW w:w="855" w:type="dxa"/>
            <w:vMerge w:val="restart"/>
            <w:tcBorders>
              <w:top w:val="nil"/>
              <w:left w:val="nil"/>
              <w:bottom w:val="single" w:color="auto" w:sz="4" w:space="0"/>
              <w:right w:val="single" w:color="auto" w:sz="4" w:space="0"/>
            </w:tcBorders>
            <w:vAlign w:val="center"/>
          </w:tcPr>
          <w:p w14:paraId="2813DB19">
            <w:pPr>
              <w:widowControl/>
              <w:jc w:val="left"/>
              <w:rPr>
                <w:rFonts w:ascii="Times New Roman" w:hAnsi="Times New Roman" w:eastAsia="宋体" w:cs="Times New Roman"/>
                <w:kern w:val="0"/>
                <w:szCs w:val="21"/>
              </w:rPr>
            </w:pPr>
            <w:r>
              <w:rPr>
                <w:rFonts w:ascii="Times New Roman" w:hAnsi="Times New Roman" w:eastAsia="楷体" w:cs="Times New Roman"/>
                <w:szCs w:val="21"/>
              </w:rPr>
              <w:t>（五）不予处理</w:t>
            </w:r>
          </w:p>
        </w:tc>
        <w:tc>
          <w:tcPr>
            <w:tcW w:w="2130" w:type="dxa"/>
            <w:tcBorders>
              <w:top w:val="single" w:color="auto" w:sz="4" w:space="0"/>
              <w:left w:val="nil"/>
              <w:bottom w:val="single" w:color="auto" w:sz="4" w:space="0"/>
              <w:right w:val="single" w:color="auto" w:sz="4" w:space="0"/>
            </w:tcBorders>
            <w:vAlign w:val="center"/>
          </w:tcPr>
          <w:p w14:paraId="166DFDFD">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4E98B43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36E49E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12E424D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65EE8A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154CD96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51077C1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4B49F45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20C5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left w:val="single" w:color="auto" w:sz="4" w:space="0"/>
              <w:bottom w:val="single" w:color="auto" w:sz="4" w:space="0"/>
              <w:right w:val="single" w:color="auto" w:sz="4" w:space="0"/>
            </w:tcBorders>
            <w:vAlign w:val="center"/>
          </w:tcPr>
          <w:p w14:paraId="709FE77D">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03C610D3">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56C654EF">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12779AA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DBF86C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4BFF2A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1D71EA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492C5ED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6E237D6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6F3F86D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3ED5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255B5C29">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44CAA132">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477C49C5">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30A335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414DA40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22204FF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00C3726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436A104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A3566F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1ABD937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604F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772BB1BF">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03088690">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2A204239">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679F58E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0E5AAD6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44B640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54C60F35">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5DF1437D">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FE4751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3E2BCA3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213A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26A4BDA3">
            <w:pPr>
              <w:widowControl/>
              <w:jc w:val="left"/>
              <w:rPr>
                <w:rFonts w:ascii="Times New Roman" w:hAnsi="Times New Roman" w:eastAsia="宋体" w:cs="Times New Roman"/>
                <w:kern w:val="0"/>
                <w:szCs w:val="21"/>
              </w:rPr>
            </w:pPr>
          </w:p>
        </w:tc>
        <w:tc>
          <w:tcPr>
            <w:tcW w:w="2985" w:type="dxa"/>
            <w:vMerge w:val="continue"/>
            <w:tcBorders>
              <w:top w:val="nil"/>
              <w:left w:val="nil"/>
              <w:bottom w:val="single" w:color="auto" w:sz="4" w:space="0"/>
              <w:right w:val="single" w:color="auto" w:sz="4" w:space="0"/>
            </w:tcBorders>
            <w:vAlign w:val="center"/>
          </w:tcPr>
          <w:p w14:paraId="66AE04D2">
            <w:pPr>
              <w:widowControl/>
              <w:jc w:val="left"/>
              <w:rPr>
                <w:rFonts w:ascii="Times New Roman" w:hAnsi="Times New Roman" w:eastAsia="宋体" w:cs="Times New Roman"/>
                <w:kern w:val="0"/>
                <w:szCs w:val="21"/>
              </w:rPr>
            </w:pPr>
          </w:p>
        </w:tc>
        <w:tc>
          <w:tcPr>
            <w:tcW w:w="2130" w:type="dxa"/>
            <w:tcBorders>
              <w:top w:val="single" w:color="auto" w:sz="4" w:space="0"/>
              <w:left w:val="nil"/>
              <w:bottom w:val="single" w:color="auto" w:sz="4" w:space="0"/>
              <w:right w:val="single" w:color="auto" w:sz="4" w:space="0"/>
            </w:tcBorders>
            <w:vAlign w:val="center"/>
          </w:tcPr>
          <w:p w14:paraId="585B9E66">
            <w:pPr>
              <w:widowControl/>
              <w:jc w:val="left"/>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4C48133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64A3E74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46ADE93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8104E5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5CAAC7F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00648CC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709E011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573B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10DB96F3">
            <w:pPr>
              <w:widowControl/>
              <w:jc w:val="left"/>
              <w:rPr>
                <w:rFonts w:ascii="Times New Roman" w:hAnsi="Times New Roman" w:eastAsia="宋体" w:cs="Times New Roman"/>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4EA37DBE">
            <w:pPr>
              <w:widowControl/>
              <w:jc w:val="left"/>
              <w:rPr>
                <w:rFonts w:ascii="Times New Roman" w:hAnsi="Times New Roman" w:eastAsia="宋体" w:cs="Times New Roman"/>
                <w:kern w:val="0"/>
                <w:szCs w:val="21"/>
              </w:rPr>
            </w:pPr>
            <w:r>
              <w:rPr>
                <w:rFonts w:ascii="Times New Roman" w:hAnsi="Times New Roman" w:eastAsia="楷体" w:cs="Times New Roman"/>
                <w:szCs w:val="21"/>
              </w:rPr>
              <w:t>（六）其他处理</w:t>
            </w:r>
          </w:p>
        </w:tc>
        <w:tc>
          <w:tcPr>
            <w:tcW w:w="825" w:type="dxa"/>
            <w:tcBorders>
              <w:top w:val="single" w:color="auto" w:sz="4" w:space="0"/>
              <w:left w:val="nil"/>
              <w:bottom w:val="single" w:color="auto" w:sz="4" w:space="0"/>
              <w:right w:val="single" w:color="auto" w:sz="4" w:space="0"/>
            </w:tcBorders>
            <w:vAlign w:val="center"/>
          </w:tcPr>
          <w:p w14:paraId="20F85BA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B6973FC">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5B51534E">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DD16F6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6D9E59A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1DB3D70">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5665335B">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3DD4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14:paraId="4C35A6B9">
            <w:pPr>
              <w:widowControl/>
              <w:jc w:val="left"/>
              <w:rPr>
                <w:rFonts w:ascii="Times New Roman" w:hAnsi="Times New Roman" w:eastAsia="宋体" w:cs="Times New Roman"/>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14:paraId="75A72BBC">
            <w:pPr>
              <w:widowControl/>
              <w:jc w:val="left"/>
              <w:rPr>
                <w:rFonts w:ascii="Times New Roman" w:hAnsi="Times New Roman" w:eastAsia="宋体" w:cs="Times New Roman"/>
                <w:kern w:val="0"/>
                <w:szCs w:val="21"/>
              </w:rPr>
            </w:pPr>
            <w:r>
              <w:rPr>
                <w:rFonts w:ascii="Times New Roman" w:hAnsi="Times New Roman" w:eastAsia="楷体" w:cs="Times New Roman"/>
                <w:szCs w:val="21"/>
              </w:rPr>
              <w:t>（七）总计</w:t>
            </w:r>
          </w:p>
        </w:tc>
        <w:tc>
          <w:tcPr>
            <w:tcW w:w="825" w:type="dxa"/>
            <w:tcBorders>
              <w:top w:val="single" w:color="auto" w:sz="4" w:space="0"/>
              <w:left w:val="nil"/>
              <w:bottom w:val="single" w:color="auto" w:sz="4" w:space="0"/>
              <w:right w:val="single" w:color="auto" w:sz="4" w:space="0"/>
            </w:tcBorders>
            <w:vAlign w:val="center"/>
          </w:tcPr>
          <w:p w14:paraId="6925229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724E1082">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13F21BFF">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2662D8B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740657C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4DFB5D23">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616838C1">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r w14:paraId="696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14:paraId="623AB2B7">
            <w:pPr>
              <w:widowControl/>
              <w:jc w:val="left"/>
              <w:rPr>
                <w:rFonts w:ascii="Times New Roman" w:hAnsi="Times New Roman" w:eastAsia="宋体" w:cs="Times New Roman"/>
                <w:kern w:val="0"/>
                <w:szCs w:val="21"/>
              </w:rPr>
            </w:pPr>
            <w:r>
              <w:rPr>
                <w:rFonts w:ascii="Times New Roman" w:hAnsi="Times New Roman" w:eastAsia="宋体" w:cs="Times New Roman"/>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14:paraId="15B9D69A">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779B3B7">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65" w:type="dxa"/>
            <w:tcBorders>
              <w:top w:val="single" w:color="auto" w:sz="4" w:space="0"/>
              <w:left w:val="nil"/>
              <w:bottom w:val="single" w:color="auto" w:sz="4" w:space="0"/>
              <w:right w:val="single" w:color="auto" w:sz="4" w:space="0"/>
            </w:tcBorders>
            <w:vAlign w:val="center"/>
          </w:tcPr>
          <w:p w14:paraId="32347FC8">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825" w:type="dxa"/>
            <w:tcBorders>
              <w:top w:val="single" w:color="auto" w:sz="4" w:space="0"/>
              <w:left w:val="nil"/>
              <w:bottom w:val="single" w:color="auto" w:sz="4" w:space="0"/>
              <w:right w:val="single" w:color="auto" w:sz="4" w:space="0"/>
            </w:tcBorders>
            <w:vAlign w:val="center"/>
          </w:tcPr>
          <w:p w14:paraId="361E7839">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990" w:type="dxa"/>
            <w:tcBorders>
              <w:top w:val="single" w:color="auto" w:sz="4" w:space="0"/>
              <w:left w:val="nil"/>
              <w:bottom w:val="single" w:color="auto" w:sz="4" w:space="0"/>
              <w:right w:val="single" w:color="auto" w:sz="4" w:space="0"/>
            </w:tcBorders>
            <w:vAlign w:val="center"/>
          </w:tcPr>
          <w:p w14:paraId="5985E8F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20" w:type="dxa"/>
            <w:tcBorders>
              <w:top w:val="single" w:color="auto" w:sz="4" w:space="0"/>
              <w:left w:val="nil"/>
              <w:bottom w:val="single" w:color="auto" w:sz="4" w:space="0"/>
              <w:right w:val="single" w:color="auto" w:sz="4" w:space="0"/>
            </w:tcBorders>
            <w:vAlign w:val="center"/>
          </w:tcPr>
          <w:p w14:paraId="23215636">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c>
          <w:tcPr>
            <w:tcW w:w="702" w:type="dxa"/>
            <w:tcBorders>
              <w:top w:val="single" w:color="auto" w:sz="4" w:space="0"/>
              <w:left w:val="nil"/>
              <w:bottom w:val="single" w:color="auto" w:sz="4" w:space="0"/>
              <w:right w:val="single" w:color="auto" w:sz="4" w:space="0"/>
            </w:tcBorders>
            <w:vAlign w:val="center"/>
          </w:tcPr>
          <w:p w14:paraId="144FA6B4">
            <w:pPr>
              <w:widowControl/>
              <w:jc w:val="center"/>
              <w:rPr>
                <w:rFonts w:ascii="Times New Roman" w:hAnsi="Times New Roman" w:eastAsia="宋体" w:cs="Times New Roman"/>
                <w:kern w:val="0"/>
                <w:szCs w:val="21"/>
              </w:rPr>
            </w:pPr>
            <w:r>
              <w:rPr>
                <w:rFonts w:ascii="Times New Roman" w:hAnsi="Times New Roman" w:eastAsia="宋体" w:cs="Times New Roman"/>
                <w:szCs w:val="21"/>
              </w:rPr>
              <w:t>0</w:t>
            </w:r>
          </w:p>
        </w:tc>
      </w:tr>
    </w:tbl>
    <w:p w14:paraId="557B6170">
      <w:pPr>
        <w:spacing w:line="560" w:lineRule="exact"/>
        <w:ind w:firstLine="640" w:firstLineChars="200"/>
        <w:rPr>
          <w:rFonts w:ascii="Times New Roman" w:hAnsi="Times New Roman" w:eastAsia="黑体" w:cs="Times New Roman"/>
          <w:sz w:val="32"/>
          <w:szCs w:val="32"/>
        </w:rPr>
        <w:sectPr>
          <w:pgSz w:w="11906" w:h="16838"/>
          <w:pgMar w:top="1134" w:right="1797" w:bottom="1134" w:left="1797" w:header="851" w:footer="992" w:gutter="0"/>
          <w:cols w:space="425" w:num="1"/>
          <w:docGrid w:type="linesAndChars" w:linePitch="312" w:charSpace="0"/>
        </w:sectPr>
      </w:pPr>
    </w:p>
    <w:p w14:paraId="3A5A866D">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14:paraId="0EC6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14:paraId="6CBD7C3C">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14:paraId="41F04A12">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行政诉讼</w:t>
            </w:r>
          </w:p>
        </w:tc>
      </w:tr>
      <w:tr w14:paraId="6CFD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14:paraId="1F7FFF9C">
            <w:pPr>
              <w:widowControl/>
              <w:jc w:val="center"/>
              <w:rPr>
                <w:rFonts w:ascii="Times New Roman" w:hAnsi="Times New Roman" w:eastAsia="宋体" w:cs="Times New Roman"/>
                <w:sz w:val="20"/>
                <w:szCs w:val="20"/>
              </w:rPr>
            </w:pPr>
            <w:r>
              <w:rPr>
                <w:rFonts w:ascii="Times New Roman" w:hAnsi="Times New Roman" w:eastAsia="宋体" w:cs="Times New Roman"/>
                <w:sz w:val="20"/>
                <w:szCs w:val="20"/>
              </w:rPr>
              <w:t>结果</w:t>
            </w:r>
          </w:p>
          <w:p w14:paraId="5987A73A">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维持</w:t>
            </w:r>
          </w:p>
        </w:tc>
        <w:tc>
          <w:tcPr>
            <w:tcW w:w="707" w:type="dxa"/>
            <w:vMerge w:val="restart"/>
            <w:tcBorders>
              <w:top w:val="nil"/>
              <w:left w:val="nil"/>
              <w:bottom w:val="single" w:color="auto" w:sz="4" w:space="0"/>
              <w:right w:val="single" w:color="auto" w:sz="4" w:space="0"/>
            </w:tcBorders>
            <w:vAlign w:val="center"/>
          </w:tcPr>
          <w:p w14:paraId="588C560E">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14:paraId="62AF8DE3">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14:paraId="32970641">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14:paraId="23FC892B">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14:paraId="2A5C934E">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未经复议直接起诉</w:t>
            </w:r>
          </w:p>
        </w:tc>
        <w:tc>
          <w:tcPr>
            <w:tcW w:w="3263" w:type="dxa"/>
            <w:gridSpan w:val="5"/>
            <w:tcBorders>
              <w:top w:val="single" w:color="auto" w:sz="4" w:space="0"/>
              <w:left w:val="nil"/>
              <w:bottom w:val="single" w:color="auto" w:sz="4" w:space="0"/>
              <w:right w:val="single" w:color="auto" w:sz="4" w:space="0"/>
            </w:tcBorders>
            <w:vAlign w:val="center"/>
          </w:tcPr>
          <w:p w14:paraId="661316B8">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复议后起诉</w:t>
            </w:r>
          </w:p>
        </w:tc>
      </w:tr>
      <w:tr w14:paraId="3ECA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14:paraId="79179952">
            <w:pPr>
              <w:widowControl/>
              <w:jc w:val="left"/>
              <w:rPr>
                <w:rFonts w:ascii="Times New Roman" w:hAnsi="Times New Roman" w:eastAsia="宋体" w:cs="Times New Roman"/>
                <w:kern w:val="0"/>
                <w:sz w:val="24"/>
                <w:szCs w:val="24"/>
              </w:rPr>
            </w:pPr>
          </w:p>
        </w:tc>
        <w:tc>
          <w:tcPr>
            <w:tcW w:w="707" w:type="dxa"/>
            <w:vMerge w:val="continue"/>
            <w:tcBorders>
              <w:top w:val="nil"/>
              <w:left w:val="nil"/>
              <w:bottom w:val="single" w:color="auto" w:sz="4" w:space="0"/>
              <w:right w:val="single" w:color="auto" w:sz="4" w:space="0"/>
            </w:tcBorders>
            <w:vAlign w:val="center"/>
          </w:tcPr>
          <w:p w14:paraId="123E7A68">
            <w:pPr>
              <w:widowControl/>
              <w:jc w:val="left"/>
              <w:rPr>
                <w:rFonts w:ascii="Times New Roman" w:hAnsi="Times New Roman" w:eastAsia="宋体" w:cs="Times New Roman"/>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14:paraId="3D3EBF86">
            <w:pPr>
              <w:widowControl/>
              <w:jc w:val="left"/>
              <w:rPr>
                <w:rFonts w:ascii="Times New Roman" w:hAnsi="Times New Roman" w:eastAsia="宋体" w:cs="Times New Roman"/>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14:paraId="1DF30FD1">
            <w:pPr>
              <w:widowControl/>
              <w:jc w:val="left"/>
              <w:rPr>
                <w:rFonts w:ascii="Times New Roman" w:hAnsi="Times New Roman" w:eastAsia="宋体" w:cs="Times New Roman"/>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14:paraId="6E83E3F9">
            <w:pPr>
              <w:widowControl/>
              <w:jc w:val="left"/>
              <w:rPr>
                <w:rFonts w:ascii="Times New Roman" w:hAnsi="Times New Roman" w:eastAsia="宋体" w:cs="Times New Roman"/>
                <w:kern w:val="0"/>
                <w:sz w:val="24"/>
                <w:szCs w:val="24"/>
              </w:rPr>
            </w:pPr>
          </w:p>
        </w:tc>
        <w:tc>
          <w:tcPr>
            <w:tcW w:w="707" w:type="dxa"/>
            <w:tcBorders>
              <w:top w:val="single" w:color="auto" w:sz="4" w:space="0"/>
              <w:left w:val="nil"/>
              <w:bottom w:val="single" w:color="auto" w:sz="4" w:space="0"/>
              <w:right w:val="single" w:color="auto" w:sz="4" w:space="0"/>
            </w:tcBorders>
            <w:vAlign w:val="center"/>
          </w:tcPr>
          <w:p w14:paraId="43761062">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结果维持</w:t>
            </w:r>
          </w:p>
        </w:tc>
        <w:tc>
          <w:tcPr>
            <w:tcW w:w="706" w:type="dxa"/>
            <w:tcBorders>
              <w:top w:val="single" w:color="auto" w:sz="4" w:space="0"/>
              <w:left w:val="nil"/>
              <w:bottom w:val="single" w:color="auto" w:sz="4" w:space="0"/>
              <w:right w:val="single" w:color="auto" w:sz="4" w:space="0"/>
            </w:tcBorders>
            <w:vAlign w:val="center"/>
          </w:tcPr>
          <w:p w14:paraId="44F4821C">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结果纠正</w:t>
            </w:r>
          </w:p>
        </w:tc>
        <w:tc>
          <w:tcPr>
            <w:tcW w:w="755" w:type="dxa"/>
            <w:tcBorders>
              <w:top w:val="single" w:color="auto" w:sz="4" w:space="0"/>
              <w:left w:val="nil"/>
              <w:bottom w:val="single" w:color="auto" w:sz="4" w:space="0"/>
              <w:right w:val="single" w:color="auto" w:sz="4" w:space="0"/>
            </w:tcBorders>
            <w:vAlign w:val="center"/>
          </w:tcPr>
          <w:p w14:paraId="422008D2">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其他结果</w:t>
            </w:r>
          </w:p>
        </w:tc>
        <w:tc>
          <w:tcPr>
            <w:tcW w:w="659" w:type="dxa"/>
            <w:tcBorders>
              <w:top w:val="single" w:color="auto" w:sz="4" w:space="0"/>
              <w:left w:val="nil"/>
              <w:bottom w:val="single" w:color="auto" w:sz="4" w:space="0"/>
              <w:right w:val="single" w:color="auto" w:sz="4" w:space="0"/>
            </w:tcBorders>
            <w:vAlign w:val="center"/>
          </w:tcPr>
          <w:p w14:paraId="53ACCE44">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尚未审结</w:t>
            </w:r>
          </w:p>
        </w:tc>
        <w:tc>
          <w:tcPr>
            <w:tcW w:w="548" w:type="dxa"/>
            <w:tcBorders>
              <w:top w:val="single" w:color="auto" w:sz="4" w:space="0"/>
              <w:left w:val="nil"/>
              <w:bottom w:val="single" w:color="auto" w:sz="4" w:space="0"/>
              <w:right w:val="single" w:color="auto" w:sz="4" w:space="0"/>
            </w:tcBorders>
            <w:vAlign w:val="center"/>
          </w:tcPr>
          <w:p w14:paraId="7B69057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14:paraId="21F2482E">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结果维持</w:t>
            </w:r>
          </w:p>
        </w:tc>
        <w:tc>
          <w:tcPr>
            <w:tcW w:w="699" w:type="dxa"/>
            <w:tcBorders>
              <w:top w:val="single" w:color="auto" w:sz="4" w:space="0"/>
              <w:left w:val="nil"/>
              <w:bottom w:val="single" w:color="auto" w:sz="4" w:space="0"/>
              <w:right w:val="single" w:color="auto" w:sz="4" w:space="0"/>
            </w:tcBorders>
            <w:vAlign w:val="center"/>
          </w:tcPr>
          <w:p w14:paraId="595D80A1">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结果纠正</w:t>
            </w:r>
          </w:p>
        </w:tc>
        <w:tc>
          <w:tcPr>
            <w:tcW w:w="714" w:type="dxa"/>
            <w:tcBorders>
              <w:top w:val="single" w:color="auto" w:sz="4" w:space="0"/>
              <w:left w:val="nil"/>
              <w:bottom w:val="single" w:color="auto" w:sz="4" w:space="0"/>
              <w:right w:val="single" w:color="auto" w:sz="4" w:space="0"/>
            </w:tcBorders>
            <w:vAlign w:val="center"/>
          </w:tcPr>
          <w:p w14:paraId="4DC21FE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其他结果</w:t>
            </w:r>
          </w:p>
        </w:tc>
        <w:tc>
          <w:tcPr>
            <w:tcW w:w="708" w:type="dxa"/>
            <w:tcBorders>
              <w:top w:val="single" w:color="auto" w:sz="4" w:space="0"/>
              <w:left w:val="nil"/>
              <w:bottom w:val="single" w:color="auto" w:sz="4" w:space="0"/>
              <w:right w:val="single" w:color="auto" w:sz="4" w:space="0"/>
            </w:tcBorders>
            <w:vAlign w:val="center"/>
          </w:tcPr>
          <w:p w14:paraId="1ED0214B">
            <w:pPr>
              <w:widowControl/>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尚未审结</w:t>
            </w:r>
          </w:p>
        </w:tc>
        <w:tc>
          <w:tcPr>
            <w:tcW w:w="417" w:type="dxa"/>
            <w:tcBorders>
              <w:top w:val="single" w:color="auto" w:sz="4" w:space="0"/>
              <w:left w:val="nil"/>
              <w:bottom w:val="single" w:color="auto" w:sz="4" w:space="0"/>
              <w:right w:val="single" w:color="auto" w:sz="4" w:space="0"/>
            </w:tcBorders>
            <w:vAlign w:val="center"/>
          </w:tcPr>
          <w:p w14:paraId="5EE1D06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总计</w:t>
            </w:r>
          </w:p>
        </w:tc>
      </w:tr>
      <w:tr w14:paraId="6D53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DC404D1">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p>
        </w:tc>
        <w:tc>
          <w:tcPr>
            <w:tcW w:w="707" w:type="dxa"/>
            <w:tcBorders>
              <w:top w:val="single" w:color="auto" w:sz="4" w:space="0"/>
              <w:left w:val="nil"/>
              <w:bottom w:val="single" w:color="auto" w:sz="4" w:space="0"/>
              <w:right w:val="single" w:color="auto" w:sz="4" w:space="0"/>
            </w:tcBorders>
            <w:vAlign w:val="center"/>
          </w:tcPr>
          <w:p w14:paraId="331C9A68">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 </w:t>
            </w:r>
            <w:r>
              <w:rPr>
                <w:rFonts w:hint="eastAsia" w:ascii="Times New Roman" w:hAnsi="Times New Roman" w:eastAsia="宋体" w:cs="Times New Roman"/>
                <w:sz w:val="20"/>
                <w:szCs w:val="20"/>
              </w:rPr>
              <w:t>0</w:t>
            </w:r>
          </w:p>
        </w:tc>
        <w:tc>
          <w:tcPr>
            <w:tcW w:w="707" w:type="dxa"/>
            <w:tcBorders>
              <w:top w:val="single" w:color="auto" w:sz="4" w:space="0"/>
              <w:left w:val="nil"/>
              <w:bottom w:val="single" w:color="auto" w:sz="4" w:space="0"/>
              <w:right w:val="single" w:color="auto" w:sz="4" w:space="0"/>
            </w:tcBorders>
            <w:vAlign w:val="center"/>
          </w:tcPr>
          <w:p w14:paraId="5193C705">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p>
        </w:tc>
        <w:tc>
          <w:tcPr>
            <w:tcW w:w="707" w:type="dxa"/>
            <w:tcBorders>
              <w:top w:val="single" w:color="auto" w:sz="4" w:space="0"/>
              <w:left w:val="nil"/>
              <w:bottom w:val="single" w:color="auto" w:sz="4" w:space="0"/>
              <w:right w:val="single" w:color="auto" w:sz="4" w:space="0"/>
            </w:tcBorders>
            <w:vAlign w:val="center"/>
          </w:tcPr>
          <w:p w14:paraId="26FAE163">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 </w:t>
            </w:r>
            <w:r>
              <w:rPr>
                <w:rFonts w:hint="eastAsia" w:ascii="Times New Roman" w:hAnsi="Times New Roman" w:eastAsia="宋体" w:cs="Times New Roman"/>
                <w:sz w:val="20"/>
                <w:szCs w:val="20"/>
              </w:rPr>
              <w:t>0</w:t>
            </w:r>
          </w:p>
        </w:tc>
        <w:tc>
          <w:tcPr>
            <w:tcW w:w="566" w:type="dxa"/>
            <w:tcBorders>
              <w:top w:val="single" w:color="auto" w:sz="4" w:space="0"/>
              <w:left w:val="nil"/>
              <w:bottom w:val="single" w:color="auto" w:sz="4" w:space="0"/>
              <w:right w:val="single" w:color="auto" w:sz="4" w:space="0"/>
            </w:tcBorders>
            <w:vAlign w:val="center"/>
          </w:tcPr>
          <w:p w14:paraId="10D0336F">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707" w:type="dxa"/>
            <w:tcBorders>
              <w:top w:val="single" w:color="auto" w:sz="4" w:space="0"/>
              <w:left w:val="nil"/>
              <w:bottom w:val="single" w:color="auto" w:sz="4" w:space="0"/>
              <w:right w:val="single" w:color="auto" w:sz="4" w:space="0"/>
            </w:tcBorders>
            <w:vAlign w:val="center"/>
          </w:tcPr>
          <w:p w14:paraId="17584A06">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p>
        </w:tc>
        <w:tc>
          <w:tcPr>
            <w:tcW w:w="706" w:type="dxa"/>
            <w:tcBorders>
              <w:top w:val="single" w:color="auto" w:sz="4" w:space="0"/>
              <w:left w:val="nil"/>
              <w:bottom w:val="single" w:color="auto" w:sz="4" w:space="0"/>
              <w:right w:val="single" w:color="auto" w:sz="4" w:space="0"/>
            </w:tcBorders>
            <w:vAlign w:val="center"/>
          </w:tcPr>
          <w:p w14:paraId="223116A5">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 </w:t>
            </w:r>
            <w:r>
              <w:rPr>
                <w:rFonts w:hint="eastAsia" w:ascii="Times New Roman" w:hAnsi="Times New Roman" w:eastAsia="宋体" w:cs="Times New Roman"/>
                <w:sz w:val="20"/>
                <w:szCs w:val="20"/>
              </w:rPr>
              <w:t>0</w:t>
            </w:r>
          </w:p>
        </w:tc>
        <w:tc>
          <w:tcPr>
            <w:tcW w:w="755" w:type="dxa"/>
            <w:tcBorders>
              <w:top w:val="single" w:color="auto" w:sz="4" w:space="0"/>
              <w:left w:val="nil"/>
              <w:bottom w:val="single" w:color="auto" w:sz="4" w:space="0"/>
              <w:right w:val="single" w:color="auto" w:sz="4" w:space="0"/>
            </w:tcBorders>
            <w:vAlign w:val="center"/>
          </w:tcPr>
          <w:p w14:paraId="4CB22B1B">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r>
              <w:rPr>
                <w:rFonts w:ascii="Times New Roman" w:hAnsi="Times New Roman" w:eastAsia="宋体" w:cs="Times New Roman"/>
                <w:sz w:val="20"/>
                <w:szCs w:val="20"/>
              </w:rPr>
              <w:t> </w:t>
            </w:r>
          </w:p>
        </w:tc>
        <w:tc>
          <w:tcPr>
            <w:tcW w:w="659" w:type="dxa"/>
            <w:tcBorders>
              <w:top w:val="single" w:color="auto" w:sz="4" w:space="0"/>
              <w:left w:val="nil"/>
              <w:bottom w:val="single" w:color="auto" w:sz="4" w:space="0"/>
              <w:right w:val="single" w:color="auto" w:sz="4" w:space="0"/>
            </w:tcBorders>
            <w:vAlign w:val="center"/>
          </w:tcPr>
          <w:p w14:paraId="1EE0F42D">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p>
        </w:tc>
        <w:tc>
          <w:tcPr>
            <w:tcW w:w="548" w:type="dxa"/>
            <w:tcBorders>
              <w:top w:val="single" w:color="auto" w:sz="4" w:space="0"/>
              <w:left w:val="nil"/>
              <w:bottom w:val="single" w:color="auto" w:sz="4" w:space="0"/>
              <w:right w:val="single" w:color="auto" w:sz="4" w:space="0"/>
            </w:tcBorders>
            <w:vAlign w:val="center"/>
          </w:tcPr>
          <w:p w14:paraId="22D46035">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0</w:t>
            </w:r>
          </w:p>
        </w:tc>
        <w:tc>
          <w:tcPr>
            <w:tcW w:w="725" w:type="dxa"/>
            <w:tcBorders>
              <w:top w:val="single" w:color="auto" w:sz="4" w:space="0"/>
              <w:left w:val="nil"/>
              <w:bottom w:val="single" w:color="auto" w:sz="4" w:space="0"/>
              <w:right w:val="single" w:color="auto" w:sz="4" w:space="0"/>
            </w:tcBorders>
            <w:vAlign w:val="center"/>
          </w:tcPr>
          <w:p w14:paraId="1DD4932C">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 </w:t>
            </w:r>
            <w:r>
              <w:rPr>
                <w:rFonts w:hint="eastAsia" w:ascii="Times New Roman" w:hAnsi="Times New Roman" w:eastAsia="宋体" w:cs="Times New Roman"/>
                <w:sz w:val="20"/>
                <w:szCs w:val="20"/>
              </w:rPr>
              <w:t>0</w:t>
            </w:r>
          </w:p>
        </w:tc>
        <w:tc>
          <w:tcPr>
            <w:tcW w:w="699" w:type="dxa"/>
            <w:tcBorders>
              <w:top w:val="single" w:color="auto" w:sz="4" w:space="0"/>
              <w:left w:val="nil"/>
              <w:bottom w:val="single" w:color="auto" w:sz="4" w:space="0"/>
              <w:right w:val="single" w:color="auto" w:sz="4" w:space="0"/>
            </w:tcBorders>
            <w:vAlign w:val="center"/>
          </w:tcPr>
          <w:p w14:paraId="00ABAE63">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sz w:val="20"/>
                <w:szCs w:val="20"/>
              </w:rPr>
              <w:t> </w:t>
            </w:r>
            <w:r>
              <w:rPr>
                <w:rFonts w:hint="eastAsia" w:ascii="Times New Roman" w:hAnsi="Times New Roman" w:eastAsia="宋体" w:cs="Times New Roman"/>
                <w:sz w:val="20"/>
                <w:szCs w:val="20"/>
              </w:rPr>
              <w:t>0</w:t>
            </w:r>
          </w:p>
        </w:tc>
        <w:tc>
          <w:tcPr>
            <w:tcW w:w="714" w:type="dxa"/>
            <w:tcBorders>
              <w:top w:val="single" w:color="auto" w:sz="4" w:space="0"/>
              <w:left w:val="nil"/>
              <w:bottom w:val="single" w:color="auto" w:sz="4" w:space="0"/>
              <w:right w:val="single" w:color="auto" w:sz="4" w:space="0"/>
            </w:tcBorders>
            <w:vAlign w:val="center"/>
          </w:tcPr>
          <w:p w14:paraId="30A3C50A">
            <w:pPr>
              <w:widowControl/>
              <w:spacing w:before="100" w:beforeAutospacing="1" w:after="180" w:line="48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 </w:t>
            </w:r>
            <w:r>
              <w:rPr>
                <w:rFonts w:hint="eastAsia" w:ascii="Times New Roman" w:hAnsi="Times New Roman" w:eastAsia="宋体" w:cs="Times New Roman"/>
                <w:kern w:val="0"/>
                <w:sz w:val="20"/>
                <w:szCs w:val="20"/>
              </w:rPr>
              <w:t>0</w:t>
            </w:r>
          </w:p>
        </w:tc>
        <w:tc>
          <w:tcPr>
            <w:tcW w:w="708" w:type="dxa"/>
            <w:tcBorders>
              <w:top w:val="single" w:color="auto" w:sz="4" w:space="0"/>
              <w:left w:val="nil"/>
              <w:bottom w:val="single" w:color="auto" w:sz="4" w:space="0"/>
              <w:right w:val="single" w:color="auto" w:sz="4" w:space="0"/>
            </w:tcBorders>
            <w:vAlign w:val="center"/>
          </w:tcPr>
          <w:p w14:paraId="5295CC41">
            <w:pPr>
              <w:widowControl/>
              <w:spacing w:before="100" w:beforeAutospacing="1" w:after="180" w:line="480" w:lineRule="auto"/>
              <w:jc w:val="center"/>
              <w:rPr>
                <w:rFonts w:ascii="Times New Roman" w:hAnsi="Times New Roman" w:eastAsia="宋体" w:cs="Times New Roman"/>
                <w:kern w:val="0"/>
                <w:sz w:val="24"/>
                <w:szCs w:val="24"/>
              </w:rPr>
            </w:pPr>
            <w:r>
              <w:rPr>
                <w:rFonts w:hint="eastAsia" w:ascii="Times New Roman" w:hAnsi="Times New Roman" w:eastAsia="宋体" w:cs="Times New Roman"/>
                <w:sz w:val="20"/>
                <w:szCs w:val="20"/>
              </w:rPr>
              <w:t>0</w:t>
            </w:r>
            <w:r>
              <w:rPr>
                <w:rFonts w:ascii="Times New Roman" w:hAnsi="Times New Roman" w:eastAsia="宋体" w:cs="Times New Roman"/>
                <w:sz w:val="20"/>
                <w:szCs w:val="20"/>
              </w:rPr>
              <w:t> </w:t>
            </w:r>
          </w:p>
        </w:tc>
        <w:tc>
          <w:tcPr>
            <w:tcW w:w="417" w:type="dxa"/>
            <w:tcBorders>
              <w:top w:val="single" w:color="auto" w:sz="4" w:space="0"/>
              <w:left w:val="nil"/>
              <w:bottom w:val="single" w:color="auto" w:sz="4" w:space="0"/>
              <w:right w:val="single" w:color="auto" w:sz="4" w:space="0"/>
            </w:tcBorders>
            <w:vAlign w:val="center"/>
          </w:tcPr>
          <w:p w14:paraId="2006979D">
            <w:pPr>
              <w:widowControl/>
              <w:spacing w:line="48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r>
    </w:tbl>
    <w:p w14:paraId="7682BBF3">
      <w:pPr>
        <w:spacing w:line="560" w:lineRule="exact"/>
        <w:ind w:firstLine="640" w:firstLineChars="200"/>
        <w:rPr>
          <w:rFonts w:ascii="Times New Roman" w:hAnsi="Times New Roman" w:eastAsia="黑体" w:cs="Times New Roman"/>
          <w:sz w:val="32"/>
          <w:szCs w:val="32"/>
        </w:rPr>
      </w:pPr>
    </w:p>
    <w:p w14:paraId="1F29427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14:paraId="1C3FDBE0">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（一）主要问题</w:t>
      </w:r>
    </w:p>
    <w:p w14:paraId="792E63C6">
      <w:pPr>
        <w:pStyle w:val="2"/>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一是信息公开时效性需进一步加强；二是主动向社会公开信息的领域有待进一步拓展;三是对于新媒体条件下信息公开的途径、方法研究不够等。</w:t>
      </w:r>
    </w:p>
    <w:p w14:paraId="3E870CEC">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（二）改进措施</w:t>
      </w:r>
    </w:p>
    <w:p w14:paraId="70480C50">
      <w:pPr>
        <w:pStyle w:val="2"/>
        <w:ind w:firstLine="640" w:firstLineChars="200"/>
        <w:rPr>
          <w:rFonts w:ascii="Times New Roman" w:hAnsi="Times New Roman" w:eastAsia="仿宋_GB2312" w:cs="Times New Roman"/>
          <w:kern w:val="0"/>
          <w:sz w:val="32"/>
          <w:szCs w:val="32"/>
          <w:shd w:val="clear" w:color="auto" w:fill="FFFFFF"/>
          <w:lang w:val="en-US" w:eastAsia="zh-CN"/>
        </w:rPr>
      </w:pPr>
      <w:r>
        <w:rPr>
          <w:rFonts w:ascii="Times New Roman" w:hAnsi="Times New Roman" w:eastAsia="仿宋_GB2312" w:cs="Times New Roman"/>
          <w:kern w:val="0"/>
          <w:sz w:val="32"/>
          <w:szCs w:val="32"/>
          <w:shd w:val="clear" w:color="auto" w:fill="FFFFFF"/>
          <w:lang w:val="en-US" w:eastAsia="zh-CN"/>
        </w:rPr>
        <w:t>下一步，我局</w:t>
      </w:r>
      <w:bookmarkStart w:id="0" w:name="_GoBack"/>
      <w:bookmarkEnd w:id="0"/>
      <w:r>
        <w:rPr>
          <w:rFonts w:ascii="Times New Roman" w:hAnsi="Times New Roman" w:eastAsia="仿宋_GB2312" w:cs="Times New Roman"/>
          <w:kern w:val="0"/>
          <w:sz w:val="32"/>
          <w:szCs w:val="32"/>
          <w:shd w:val="clear" w:color="auto" w:fill="FFFFFF"/>
          <w:lang w:val="en-US" w:eastAsia="zh-CN"/>
        </w:rPr>
        <w:t>将继续按照有关文件的要求，强化信息公开意识，提升信息公开业务水平，在工作中严格要求，狠抓政务公开工作，及时认真做好依申请公开信息的受理工作，特别是对群众关注度高的财政预决算、</w:t>
      </w:r>
      <w:r>
        <w:rPr>
          <w:rFonts w:hint="eastAsia" w:ascii="Times New Roman" w:hAnsi="Times New Roman" w:eastAsia="仿宋_GB2312" w:cs="Times New Roman"/>
          <w:kern w:val="0"/>
          <w:sz w:val="32"/>
          <w:szCs w:val="32"/>
          <w:shd w:val="clear" w:color="auto" w:fill="FFFFFF"/>
          <w:lang w:val="en-US" w:eastAsia="zh-CN"/>
        </w:rPr>
        <w:t>“</w:t>
      </w:r>
      <w:r>
        <w:rPr>
          <w:rFonts w:ascii="Times New Roman" w:hAnsi="Times New Roman" w:eastAsia="仿宋_GB2312" w:cs="Times New Roman"/>
          <w:kern w:val="0"/>
          <w:sz w:val="32"/>
          <w:szCs w:val="32"/>
          <w:shd w:val="clear" w:color="auto" w:fill="FFFFFF"/>
          <w:lang w:val="en-US" w:eastAsia="zh-CN"/>
        </w:rPr>
        <w:t>三公</w:t>
      </w:r>
      <w:r>
        <w:rPr>
          <w:rFonts w:hint="eastAsia" w:ascii="Times New Roman" w:hAnsi="Times New Roman" w:eastAsia="仿宋_GB2312" w:cs="Times New Roman"/>
          <w:kern w:val="0"/>
          <w:sz w:val="32"/>
          <w:szCs w:val="32"/>
          <w:shd w:val="clear" w:color="auto" w:fill="FFFFFF"/>
          <w:lang w:val="en-US" w:eastAsia="zh-CN"/>
        </w:rPr>
        <w:t>”</w:t>
      </w:r>
      <w:r>
        <w:rPr>
          <w:rFonts w:ascii="Times New Roman" w:hAnsi="Times New Roman" w:eastAsia="仿宋_GB2312" w:cs="Times New Roman"/>
          <w:kern w:val="0"/>
          <w:sz w:val="32"/>
          <w:szCs w:val="32"/>
          <w:shd w:val="clear" w:color="auto" w:fill="FFFFFF"/>
          <w:lang w:val="en-US" w:eastAsia="zh-CN"/>
        </w:rPr>
        <w:t>经费、就业和社会保障等政府信息要及时督促信息公开主体按质按量及时公开。同时，面对当前新媒体条件下，还需进一步加强网络舆情引导，加大对政务公开的宣传力度，提高群众的参与性，多听取群众的意见，确保政府信息公开工作更好的服务于群众。</w:t>
      </w:r>
    </w:p>
    <w:p w14:paraId="2E2D153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14:paraId="0EAFA63A">
      <w:pPr>
        <w:pStyle w:val="2"/>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本年度政府信息公开工作无其他报告事项。</w:t>
      </w:r>
    </w:p>
    <w:p w14:paraId="5A7CD925">
      <w:pPr>
        <w:ind w:firstLine="560" w:firstLineChars="200"/>
        <w:rPr>
          <w:rFonts w:ascii="Times New Roman" w:hAnsi="Times New Roman" w:eastAsia="仿宋_GB2312" w:cs="Times New Roman"/>
          <w:sz w:val="28"/>
          <w:szCs w:val="28"/>
        </w:rPr>
      </w:pPr>
    </w:p>
    <w:p w14:paraId="05BB8FC6">
      <w:pPr>
        <w:ind w:firstLine="560" w:firstLineChars="200"/>
        <w:rPr>
          <w:rFonts w:ascii="Times New Roman" w:hAnsi="Times New Roman" w:eastAsia="仿宋_GB2312" w:cs="Times New Roman"/>
          <w:sz w:val="28"/>
          <w:szCs w:val="28"/>
        </w:rPr>
      </w:pPr>
    </w:p>
    <w:p w14:paraId="69BAC58E">
      <w:pPr>
        <w:ind w:firstLine="560" w:firstLineChars="200"/>
        <w:rPr>
          <w:rFonts w:ascii="Times New Roman" w:hAnsi="Times New Roman" w:eastAsia="仿宋_GB2312" w:cs="Times New Roman"/>
          <w:sz w:val="28"/>
          <w:szCs w:val="28"/>
        </w:rPr>
      </w:pPr>
    </w:p>
    <w:p w14:paraId="09559389">
      <w:pPr>
        <w:ind w:firstLine="560" w:firstLineChars="200"/>
        <w:rPr>
          <w:rFonts w:ascii="Times New Roman" w:hAnsi="Times New Roman" w:eastAsia="仿宋_GB2312" w:cs="Times New Roman"/>
          <w:sz w:val="28"/>
          <w:szCs w:val="28"/>
        </w:rPr>
      </w:pPr>
    </w:p>
    <w:p w14:paraId="486310FB">
      <w:pPr>
        <w:ind w:firstLine="560" w:firstLineChars="200"/>
        <w:rPr>
          <w:rFonts w:ascii="Times New Roman" w:hAnsi="Times New Roman" w:eastAsia="仿宋_GB2312" w:cs="Times New Roman"/>
          <w:sz w:val="28"/>
          <w:szCs w:val="28"/>
        </w:rPr>
      </w:pPr>
    </w:p>
    <w:p w14:paraId="7392B962">
      <w:pPr>
        <w:ind w:firstLine="420" w:firstLineChars="200"/>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FA9A4"/>
    <w:multiLevelType w:val="singleLevel"/>
    <w:tmpl w:val="1D5FA9A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2E549D"/>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92BBC"/>
    <w:rsid w:val="008A46AC"/>
    <w:rsid w:val="008D4B35"/>
    <w:rsid w:val="008D62E4"/>
    <w:rsid w:val="008E6862"/>
    <w:rsid w:val="008F0C7F"/>
    <w:rsid w:val="00902E17"/>
    <w:rsid w:val="00937389"/>
    <w:rsid w:val="0095696B"/>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112E"/>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E6F5A"/>
    <w:rsid w:val="00CF7A58"/>
    <w:rsid w:val="00D00DA1"/>
    <w:rsid w:val="00D11086"/>
    <w:rsid w:val="00D36A59"/>
    <w:rsid w:val="00D41DCE"/>
    <w:rsid w:val="00D47806"/>
    <w:rsid w:val="00D53DFE"/>
    <w:rsid w:val="00D601F0"/>
    <w:rsid w:val="00D628BA"/>
    <w:rsid w:val="00D72CD5"/>
    <w:rsid w:val="00D75DFC"/>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DF10778"/>
    <w:rsid w:val="1785035F"/>
    <w:rsid w:val="1D5C67BF"/>
    <w:rsid w:val="1E175C9C"/>
    <w:rsid w:val="228E61D2"/>
    <w:rsid w:val="22C76333"/>
    <w:rsid w:val="31B36856"/>
    <w:rsid w:val="35DC545C"/>
    <w:rsid w:val="38AA1DED"/>
    <w:rsid w:val="486D55A9"/>
    <w:rsid w:val="5AD55508"/>
    <w:rsid w:val="5B9D394E"/>
    <w:rsid w:val="629B05FF"/>
    <w:rsid w:val="68073D0D"/>
    <w:rsid w:val="6DB045EA"/>
    <w:rsid w:val="6F6C57CC"/>
    <w:rsid w:val="72E5639B"/>
    <w:rsid w:val="7E020E13"/>
    <w:rsid w:val="7E673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customStyle="1" w:styleId="11">
    <w:name w:val="批注框文本 Char"/>
    <w:basedOn w:val="9"/>
    <w:link w:val="4"/>
    <w:semiHidden/>
    <w:qFormat/>
    <w:uiPriority w:val="99"/>
    <w:rPr>
      <w:sz w:val="18"/>
      <w:szCs w:val="18"/>
    </w:rPr>
  </w:style>
  <w:style w:type="character" w:customStyle="1" w:styleId="12">
    <w:name w:val="标题 1 Char"/>
    <w:basedOn w:val="9"/>
    <w:link w:val="3"/>
    <w:qFormat/>
    <w:uiPriority w:val="9"/>
    <w:rPr>
      <w:rFonts w:ascii="宋体" w:hAnsi="宋体" w:eastAsia="宋体" w:cs="宋体"/>
      <w:b/>
      <w:bCs/>
      <w:kern w:val="36"/>
      <w:sz w:val="48"/>
      <w:szCs w:val="48"/>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1183</Words>
  <Characters>1275</Characters>
  <Lines>4</Lines>
  <Paragraphs>6</Paragraphs>
  <TotalTime>1</TotalTime>
  <ScaleCrop>false</ScaleCrop>
  <LinksUpToDate>false</LinksUpToDate>
  <CharactersWithSpaces>1275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2024-03-08T09:29:00Z</dcterms:created>
  <dc:creator>lb</dc:creator>
  <cp:lastModifiedBy>。</cp:lastModifiedBy>
  <dcterms:modified xsi:type="dcterms:W3CDTF">2025-12-16T01:43:03Z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71C779D2F2A346C3810CA3974FF34362</vt:lpwstr>
  </property>
  <property fmtid="{D5CDD505-2E9C-101B-9397-08002B2CF9AE}" pid="4" name="KSOTemplateDocerSaveRecord">
    <vt:lpwstr>eyJoZGlkIjoiNDA0NDljNmFiMzFkY2ZjZmQ4N2MzMDQyM2Q3NzlkMzMiLCJ1c2VySWQiOiI1MjQ4Mzc4MjkifQ==</vt:lpwstr>
  </property>
</Properties>
</file>