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749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4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0" w:hRule="atLeast"/>
        </w:trPr>
        <w:tc>
          <w:tcPr>
            <w:tcW w:w="7497" w:type="dxa"/>
            <w:noWrap w:val="0"/>
            <w:vAlign w:val="center"/>
          </w:tcPr>
          <w:p>
            <w:pPr>
              <w:keepNext w:val="0"/>
              <w:keepLines w:val="0"/>
              <w:pageBreakBefore w:val="0"/>
              <w:widowControl w:val="0"/>
              <w:kinsoku/>
              <w:wordWrap/>
              <w:overflowPunct/>
              <w:topLinePunct w:val="0"/>
              <w:autoSpaceDE/>
              <w:autoSpaceDN/>
              <w:bidi w:val="0"/>
              <w:adjustRightInd/>
              <w:snapToGrid/>
              <w:spacing w:line="900" w:lineRule="exact"/>
              <w:ind w:left="0" w:leftChars="0" w:right="0" w:rightChars="0" w:firstLine="0" w:firstLineChars="0"/>
              <w:jc w:val="distribute"/>
              <w:textAlignment w:val="auto"/>
              <w:outlineLvl w:val="0"/>
              <w:rPr>
                <w:rFonts w:hint="default" w:ascii="方正小标宋简体" w:hAnsi="方正小标宋简体" w:eastAsia="方正小标宋简体" w:cs="方正小标宋简体"/>
                <w:b/>
                <w:bCs/>
                <w:color w:val="FF0000"/>
                <w:w w:val="75"/>
                <w:sz w:val="72"/>
                <w:szCs w:val="72"/>
                <w:vertAlign w:val="baseline"/>
                <w:lang w:val="en-US" w:eastAsia="zh-CN"/>
              </w:rPr>
            </w:pPr>
            <w:r>
              <w:rPr>
                <w:rFonts w:hint="eastAsia" w:ascii="方正小标宋简体" w:hAnsi="方正小标宋简体" w:eastAsia="方正小标宋简体" w:cs="方正小标宋简体"/>
                <w:b/>
                <w:bCs/>
                <w:color w:val="FF0000"/>
                <w:w w:val="75"/>
                <w:sz w:val="72"/>
                <w:szCs w:val="72"/>
                <w:vertAlign w:val="baseline"/>
                <w:lang w:val="en-US" w:eastAsia="zh-CN"/>
              </w:rPr>
              <w:t>高青县人力资源和社会保障局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95" w:hRule="atLeast"/>
        </w:trPr>
        <w:tc>
          <w:tcPr>
            <w:tcW w:w="7497" w:type="dxa"/>
            <w:noWrap w:val="0"/>
            <w:vAlign w:val="center"/>
          </w:tcPr>
          <w:p>
            <w:pPr>
              <w:keepNext w:val="0"/>
              <w:keepLines w:val="0"/>
              <w:pageBreakBefore w:val="0"/>
              <w:widowControl w:val="0"/>
              <w:kinsoku/>
              <w:wordWrap/>
              <w:overflowPunct/>
              <w:topLinePunct w:val="0"/>
              <w:autoSpaceDE/>
              <w:autoSpaceDN/>
              <w:bidi w:val="0"/>
              <w:adjustRightInd/>
              <w:snapToGrid/>
              <w:spacing w:line="900" w:lineRule="exact"/>
              <w:ind w:left="0" w:leftChars="0" w:right="0" w:rightChars="0" w:firstLine="0" w:firstLineChars="0"/>
              <w:jc w:val="distribute"/>
              <w:textAlignment w:val="auto"/>
              <w:outlineLvl w:val="0"/>
              <w:rPr>
                <w:rFonts w:hint="default" w:ascii="方正小标宋简体" w:hAnsi="方正小标宋简体" w:eastAsia="方正小标宋简体" w:cs="方正小标宋简体"/>
                <w:b/>
                <w:bCs/>
                <w:color w:val="FF0000"/>
                <w:w w:val="75"/>
                <w:sz w:val="72"/>
                <w:szCs w:val="72"/>
                <w:vertAlign w:val="baseline"/>
                <w:lang w:val="en-US" w:eastAsia="zh-CN"/>
              </w:rPr>
            </w:pPr>
            <w:r>
              <w:rPr>
                <w:rFonts w:hint="eastAsia" w:ascii="方正小标宋简体" w:hAnsi="方正小标宋简体" w:eastAsia="方正小标宋简体" w:cs="方正小标宋简体"/>
                <w:b/>
                <w:bCs/>
                <w:color w:val="FF0000"/>
                <w:w w:val="75"/>
                <w:sz w:val="72"/>
                <w:szCs w:val="72"/>
                <w:vertAlign w:val="baseline"/>
                <w:lang w:val="en-US" w:eastAsia="zh-CN"/>
              </w:rPr>
              <w:t>高青县发展和改革局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0" w:hRule="atLeast"/>
        </w:trPr>
        <w:tc>
          <w:tcPr>
            <w:tcW w:w="7497" w:type="dxa"/>
            <w:noWrap w:val="0"/>
            <w:vAlign w:val="center"/>
          </w:tcPr>
          <w:p>
            <w:pPr>
              <w:keepNext w:val="0"/>
              <w:keepLines w:val="0"/>
              <w:pageBreakBefore w:val="0"/>
              <w:widowControl w:val="0"/>
              <w:kinsoku/>
              <w:wordWrap/>
              <w:overflowPunct/>
              <w:topLinePunct w:val="0"/>
              <w:autoSpaceDE/>
              <w:autoSpaceDN/>
              <w:bidi w:val="0"/>
              <w:adjustRightInd/>
              <w:snapToGrid/>
              <w:spacing w:line="900" w:lineRule="exact"/>
              <w:ind w:left="0" w:leftChars="0" w:right="0" w:rightChars="0" w:firstLine="0" w:firstLineChars="0"/>
              <w:jc w:val="distribute"/>
              <w:textAlignment w:val="auto"/>
              <w:outlineLvl w:val="0"/>
              <w:rPr>
                <w:rFonts w:hint="default" w:ascii="方正小标宋简体" w:hAnsi="方正小标宋简体" w:eastAsia="方正小标宋简体" w:cs="方正小标宋简体"/>
                <w:b/>
                <w:bCs/>
                <w:color w:val="FF0000"/>
                <w:w w:val="75"/>
                <w:sz w:val="72"/>
                <w:szCs w:val="72"/>
                <w:vertAlign w:val="baseline"/>
                <w:lang w:val="en-US" w:eastAsia="zh-CN"/>
              </w:rPr>
            </w:pPr>
            <w:r>
              <w:rPr>
                <w:rFonts w:hint="eastAsia" w:ascii="方正小标宋简体" w:hAnsi="方正小标宋简体" w:eastAsia="方正小标宋简体" w:cs="方正小标宋简体"/>
                <w:b/>
                <w:bCs/>
                <w:color w:val="FF0000"/>
                <w:w w:val="75"/>
                <w:sz w:val="72"/>
                <w:szCs w:val="72"/>
                <w:vertAlign w:val="baseline"/>
                <w:lang w:val="en-US" w:eastAsia="zh-CN"/>
              </w:rPr>
              <mc:AlternateContent>
                <mc:Choice Requires="wps">
                  <w:drawing>
                    <wp:anchor distT="0" distB="0" distL="114300" distR="114300" simplePos="0" relativeHeight="251662336" behindDoc="0" locked="0" layoutInCell="1" allowOverlap="1">
                      <wp:simplePos x="0" y="0"/>
                      <wp:positionH relativeFrom="column">
                        <wp:posOffset>4725035</wp:posOffset>
                      </wp:positionH>
                      <wp:positionV relativeFrom="paragraph">
                        <wp:posOffset>511810</wp:posOffset>
                      </wp:positionV>
                      <wp:extent cx="1132840" cy="1351280"/>
                      <wp:effectExtent l="0" t="0" r="10160" b="1270"/>
                      <wp:wrapNone/>
                      <wp:docPr id="6" name="文本框 6"/>
                      <wp:cNvGraphicFramePr/>
                      <a:graphic xmlns:a="http://schemas.openxmlformats.org/drawingml/2006/main">
                        <a:graphicData uri="http://schemas.microsoft.com/office/word/2010/wordprocessingShape">
                          <wps:wsp>
                            <wps:cNvSpPr txBox="1"/>
                            <wps:spPr>
                              <a:xfrm>
                                <a:off x="0" y="0"/>
                                <a:ext cx="1132840" cy="1351280"/>
                              </a:xfrm>
                              <a:prstGeom prst="rect">
                                <a:avLst/>
                              </a:prstGeom>
                              <a:solidFill>
                                <a:srgbClr val="FFFFFF"/>
                              </a:solidFill>
                              <a:ln>
                                <a:noFill/>
                              </a:ln>
                            </wps:spPr>
                            <wps:txbx>
                              <w:txbxContent>
                                <w:p>
                                  <w:pPr>
                                    <w:rPr>
                                      <w:rFonts w:hint="eastAsia" w:eastAsia="宋体"/>
                                      <w:b/>
                                      <w:bCs/>
                                      <w:color w:val="FF0000"/>
                                      <w:w w:val="60"/>
                                      <w:sz w:val="110"/>
                                      <w:szCs w:val="110"/>
                                      <w:lang w:eastAsia="zh-CN"/>
                                    </w:rPr>
                                  </w:pPr>
                                  <w:r>
                                    <w:rPr>
                                      <w:rFonts w:hint="eastAsia" w:ascii="方正小标宋简体" w:hAnsi="方正小标宋简体" w:eastAsia="方正小标宋简体" w:cs="方正小标宋简体"/>
                                      <w:b/>
                                      <w:bCs/>
                                      <w:color w:val="FF0000"/>
                                      <w:w w:val="60"/>
                                      <w:sz w:val="110"/>
                                      <w:szCs w:val="110"/>
                                      <w:lang w:eastAsia="zh-CN"/>
                                    </w:rPr>
                                    <w:t>文件</w:t>
                                  </w:r>
                                </w:p>
                              </w:txbxContent>
                            </wps:txbx>
                            <wps:bodyPr upright="1"/>
                          </wps:wsp>
                        </a:graphicData>
                      </a:graphic>
                    </wp:anchor>
                  </w:drawing>
                </mc:Choice>
                <mc:Fallback>
                  <w:pict>
                    <v:shape id="_x0000_s1026" o:spid="_x0000_s1026" o:spt="202" type="#_x0000_t202" style="position:absolute;left:0pt;margin-left:372.05pt;margin-top:40.3pt;height:106.4pt;width:89.2pt;z-index:251662336;mso-width-relative:page;mso-height-relative:page;" fillcolor="#FFFFFF" filled="t" stroked="f" coordsize="21600,21600" o:gfxdata="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HR4dyfZAAAACgEA&#10;AA8AAAAAAAAAAQAgAAAAIgAAAGRycy9kb3ducmV2LnhtbFBLAQIUABQAAAAIAIdO4kBS3RsvpwEA&#10;ACoDAAAOAAAAAAAAAAEAIAAAACgBAABkcnMvZTJvRG9jLnhtbFBLBQYAAAAABgAGAFkBAABBBQAA&#10;AAA=&#10;">
                      <v:fill on="t" focussize="0,0"/>
                      <v:stroke on="f"/>
                      <v:imagedata o:title=""/>
                      <o:lock v:ext="edit" aspectratio="f"/>
                      <v:textbox>
                        <w:txbxContent>
                          <w:p>
                            <w:pPr>
                              <w:rPr>
                                <w:rFonts w:hint="eastAsia" w:eastAsia="宋体"/>
                                <w:b/>
                                <w:bCs/>
                                <w:color w:val="FF0000"/>
                                <w:w w:val="60"/>
                                <w:sz w:val="110"/>
                                <w:szCs w:val="110"/>
                                <w:lang w:eastAsia="zh-CN"/>
                              </w:rPr>
                            </w:pPr>
                            <w:r>
                              <w:rPr>
                                <w:rFonts w:hint="eastAsia" w:ascii="方正小标宋简体" w:hAnsi="方正小标宋简体" w:eastAsia="方正小标宋简体" w:cs="方正小标宋简体"/>
                                <w:b/>
                                <w:bCs/>
                                <w:color w:val="FF0000"/>
                                <w:w w:val="60"/>
                                <w:sz w:val="110"/>
                                <w:szCs w:val="110"/>
                                <w:lang w:eastAsia="zh-CN"/>
                              </w:rPr>
                              <w:t>文件</w:t>
                            </w:r>
                          </w:p>
                        </w:txbxContent>
                      </v:textbox>
                    </v:shape>
                  </w:pict>
                </mc:Fallback>
              </mc:AlternateContent>
            </w:r>
            <w:r>
              <w:rPr>
                <w:rFonts w:hint="eastAsia" w:ascii="方正小标宋简体" w:hAnsi="方正小标宋简体" w:eastAsia="方正小标宋简体" w:cs="方正小标宋简体"/>
                <w:b/>
                <w:bCs/>
                <w:color w:val="FF0000"/>
                <w:w w:val="75"/>
                <w:sz w:val="72"/>
                <w:szCs w:val="72"/>
                <w:vertAlign w:val="baseline"/>
                <w:lang w:val="en-US" w:eastAsia="zh-CN"/>
              </w:rPr>
              <w:t>高青县交通运输局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0" w:hRule="atLeast"/>
        </w:trPr>
        <w:tc>
          <w:tcPr>
            <w:tcW w:w="7497" w:type="dxa"/>
            <w:noWrap w:val="0"/>
            <w:vAlign w:val="center"/>
          </w:tcPr>
          <w:p>
            <w:pPr>
              <w:keepNext w:val="0"/>
              <w:keepLines w:val="0"/>
              <w:pageBreakBefore w:val="0"/>
              <w:widowControl w:val="0"/>
              <w:kinsoku/>
              <w:wordWrap/>
              <w:overflowPunct/>
              <w:topLinePunct w:val="0"/>
              <w:autoSpaceDE/>
              <w:autoSpaceDN/>
              <w:bidi w:val="0"/>
              <w:adjustRightInd/>
              <w:snapToGrid/>
              <w:spacing w:line="900" w:lineRule="exact"/>
              <w:ind w:left="0" w:leftChars="0" w:right="0" w:rightChars="0" w:firstLine="0" w:firstLineChars="0"/>
              <w:jc w:val="distribute"/>
              <w:textAlignment w:val="auto"/>
              <w:outlineLvl w:val="0"/>
              <w:rPr>
                <w:rFonts w:hint="eastAsia" w:ascii="方正小标宋简体" w:hAnsi="方正小标宋简体" w:eastAsia="方正小标宋简体" w:cs="方正小标宋简体"/>
                <w:b/>
                <w:bCs/>
                <w:color w:val="FF0000"/>
                <w:w w:val="75"/>
                <w:sz w:val="72"/>
                <w:szCs w:val="72"/>
                <w:vertAlign w:val="baseline"/>
                <w:lang w:val="en-US" w:eastAsia="zh-CN"/>
              </w:rPr>
            </w:pPr>
            <w:r>
              <w:rPr>
                <w:rFonts w:hint="eastAsia" w:ascii="方正小标宋简体" w:hAnsi="方正小标宋简体" w:eastAsia="方正小标宋简体" w:cs="方正小标宋简体"/>
                <w:b/>
                <w:bCs/>
                <w:color w:val="FF0000"/>
                <w:w w:val="75"/>
                <w:sz w:val="72"/>
                <w:szCs w:val="72"/>
                <w:vertAlign w:val="baseline"/>
                <w:lang w:val="en-US" w:eastAsia="zh-CN"/>
              </w:rPr>
              <w:t>高青县应急管理局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0" w:hRule="atLeast"/>
        </w:trPr>
        <w:tc>
          <w:tcPr>
            <w:tcW w:w="7497" w:type="dxa"/>
            <w:noWrap w:val="0"/>
            <w:vAlign w:val="center"/>
          </w:tcPr>
          <w:p>
            <w:pPr>
              <w:keepNext w:val="0"/>
              <w:keepLines w:val="0"/>
              <w:pageBreakBefore w:val="0"/>
              <w:widowControl w:val="0"/>
              <w:kinsoku/>
              <w:wordWrap/>
              <w:overflowPunct/>
              <w:topLinePunct w:val="0"/>
              <w:autoSpaceDE/>
              <w:autoSpaceDN/>
              <w:bidi w:val="0"/>
              <w:adjustRightInd/>
              <w:snapToGrid/>
              <w:spacing w:line="900" w:lineRule="exact"/>
              <w:ind w:left="0" w:leftChars="0" w:right="0" w:rightChars="0" w:firstLine="0" w:firstLineChars="0"/>
              <w:jc w:val="distribute"/>
              <w:textAlignment w:val="auto"/>
              <w:outlineLvl w:val="0"/>
              <w:rPr>
                <w:rFonts w:hint="eastAsia" w:ascii="方正小标宋简体" w:hAnsi="方正小标宋简体" w:eastAsia="方正小标宋简体" w:cs="方正小标宋简体"/>
                <w:b/>
                <w:bCs/>
                <w:color w:val="FF0000"/>
                <w:w w:val="75"/>
                <w:sz w:val="72"/>
                <w:szCs w:val="72"/>
                <w:vertAlign w:val="baseline"/>
                <w:lang w:val="en-US" w:eastAsia="zh-CN"/>
              </w:rPr>
            </w:pPr>
            <w:r>
              <w:rPr>
                <w:rFonts w:hint="eastAsia" w:ascii="方正小标宋简体" w:hAnsi="方正小标宋简体" w:eastAsia="方正小标宋简体" w:cs="方正小标宋简体"/>
                <w:b/>
                <w:bCs/>
                <w:color w:val="FF0000"/>
                <w:w w:val="75"/>
                <w:sz w:val="72"/>
                <w:szCs w:val="72"/>
                <w:vertAlign w:val="baseline"/>
                <w:lang w:val="en-US" w:eastAsia="zh-CN"/>
              </w:rPr>
              <w:t>高青县市场监督管理局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0" w:hRule="atLeast"/>
        </w:trPr>
        <w:tc>
          <w:tcPr>
            <w:tcW w:w="7497" w:type="dxa"/>
            <w:noWrap w:val="0"/>
            <w:vAlign w:val="center"/>
          </w:tcPr>
          <w:p>
            <w:pPr>
              <w:keepNext w:val="0"/>
              <w:keepLines w:val="0"/>
              <w:pageBreakBefore w:val="0"/>
              <w:widowControl w:val="0"/>
              <w:kinsoku/>
              <w:wordWrap/>
              <w:overflowPunct/>
              <w:topLinePunct w:val="0"/>
              <w:autoSpaceDE/>
              <w:autoSpaceDN/>
              <w:bidi w:val="0"/>
              <w:adjustRightInd/>
              <w:snapToGrid/>
              <w:spacing w:line="900" w:lineRule="exact"/>
              <w:ind w:left="0" w:leftChars="0" w:right="0" w:rightChars="0" w:firstLine="0" w:firstLineChars="0"/>
              <w:jc w:val="distribute"/>
              <w:textAlignment w:val="auto"/>
              <w:outlineLvl w:val="0"/>
              <w:rPr>
                <w:rFonts w:hint="default" w:ascii="方正小标宋简体" w:hAnsi="方正小标宋简体" w:eastAsia="方正小标宋简体" w:cs="方正小标宋简体"/>
                <w:b/>
                <w:bCs/>
                <w:color w:val="FF0000"/>
                <w:w w:val="75"/>
                <w:sz w:val="72"/>
                <w:szCs w:val="72"/>
                <w:vertAlign w:val="baseline"/>
                <w:lang w:val="en-US" w:eastAsia="zh-CN"/>
              </w:rPr>
            </w:pPr>
            <w:r>
              <w:rPr>
                <w:rFonts w:hint="eastAsia" w:ascii="方正小标宋简体" w:hAnsi="方正小标宋简体" w:eastAsia="方正小标宋简体" w:cs="方正小标宋简体"/>
                <w:b/>
                <w:bCs/>
                <w:color w:val="FF0000"/>
                <w:w w:val="75"/>
                <w:sz w:val="72"/>
                <w:szCs w:val="72"/>
                <w:vertAlign w:val="baseline"/>
                <w:lang w:val="en-US" w:eastAsia="zh-CN"/>
              </w:rPr>
              <w:t>淄博市医疗保障局高青分局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0" w:hRule="atLeast"/>
        </w:trPr>
        <w:tc>
          <w:tcPr>
            <w:tcW w:w="7497" w:type="dxa"/>
            <w:noWrap w:val="0"/>
            <w:vAlign w:val="center"/>
          </w:tcPr>
          <w:p>
            <w:pPr>
              <w:keepNext w:val="0"/>
              <w:keepLines w:val="0"/>
              <w:pageBreakBefore w:val="0"/>
              <w:widowControl w:val="0"/>
              <w:kinsoku/>
              <w:wordWrap/>
              <w:overflowPunct/>
              <w:topLinePunct w:val="0"/>
              <w:autoSpaceDE/>
              <w:autoSpaceDN/>
              <w:bidi w:val="0"/>
              <w:adjustRightInd/>
              <w:snapToGrid/>
              <w:spacing w:line="900" w:lineRule="exact"/>
              <w:ind w:left="0" w:leftChars="0" w:right="0" w:rightChars="0" w:firstLine="0" w:firstLineChars="0"/>
              <w:jc w:val="distribute"/>
              <w:textAlignment w:val="auto"/>
              <w:outlineLvl w:val="0"/>
              <w:rPr>
                <w:rFonts w:hint="default" w:ascii="方正小标宋简体" w:hAnsi="方正小标宋简体" w:eastAsia="方正小标宋简体" w:cs="方正小标宋简体"/>
                <w:b/>
                <w:bCs/>
                <w:color w:val="FF0000"/>
                <w:w w:val="75"/>
                <w:sz w:val="72"/>
                <w:szCs w:val="72"/>
                <w:vertAlign w:val="baseline"/>
                <w:lang w:val="en-US" w:eastAsia="zh-CN"/>
              </w:rPr>
            </w:pPr>
            <w:r>
              <w:rPr>
                <w:rFonts w:hint="eastAsia" w:ascii="方正小标宋简体" w:hAnsi="方正小标宋简体" w:eastAsia="方正小标宋简体" w:cs="方正小标宋简体"/>
                <w:b/>
                <w:bCs/>
                <w:color w:val="FF0000"/>
                <w:w w:val="75"/>
                <w:sz w:val="72"/>
                <w:szCs w:val="72"/>
                <w:vertAlign w:val="baseline"/>
                <w:lang w:val="en-US" w:eastAsia="zh-CN"/>
              </w:rPr>
              <w:t>高青县人民法院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0" w:hRule="atLeast"/>
        </w:trPr>
        <w:tc>
          <w:tcPr>
            <w:tcW w:w="7497" w:type="dxa"/>
            <w:noWrap w:val="0"/>
            <w:vAlign w:val="center"/>
          </w:tcPr>
          <w:p>
            <w:pPr>
              <w:keepNext w:val="0"/>
              <w:keepLines w:val="0"/>
              <w:pageBreakBefore w:val="0"/>
              <w:widowControl w:val="0"/>
              <w:kinsoku/>
              <w:wordWrap/>
              <w:overflowPunct/>
              <w:topLinePunct w:val="0"/>
              <w:autoSpaceDE/>
              <w:autoSpaceDN/>
              <w:bidi w:val="0"/>
              <w:adjustRightInd/>
              <w:snapToGrid/>
              <w:spacing w:line="900" w:lineRule="exact"/>
              <w:ind w:left="0" w:leftChars="0" w:right="0" w:rightChars="0" w:firstLine="0" w:firstLineChars="0"/>
              <w:jc w:val="distribute"/>
              <w:textAlignment w:val="auto"/>
              <w:outlineLvl w:val="0"/>
              <w:rPr>
                <w:rFonts w:hint="default" w:ascii="方正小标宋简体" w:hAnsi="方正小标宋简体" w:eastAsia="方正小标宋简体" w:cs="方正小标宋简体"/>
                <w:b/>
                <w:bCs/>
                <w:color w:val="FF0000"/>
                <w:w w:val="75"/>
                <w:sz w:val="72"/>
                <w:szCs w:val="72"/>
                <w:vertAlign w:val="baseline"/>
                <w:lang w:val="en-US" w:eastAsia="zh-CN"/>
              </w:rPr>
            </w:pPr>
            <w:r>
              <w:rPr>
                <w:rFonts w:hint="eastAsia" w:ascii="方正小标宋简体" w:hAnsi="方正小标宋简体" w:eastAsia="方正小标宋简体" w:cs="方正小标宋简体"/>
                <w:b/>
                <w:bCs/>
                <w:color w:val="FF0000"/>
                <w:w w:val="75"/>
                <w:sz w:val="72"/>
                <w:szCs w:val="72"/>
                <w:vertAlign w:val="baseline"/>
                <w:lang w:val="en-US" w:eastAsia="zh-CN"/>
              </w:rPr>
              <w:t>高青县总工会</w:t>
            </w:r>
          </w:p>
        </w:tc>
      </w:tr>
    </w:tbl>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320" w:firstLineChars="100"/>
        <w:jc w:val="both"/>
        <w:textAlignment w:val="auto"/>
        <w:outlineLvl w:val="9"/>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2880" w:firstLineChars="9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高人社发〔</w:t>
      </w:r>
      <w:r>
        <w:rPr>
          <w:rFonts w:hint="default" w:ascii="Times New Roman" w:hAnsi="Times New Roman" w:eastAsia="仿宋_GB2312" w:cs="Times New Roman"/>
          <w:sz w:val="32"/>
          <w:szCs w:val="32"/>
          <w:lang w:val="en-US" w:eastAsia="zh-CN"/>
        </w:rPr>
        <w:t>20</w:t>
      </w:r>
      <w:r>
        <w:rPr>
          <w:rFonts w:hint="eastAsia" w:ascii="Times New Roman" w:hAnsi="Times New Roman" w:eastAsia="仿宋_GB2312" w:cs="Times New Roman"/>
          <w:sz w:val="32"/>
          <w:szCs w:val="32"/>
          <w:lang w:val="en-US" w:eastAsia="zh-CN"/>
        </w:rPr>
        <w:t>22</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号</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sz w:val="44"/>
        </w:rPr>
      </w:pPr>
      <w:r>
        <w:rPr>
          <w:sz w:val="44"/>
        </w:rPr>
        <w:drawing>
          <wp:anchor distT="0" distB="0" distL="114300" distR="114300" simplePos="0" relativeHeight="251661312" behindDoc="0" locked="0" layoutInCell="1" allowOverlap="1">
            <wp:simplePos x="0" y="0"/>
            <wp:positionH relativeFrom="column">
              <wp:posOffset>66675</wp:posOffset>
            </wp:positionH>
            <wp:positionV relativeFrom="paragraph">
              <wp:posOffset>52070</wp:posOffset>
            </wp:positionV>
            <wp:extent cx="5614670" cy="36830"/>
            <wp:effectExtent l="0" t="0" r="5080" b="1270"/>
            <wp:wrapNone/>
            <wp:docPr id="5" name="图片 5"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片1"/>
                    <pic:cNvPicPr>
                      <a:picLocks noChangeAspect="1"/>
                    </pic:cNvPicPr>
                  </pic:nvPicPr>
                  <pic:blipFill>
                    <a:blip r:embed="rId5"/>
                    <a:stretch>
                      <a:fillRect/>
                    </a:stretch>
                  </pic:blipFill>
                  <pic:spPr>
                    <a:xfrm>
                      <a:off x="0" y="0"/>
                      <a:ext cx="5614670" cy="36830"/>
                    </a:xfrm>
                    <a:prstGeom prst="rect">
                      <a:avLst/>
                    </a:prstGeom>
                  </pic:spPr>
                </pic:pic>
              </a:graphicData>
            </a:graphic>
          </wp:anchor>
        </w:drawing>
      </w:r>
      <w:r>
        <w:rPr>
          <w:sz w:val="44"/>
        </w:rPr>
        <mc:AlternateContent>
          <mc:Choice Requires="wps">
            <w:drawing>
              <wp:anchor distT="0" distB="0" distL="114300" distR="114300" simplePos="0" relativeHeight="251661312" behindDoc="0" locked="0" layoutInCell="1" allowOverlap="1">
                <wp:simplePos x="0" y="0"/>
                <wp:positionH relativeFrom="column">
                  <wp:posOffset>1189355</wp:posOffset>
                </wp:positionH>
                <wp:positionV relativeFrom="paragraph">
                  <wp:posOffset>6040755</wp:posOffset>
                </wp:positionV>
                <wp:extent cx="5819775" cy="635"/>
                <wp:effectExtent l="0" t="13970" r="9525" b="23495"/>
                <wp:wrapNone/>
                <wp:docPr id="4" name="直接连接符 4"/>
                <wp:cNvGraphicFramePr/>
                <a:graphic xmlns:a="http://schemas.openxmlformats.org/drawingml/2006/main">
                  <a:graphicData uri="http://schemas.microsoft.com/office/word/2010/wordprocessingShape">
                    <wps:wsp>
                      <wps:cNvCnPr/>
                      <wps:spPr>
                        <a:xfrm>
                          <a:off x="0" y="0"/>
                          <a:ext cx="5819775" cy="635"/>
                        </a:xfrm>
                        <a:prstGeom prst="line">
                          <a:avLst/>
                        </a:prstGeom>
                        <a:ln w="28575" cap="flat" cmpd="sng">
                          <a:solidFill>
                            <a:srgbClr val="0000FF"/>
                          </a:solidFill>
                          <a:prstDash val="solid"/>
                          <a:headEnd type="none" w="med" len="med"/>
                          <a:tailEnd type="none" w="med" len="med"/>
                        </a:ln>
                      </wps:spPr>
                      <wps:bodyPr upright="1"/>
                    </wps:wsp>
                  </a:graphicData>
                </a:graphic>
              </wp:anchor>
            </w:drawing>
          </mc:Choice>
          <mc:Fallback>
            <w:pict>
              <v:line id="_x0000_s1026" o:spid="_x0000_s1026" o:spt="20" style="position:absolute;left:0pt;margin-left:93.65pt;margin-top:475.65pt;height:0.05pt;width:458.25pt;z-index:251661312;mso-width-relative:page;mso-height-relative:page;" filled="f" stroked="t" coordsize="21600,21600" o:gfxdata="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O8oWO1wAAAAwBAAAPAAAA&#10;AAAAAAEAIAAAACIAAABkcnMvZG93bnJldi54bWxQSwECFAAUAAAACACHTuJASsgDZd0BAACZAwAA&#10;DgAAAAAAAAABACAAAAAmAQAAZHJzL2Uyb0RvYy54bWxQSwUGAAAAAAYABgBZAQAAdQUAAAAA&#10;">
                <v:fill on="f" focussize="0,0"/>
                <v:stroke weight="2.25pt" color="#0000FF" joinstyle="round"/>
                <v:imagedata o:title=""/>
                <o:lock v:ext="edit" aspectratio="f"/>
              </v:line>
            </w:pict>
          </mc:Fallback>
        </mc:AlternateContent>
      </w:r>
      <w:r>
        <w:rPr>
          <w:sz w:val="44"/>
        </w:rPr>
        <mc:AlternateContent>
          <mc:Choice Requires="wps">
            <w:drawing>
              <wp:anchor distT="0" distB="0" distL="114300" distR="114300" simplePos="0" relativeHeight="251660288" behindDoc="0" locked="0" layoutInCell="1" allowOverlap="1">
                <wp:simplePos x="0" y="0"/>
                <wp:positionH relativeFrom="column">
                  <wp:posOffset>1036955</wp:posOffset>
                </wp:positionH>
                <wp:positionV relativeFrom="paragraph">
                  <wp:posOffset>5888355</wp:posOffset>
                </wp:positionV>
                <wp:extent cx="5819775" cy="635"/>
                <wp:effectExtent l="0" t="0" r="0" b="0"/>
                <wp:wrapNone/>
                <wp:docPr id="3" name="直接连接符 3"/>
                <wp:cNvGraphicFramePr/>
                <a:graphic xmlns:a="http://schemas.openxmlformats.org/drawingml/2006/main">
                  <a:graphicData uri="http://schemas.microsoft.com/office/word/2010/wordprocessingShape">
                    <wps:wsp>
                      <wps:cNvCnPr/>
                      <wps:spPr>
                        <a:xfrm>
                          <a:off x="0" y="0"/>
                          <a:ext cx="5819775" cy="635"/>
                        </a:xfrm>
                        <a:prstGeom prst="line">
                          <a:avLst/>
                        </a:prstGeom>
                        <a:ln>
                          <a:headEnd type="none" w="med" len="med"/>
                          <a:tailEnd type="none" w="med" len="med"/>
                        </a:ln>
                      </wps:spPr>
                      <wps:style>
                        <a:lnRef idx="1">
                          <a:schemeClr val="accent2"/>
                        </a:lnRef>
                        <a:fillRef idx="0">
                          <a:schemeClr val="accent2"/>
                        </a:fillRef>
                        <a:effectRef idx="0">
                          <a:schemeClr val="accent2"/>
                        </a:effectRef>
                        <a:fontRef idx="minor">
                          <a:schemeClr val="tx1"/>
                        </a:fontRef>
                      </wps:style>
                      <wps:bodyPr upright="1"/>
                    </wps:wsp>
                  </a:graphicData>
                </a:graphic>
              </wp:anchor>
            </w:drawing>
          </mc:Choice>
          <mc:Fallback>
            <w:pict>
              <v:line id="_x0000_s1026" o:spid="_x0000_s1026" o:spt="20" style="position:absolute;left:0pt;margin-left:81.65pt;margin-top:463.65pt;height:0.05pt;width:458.25pt;z-index:251660288;mso-width-relative:page;mso-height-relative:page;" filled="f" stroked="t" coordsize="21600,21600" o:gfxdata="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QIJ7fNYAAAAMAQAADwAAAAAAAAABACAAAAAiAAAAZHJz&#10;L2Rvd25yZXYueG1sUEsBAhQAFAAAAAgAh07iQDiQW0cGAgAA5wMAAA4AAAAAAAAAAQAgAAAAJQEA&#10;AGRycy9lMm9Eb2MueG1sUEsFBgAAAAAGAAYAWQEAAJ0FAAAAAA==&#10;">
                <v:fill on="f" focussize="0,0"/>
                <v:stroke color="#BE4B48 [3205]" joinstyle="round"/>
                <v:imagedata o:title=""/>
                <o:lock v:ext="edit" aspectratio="f"/>
              </v:line>
            </w:pict>
          </mc:Fallback>
        </mc:AlternateContent>
      </w:r>
      <w:r>
        <w:rPr>
          <w:sz w:val="44"/>
        </w:rPr>
        <mc:AlternateContent>
          <mc:Choice Requires="wps">
            <w:drawing>
              <wp:anchor distT="0" distB="0" distL="114300" distR="114300" simplePos="0" relativeHeight="251659264" behindDoc="0" locked="0" layoutInCell="1" allowOverlap="1">
                <wp:simplePos x="0" y="0"/>
                <wp:positionH relativeFrom="column">
                  <wp:posOffset>884555</wp:posOffset>
                </wp:positionH>
                <wp:positionV relativeFrom="paragraph">
                  <wp:posOffset>5735955</wp:posOffset>
                </wp:positionV>
                <wp:extent cx="5819775" cy="635"/>
                <wp:effectExtent l="0" t="13970" r="9525" b="23495"/>
                <wp:wrapNone/>
                <wp:docPr id="1" name="直接连接符 1"/>
                <wp:cNvGraphicFramePr/>
                <a:graphic xmlns:a="http://schemas.openxmlformats.org/drawingml/2006/main">
                  <a:graphicData uri="http://schemas.microsoft.com/office/word/2010/wordprocessingShape">
                    <wps:wsp>
                      <wps:cNvCnPr/>
                      <wps:spPr>
                        <a:xfrm>
                          <a:off x="0" y="0"/>
                          <a:ext cx="5819775" cy="635"/>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69.65pt;margin-top:451.65pt;height:0.05pt;width:458.25pt;z-index:251659264;mso-width-relative:page;mso-height-relative:page;" filled="f" stroked="t" coordsize="21600,21600" o:gfxdata="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hMepddgAAAAMAQAADwAA&#10;AAAAAAABACAAAAAiAAAAZHJzL2Rvd25yZXYueG1sUEsBAhQAFAAAAAgAh07iQOi5B0PdAQAAmQMA&#10;AA4AAAAAAAAAAQAgAAAAJwEAAGRycy9lMm9Eb2MueG1sUEsFBgAAAAAGAAYAWQEAAHYFAAAAAA==&#10;">
                <v:fill on="f" focussize="0,0"/>
                <v:stroke weight="2.25pt" color="#FF0000" joinstyle="round"/>
                <v:imagedata o:title=""/>
                <o:lock v:ext="edit" aspectratio="f"/>
              </v:line>
            </w:pict>
          </mc:Fallback>
        </mc:AlternateContent>
      </w:r>
    </w:p>
    <w:p>
      <w:pPr>
        <w:pStyle w:val="2"/>
        <w:keepNext w:val="0"/>
        <w:keepLines w:val="0"/>
        <w:pageBreakBefore w:val="0"/>
        <w:widowControl/>
        <w:kinsoku w:val="0"/>
        <w:wordWrap/>
        <w:overflowPunct/>
        <w:topLinePunct w:val="0"/>
        <w:autoSpaceDE w:val="0"/>
        <w:autoSpaceDN w:val="0"/>
        <w:bidi w:val="0"/>
        <w:adjustRightInd w:val="0"/>
        <w:snapToGrid w:val="0"/>
        <w:spacing w:after="0" w:afterLines="0" w:line="580" w:lineRule="exact"/>
        <w:jc w:val="center"/>
        <w:textAlignment w:val="baseline"/>
        <w:rPr>
          <w:rFonts w:hint="eastAsia" w:ascii="方正小标宋简体" w:hAnsi="方正小标宋简体" w:eastAsia="方正小标宋简体" w:cs="方正小标宋简体"/>
          <w:b w:val="0"/>
          <w:bCs w:val="0"/>
          <w:i w:val="0"/>
          <w:iCs w:val="0"/>
          <w:caps w:val="0"/>
          <w:color w:val="auto"/>
          <w:spacing w:val="0"/>
          <w:sz w:val="44"/>
          <w:szCs w:val="44"/>
        </w:rPr>
      </w:pPr>
      <w:r>
        <w:rPr>
          <w:rFonts w:hint="eastAsia" w:ascii="方正小标宋简体" w:hAnsi="方正小标宋简体" w:eastAsia="方正小标宋简体" w:cs="方正小标宋简体"/>
          <w:b w:val="0"/>
          <w:bCs w:val="0"/>
          <w:i w:val="0"/>
          <w:iCs w:val="0"/>
          <w:caps w:val="0"/>
          <w:color w:val="auto"/>
          <w:spacing w:val="0"/>
          <w:sz w:val="44"/>
          <w:szCs w:val="44"/>
          <w:lang w:eastAsia="zh-CN"/>
        </w:rPr>
        <w:t>高青县</w:t>
      </w:r>
      <w:r>
        <w:rPr>
          <w:rFonts w:hint="eastAsia" w:ascii="方正小标宋简体" w:hAnsi="方正小标宋简体" w:eastAsia="方正小标宋简体" w:cs="方正小标宋简体"/>
          <w:b w:val="0"/>
          <w:bCs w:val="0"/>
          <w:i w:val="0"/>
          <w:iCs w:val="0"/>
          <w:caps w:val="0"/>
          <w:color w:val="auto"/>
          <w:spacing w:val="0"/>
          <w:sz w:val="44"/>
          <w:szCs w:val="44"/>
        </w:rPr>
        <w:t>人力资源和社会保障局等八部门关于贯彻落实</w:t>
      </w:r>
      <w:r>
        <w:rPr>
          <w:rFonts w:hint="eastAsia" w:ascii="方正小标宋简体" w:hAnsi="方正小标宋简体" w:eastAsia="方正小标宋简体" w:cs="方正小标宋简体"/>
          <w:b w:val="0"/>
          <w:bCs w:val="0"/>
          <w:i w:val="0"/>
          <w:iCs w:val="0"/>
          <w:caps w:val="0"/>
          <w:color w:val="auto"/>
          <w:spacing w:val="0"/>
          <w:sz w:val="44"/>
          <w:szCs w:val="44"/>
          <w:lang w:eastAsia="zh-CN"/>
        </w:rPr>
        <w:t>省市</w:t>
      </w:r>
      <w:r>
        <w:rPr>
          <w:rFonts w:hint="eastAsia" w:ascii="方正小标宋简体" w:hAnsi="方正小标宋简体" w:eastAsia="方正小标宋简体" w:cs="方正小标宋简体"/>
          <w:b w:val="0"/>
          <w:bCs w:val="0"/>
          <w:i w:val="0"/>
          <w:iCs w:val="0"/>
          <w:caps w:val="0"/>
          <w:color w:val="auto"/>
          <w:spacing w:val="0"/>
          <w:sz w:val="44"/>
          <w:szCs w:val="44"/>
        </w:rPr>
        <w:t>文件维护新就业形态劳动者劳动保障权益的意见</w:t>
      </w:r>
    </w:p>
    <w:p>
      <w:pPr>
        <w:pStyle w:val="2"/>
        <w:keepNext w:val="0"/>
        <w:keepLines w:val="0"/>
        <w:pageBreakBefore w:val="0"/>
        <w:widowControl/>
        <w:kinsoku w:val="0"/>
        <w:wordWrap/>
        <w:overflowPunct/>
        <w:topLinePunct w:val="0"/>
        <w:autoSpaceDE w:val="0"/>
        <w:autoSpaceDN w:val="0"/>
        <w:bidi w:val="0"/>
        <w:adjustRightInd w:val="0"/>
        <w:snapToGrid w:val="0"/>
        <w:spacing w:after="0" w:afterLines="0" w:line="580" w:lineRule="exact"/>
        <w:jc w:val="center"/>
        <w:textAlignment w:val="baseline"/>
        <w:rPr>
          <w:rFonts w:hint="eastAsia" w:ascii="方正小标宋简体" w:hAnsi="方正小标宋简体" w:eastAsia="方正小标宋简体" w:cs="方正小标宋简体"/>
          <w:b w:val="0"/>
          <w:bCs w:val="0"/>
          <w:i w:val="0"/>
          <w:iCs w:val="0"/>
          <w:caps w:val="0"/>
          <w:color w:val="auto"/>
          <w:spacing w:val="0"/>
          <w:sz w:val="44"/>
          <w:szCs w:val="44"/>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jc w:val="left"/>
        <w:textAlignment w:val="auto"/>
        <w:rPr>
          <w:rFonts w:hint="default" w:ascii="Times New Roman" w:hAnsi="Times New Roman" w:eastAsia="仿宋_GB2312" w:cs="Times New Roman"/>
          <w:i w:val="0"/>
          <w:iCs w:val="0"/>
          <w:caps w:val="0"/>
          <w:color w:val="auto"/>
          <w:spacing w:val="0"/>
          <w:sz w:val="32"/>
          <w:szCs w:val="32"/>
          <w:u w:val="none"/>
          <w:shd w:val="clear" w:fill="FFFFFF"/>
        </w:rPr>
      </w:pPr>
      <w:r>
        <w:rPr>
          <w:rFonts w:hint="default" w:ascii="Times New Roman" w:hAnsi="Times New Roman" w:eastAsia="仿宋_GB2312" w:cs="Times New Roman"/>
          <w:b w:val="0"/>
          <w:bCs w:val="0"/>
          <w:i w:val="0"/>
          <w:iCs w:val="0"/>
          <w:caps w:val="0"/>
          <w:snapToGrid/>
          <w:color w:val="auto"/>
          <w:spacing w:val="0"/>
          <w:kern w:val="0"/>
          <w:sz w:val="32"/>
          <w:szCs w:val="32"/>
          <w:u w:val="none"/>
          <w:shd w:val="clear" w:fill="FFFFFF"/>
          <w:lang w:val="en-US" w:eastAsia="zh-CN" w:bidi="ar"/>
        </w:rPr>
        <w:t>各镇人民政府（街道办事处），经济开发区管委会，县政府各部门，各有关单位：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left"/>
        <w:textAlignment w:val="auto"/>
        <w:rPr>
          <w:rFonts w:hint="default" w:ascii="Times New Roman" w:hAnsi="Times New Roman" w:eastAsia="仿宋_GB2312" w:cs="Times New Roman"/>
          <w:b w:val="0"/>
          <w:bCs w:val="0"/>
          <w:i w:val="0"/>
          <w:iCs w:val="0"/>
          <w:caps w:val="0"/>
          <w:snapToGrid/>
          <w:color w:val="auto"/>
          <w:spacing w:val="0"/>
          <w:kern w:val="0"/>
          <w:sz w:val="32"/>
          <w:szCs w:val="32"/>
          <w:u w:val="none"/>
          <w:shd w:val="clear" w:fill="FFFFFF"/>
          <w:lang w:val="en-US" w:eastAsia="zh-CN" w:bidi="ar"/>
        </w:rPr>
      </w:pPr>
      <w:r>
        <w:rPr>
          <w:rFonts w:hint="default" w:ascii="Times New Roman" w:hAnsi="Times New Roman" w:eastAsia="仿宋_GB2312" w:cs="Times New Roman"/>
          <w:b w:val="0"/>
          <w:bCs w:val="0"/>
          <w:i w:val="0"/>
          <w:iCs w:val="0"/>
          <w:caps w:val="0"/>
          <w:snapToGrid/>
          <w:color w:val="auto"/>
          <w:spacing w:val="0"/>
          <w:kern w:val="0"/>
          <w:sz w:val="32"/>
          <w:szCs w:val="32"/>
          <w:u w:val="none"/>
          <w:shd w:val="clear" w:fill="FFFFFF"/>
          <w:lang w:val="en-US" w:eastAsia="zh-CN" w:bidi="ar"/>
        </w:rPr>
        <w:t>为深入贯彻落实《山东省人力资源和社会保障厅等八部门关于维护新就业形态劳动者劳动保障权益的实施意见》（鲁人社发〔2021〕15号）和《淄博市人力资源和社会保障局等八部门关于贯彻落实鲁人社发〔2021〕15号文件维护新就业形态劳动者劳动保障权益的意见》，支持和发展新就业形态，结合我县实际，现提出如下贯彻落实意见。</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left"/>
        <w:textAlignment w:val="auto"/>
        <w:rPr>
          <w:rFonts w:hint="eastAsia" w:ascii="黑体" w:hAnsi="黑体" w:eastAsia="黑体" w:cs="黑体"/>
          <w:i w:val="0"/>
          <w:iCs w:val="0"/>
          <w:caps w:val="0"/>
          <w:color w:val="auto"/>
          <w:spacing w:val="0"/>
          <w:sz w:val="32"/>
          <w:szCs w:val="32"/>
          <w:u w:val="none"/>
        </w:rPr>
      </w:pPr>
      <w:r>
        <w:rPr>
          <w:rFonts w:hint="eastAsia" w:ascii="黑体" w:hAnsi="黑体" w:eastAsia="黑体" w:cs="黑体"/>
          <w:i w:val="0"/>
          <w:iCs w:val="0"/>
          <w:caps w:val="0"/>
          <w:color w:val="auto"/>
          <w:spacing w:val="0"/>
          <w:sz w:val="32"/>
          <w:szCs w:val="32"/>
          <w:u w:val="none"/>
          <w:shd w:val="clear" w:fill="FFFFFF"/>
        </w:rPr>
        <w:t>一、依法明确劳动者权益保障责任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left"/>
        <w:textAlignment w:val="auto"/>
        <w:rPr>
          <w:rFonts w:hint="eastAsia" w:ascii="楷体_GB2312" w:hAnsi="楷体_GB2312" w:eastAsia="楷体_GB2312" w:cs="楷体_GB2312"/>
          <w:i w:val="0"/>
          <w:iCs w:val="0"/>
          <w:caps w:val="0"/>
          <w:color w:val="auto"/>
          <w:spacing w:val="0"/>
          <w:sz w:val="32"/>
          <w:szCs w:val="32"/>
          <w:u w:val="none"/>
        </w:rPr>
      </w:pPr>
      <w:r>
        <w:rPr>
          <w:rFonts w:hint="eastAsia" w:ascii="楷体_GB2312" w:hAnsi="楷体_GB2312" w:eastAsia="楷体_GB2312" w:cs="楷体_GB2312"/>
          <w:i w:val="0"/>
          <w:iCs w:val="0"/>
          <w:caps w:val="0"/>
          <w:color w:val="auto"/>
          <w:spacing w:val="0"/>
          <w:sz w:val="32"/>
          <w:szCs w:val="32"/>
          <w:u w:val="none"/>
          <w:shd w:val="clear" w:fill="FFFFFF"/>
        </w:rPr>
        <w:t>（一）依法规范劳动关系。</w:t>
      </w:r>
      <w:r>
        <w:rPr>
          <w:rFonts w:hint="default" w:ascii="Times New Roman" w:hAnsi="Times New Roman" w:eastAsia="仿宋_GB2312" w:cs="Times New Roman"/>
          <w:b w:val="0"/>
          <w:bCs w:val="0"/>
          <w:i w:val="0"/>
          <w:iCs w:val="0"/>
          <w:caps w:val="0"/>
          <w:color w:val="auto"/>
          <w:spacing w:val="0"/>
          <w:sz w:val="32"/>
          <w:szCs w:val="32"/>
          <w:shd w:val="clear" w:fill="FFFFFF"/>
        </w:rPr>
        <w:t>企业与劳动者符合确定劳动关系情形的，应当依法与劳动者订立劳动合同，履行用人单位责任。支持鼓励有条件的企业与劳动者订立电子劳动合同。从事非全日制用工的劳动者可以与一个或者一个以上用人单位订立劳动合同，但后订立的劳动合同不得影响先订立劳动合同的履行。</w:t>
      </w:r>
      <w:r>
        <w:rPr>
          <w:rFonts w:hint="eastAsia" w:ascii="楷体_GB2312" w:hAnsi="楷体_GB2312" w:eastAsia="楷体_GB2312" w:cs="楷体_GB2312"/>
          <w:i w:val="0"/>
          <w:iCs w:val="0"/>
          <w:caps w:val="0"/>
          <w:color w:val="auto"/>
          <w:spacing w:val="0"/>
          <w:sz w:val="32"/>
          <w:szCs w:val="32"/>
          <w:u w:val="none"/>
          <w:shd w:val="clear" w:fill="FFFFFF"/>
        </w:rPr>
        <w:t>（牵头单位：</w:t>
      </w:r>
      <w:r>
        <w:rPr>
          <w:rFonts w:hint="eastAsia" w:ascii="楷体_GB2312" w:hAnsi="楷体_GB2312" w:eastAsia="楷体_GB2312" w:cs="楷体_GB2312"/>
          <w:i w:val="0"/>
          <w:iCs w:val="0"/>
          <w:caps w:val="0"/>
          <w:color w:val="auto"/>
          <w:spacing w:val="0"/>
          <w:sz w:val="32"/>
          <w:szCs w:val="32"/>
          <w:u w:val="none"/>
          <w:shd w:val="clear" w:fill="FFFFFF"/>
          <w:lang w:eastAsia="zh-CN"/>
        </w:rPr>
        <w:t>县</w:t>
      </w:r>
      <w:r>
        <w:rPr>
          <w:rFonts w:hint="eastAsia" w:ascii="楷体_GB2312" w:hAnsi="楷体_GB2312" w:eastAsia="楷体_GB2312" w:cs="楷体_GB2312"/>
          <w:i w:val="0"/>
          <w:iCs w:val="0"/>
          <w:caps w:val="0"/>
          <w:color w:val="auto"/>
          <w:spacing w:val="0"/>
          <w:sz w:val="32"/>
          <w:szCs w:val="32"/>
          <w:u w:val="none"/>
          <w:shd w:val="clear" w:fill="FFFFFF"/>
        </w:rPr>
        <w:t>人力资源社会保障局、</w:t>
      </w:r>
      <w:r>
        <w:rPr>
          <w:rFonts w:hint="eastAsia" w:ascii="楷体_GB2312" w:hAnsi="楷体_GB2312" w:eastAsia="楷体_GB2312" w:cs="楷体_GB2312"/>
          <w:i w:val="0"/>
          <w:iCs w:val="0"/>
          <w:caps w:val="0"/>
          <w:color w:val="auto"/>
          <w:spacing w:val="0"/>
          <w:sz w:val="32"/>
          <w:szCs w:val="32"/>
          <w:u w:val="none"/>
          <w:shd w:val="clear" w:fill="FFFFFF"/>
          <w:lang w:eastAsia="zh-CN"/>
        </w:rPr>
        <w:t>县</w:t>
      </w:r>
      <w:r>
        <w:rPr>
          <w:rFonts w:hint="eastAsia" w:ascii="楷体_GB2312" w:hAnsi="楷体_GB2312" w:eastAsia="楷体_GB2312" w:cs="楷体_GB2312"/>
          <w:i w:val="0"/>
          <w:iCs w:val="0"/>
          <w:caps w:val="0"/>
          <w:color w:val="auto"/>
          <w:spacing w:val="0"/>
          <w:sz w:val="32"/>
          <w:szCs w:val="32"/>
          <w:u w:val="none"/>
          <w:shd w:val="clear" w:fill="FFFFFF"/>
        </w:rPr>
        <w:t>法院，参加单位</w:t>
      </w:r>
      <w:r>
        <w:rPr>
          <w:rFonts w:hint="eastAsia" w:ascii="楷体_GB2312" w:hAnsi="楷体_GB2312" w:eastAsia="楷体_GB2312" w:cs="楷体_GB2312"/>
          <w:i w:val="0"/>
          <w:iCs w:val="0"/>
          <w:caps w:val="0"/>
          <w:color w:val="auto"/>
          <w:spacing w:val="0"/>
          <w:sz w:val="32"/>
          <w:szCs w:val="32"/>
          <w:u w:val="none"/>
          <w:shd w:val="clear" w:fill="FFFFFF"/>
          <w:lang w:eastAsia="zh-CN"/>
        </w:rPr>
        <w:t>：县</w:t>
      </w:r>
      <w:r>
        <w:rPr>
          <w:rFonts w:hint="eastAsia" w:ascii="楷体_GB2312" w:hAnsi="楷体_GB2312" w:eastAsia="楷体_GB2312" w:cs="楷体_GB2312"/>
          <w:i w:val="0"/>
          <w:iCs w:val="0"/>
          <w:caps w:val="0"/>
          <w:color w:val="auto"/>
          <w:spacing w:val="0"/>
          <w:sz w:val="32"/>
          <w:szCs w:val="32"/>
          <w:u w:val="none"/>
          <w:shd w:val="clear" w:fill="FFFFFF"/>
        </w:rPr>
        <w:t>直各行业主管部门）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left"/>
        <w:textAlignment w:val="auto"/>
        <w:rPr>
          <w:rFonts w:hint="default" w:ascii="楷体_GB2312" w:hAnsi="楷体_GB2312" w:eastAsia="楷体_GB2312" w:cs="楷体_GB2312"/>
          <w:i w:val="0"/>
          <w:iCs w:val="0"/>
          <w:caps w:val="0"/>
          <w:color w:val="auto"/>
          <w:spacing w:val="0"/>
          <w:sz w:val="32"/>
          <w:szCs w:val="32"/>
          <w:u w:val="none"/>
          <w:shd w:val="clear" w:fill="FFFFFF"/>
        </w:rPr>
      </w:pPr>
      <w:r>
        <w:rPr>
          <w:rFonts w:hint="eastAsia" w:ascii="楷体_GB2312" w:hAnsi="楷体_GB2312" w:eastAsia="楷体_GB2312" w:cs="楷体_GB2312"/>
          <w:i w:val="0"/>
          <w:iCs w:val="0"/>
          <w:caps w:val="0"/>
          <w:color w:val="auto"/>
          <w:spacing w:val="0"/>
          <w:sz w:val="32"/>
          <w:szCs w:val="32"/>
          <w:u w:val="none"/>
          <w:shd w:val="clear" w:fill="FFFFFF"/>
        </w:rPr>
        <w:t>（二）规范不完全符合确立劳动关系情形。</w:t>
      </w:r>
      <w:r>
        <w:rPr>
          <w:rFonts w:hint="default" w:ascii="Times New Roman" w:hAnsi="Times New Roman" w:eastAsia="仿宋_GB2312" w:cs="Times New Roman"/>
          <w:b w:val="0"/>
          <w:bCs w:val="0"/>
          <w:i w:val="0"/>
          <w:iCs w:val="0"/>
          <w:caps w:val="0"/>
          <w:color w:val="auto"/>
          <w:spacing w:val="0"/>
          <w:sz w:val="32"/>
          <w:szCs w:val="32"/>
          <w:shd w:val="clear" w:fill="FFFFFF"/>
        </w:rPr>
        <w:t>不完全符合确立劳动关系情形但企业对劳动者进行劳动管理的，企业应当与劳动者订立书面协议，合理确定企业与劳动者的权利和义务。个人依托</w:t>
      </w:r>
      <w:r>
        <w:rPr>
          <w:rFonts w:hint="default" w:ascii="Times New Roman" w:hAnsi="Times New Roman" w:eastAsia="仿宋_GB2312" w:cs="Times New Roman"/>
          <w:b w:val="0"/>
          <w:bCs w:val="0"/>
          <w:i w:val="0"/>
          <w:iCs w:val="0"/>
          <w:caps w:val="0"/>
          <w:color w:val="auto"/>
          <w:spacing w:val="0"/>
          <w:sz w:val="32"/>
          <w:szCs w:val="32"/>
          <w:shd w:val="clear" w:fill="FFFFFF"/>
          <w:lang w:eastAsia="zh-CN"/>
        </w:rPr>
        <w:t>新业态企业</w:t>
      </w:r>
      <w:r>
        <w:rPr>
          <w:rFonts w:hint="default" w:ascii="Times New Roman" w:hAnsi="Times New Roman" w:eastAsia="仿宋_GB2312" w:cs="Times New Roman"/>
          <w:b w:val="0"/>
          <w:bCs w:val="0"/>
          <w:i w:val="0"/>
          <w:iCs w:val="0"/>
          <w:caps w:val="0"/>
          <w:color w:val="auto"/>
          <w:spacing w:val="0"/>
          <w:sz w:val="32"/>
          <w:szCs w:val="32"/>
          <w:shd w:val="clear" w:fill="FFFFFF"/>
        </w:rPr>
        <w:t>自主开展经营活动、从事自由职业等，按照民事法律调整双方的权利义务。</w:t>
      </w:r>
      <w:r>
        <w:rPr>
          <w:rFonts w:hint="default" w:ascii="楷体_GB2312" w:hAnsi="楷体_GB2312" w:eastAsia="楷体_GB2312" w:cs="楷体_GB2312"/>
          <w:i w:val="0"/>
          <w:iCs w:val="0"/>
          <w:caps w:val="0"/>
          <w:color w:val="auto"/>
          <w:spacing w:val="0"/>
          <w:sz w:val="32"/>
          <w:szCs w:val="32"/>
          <w:u w:val="none"/>
          <w:shd w:val="clear" w:fill="FFFFFF"/>
        </w:rPr>
        <w:t>（牵头单位：</w:t>
      </w:r>
      <w:r>
        <w:rPr>
          <w:rFonts w:hint="default" w:ascii="楷体_GB2312" w:hAnsi="楷体_GB2312" w:eastAsia="楷体_GB2312" w:cs="楷体_GB2312"/>
          <w:i w:val="0"/>
          <w:iCs w:val="0"/>
          <w:caps w:val="0"/>
          <w:color w:val="auto"/>
          <w:spacing w:val="0"/>
          <w:sz w:val="32"/>
          <w:szCs w:val="32"/>
          <w:u w:val="none"/>
          <w:shd w:val="clear" w:fill="FFFFFF"/>
          <w:lang w:eastAsia="zh-CN"/>
        </w:rPr>
        <w:t>县</w:t>
      </w:r>
      <w:r>
        <w:rPr>
          <w:rFonts w:hint="default" w:ascii="楷体_GB2312" w:hAnsi="楷体_GB2312" w:eastAsia="楷体_GB2312" w:cs="楷体_GB2312"/>
          <w:i w:val="0"/>
          <w:iCs w:val="0"/>
          <w:caps w:val="0"/>
          <w:color w:val="auto"/>
          <w:spacing w:val="0"/>
          <w:sz w:val="32"/>
          <w:szCs w:val="32"/>
          <w:u w:val="none"/>
          <w:shd w:val="clear" w:fill="FFFFFF"/>
        </w:rPr>
        <w:t>人力资源社会保障局、</w:t>
      </w:r>
      <w:r>
        <w:rPr>
          <w:rFonts w:hint="default" w:ascii="楷体_GB2312" w:hAnsi="楷体_GB2312" w:eastAsia="楷体_GB2312" w:cs="楷体_GB2312"/>
          <w:i w:val="0"/>
          <w:iCs w:val="0"/>
          <w:caps w:val="0"/>
          <w:color w:val="auto"/>
          <w:spacing w:val="0"/>
          <w:sz w:val="32"/>
          <w:szCs w:val="32"/>
          <w:u w:val="none"/>
          <w:shd w:val="clear" w:fill="FFFFFF"/>
          <w:lang w:eastAsia="zh-CN"/>
        </w:rPr>
        <w:t>县</w:t>
      </w:r>
      <w:r>
        <w:rPr>
          <w:rFonts w:hint="default" w:ascii="楷体_GB2312" w:hAnsi="楷体_GB2312" w:eastAsia="楷体_GB2312" w:cs="楷体_GB2312"/>
          <w:i w:val="0"/>
          <w:iCs w:val="0"/>
          <w:caps w:val="0"/>
          <w:color w:val="auto"/>
          <w:spacing w:val="0"/>
          <w:sz w:val="32"/>
          <w:szCs w:val="32"/>
          <w:u w:val="none"/>
          <w:shd w:val="clear" w:fill="FFFFFF"/>
        </w:rPr>
        <w:t>法院，参加单位：</w:t>
      </w:r>
      <w:r>
        <w:rPr>
          <w:rFonts w:hint="default" w:ascii="楷体_GB2312" w:hAnsi="楷体_GB2312" w:eastAsia="楷体_GB2312" w:cs="楷体_GB2312"/>
          <w:i w:val="0"/>
          <w:iCs w:val="0"/>
          <w:caps w:val="0"/>
          <w:color w:val="auto"/>
          <w:spacing w:val="0"/>
          <w:sz w:val="32"/>
          <w:szCs w:val="32"/>
          <w:u w:val="none"/>
          <w:shd w:val="clear" w:fill="FFFFFF"/>
          <w:lang w:eastAsia="zh-CN"/>
        </w:rPr>
        <w:t>县</w:t>
      </w:r>
      <w:r>
        <w:rPr>
          <w:rFonts w:hint="default" w:ascii="楷体_GB2312" w:hAnsi="楷体_GB2312" w:eastAsia="楷体_GB2312" w:cs="楷体_GB2312"/>
          <w:i w:val="0"/>
          <w:iCs w:val="0"/>
          <w:caps w:val="0"/>
          <w:color w:val="auto"/>
          <w:spacing w:val="0"/>
          <w:sz w:val="32"/>
          <w:szCs w:val="32"/>
          <w:u w:val="none"/>
          <w:shd w:val="clear" w:fill="FFFFFF"/>
        </w:rPr>
        <w:t>直各行业主管部门）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left"/>
        <w:textAlignment w:val="auto"/>
        <w:rPr>
          <w:rFonts w:hint="default" w:ascii="楷体_GB2312" w:hAnsi="楷体_GB2312" w:eastAsia="楷体_GB2312" w:cs="楷体_GB2312"/>
          <w:i w:val="0"/>
          <w:iCs w:val="0"/>
          <w:caps w:val="0"/>
          <w:color w:val="auto"/>
          <w:spacing w:val="0"/>
          <w:sz w:val="32"/>
          <w:szCs w:val="32"/>
          <w:u w:val="none"/>
          <w:shd w:val="clear" w:fill="FFFFFF"/>
        </w:rPr>
      </w:pPr>
      <w:r>
        <w:rPr>
          <w:rFonts w:hint="eastAsia" w:ascii="楷体_GB2312" w:hAnsi="楷体_GB2312" w:eastAsia="楷体_GB2312" w:cs="楷体_GB2312"/>
          <w:i w:val="0"/>
          <w:iCs w:val="0"/>
          <w:caps w:val="0"/>
          <w:color w:val="auto"/>
          <w:spacing w:val="0"/>
          <w:sz w:val="32"/>
          <w:szCs w:val="32"/>
          <w:u w:val="none"/>
          <w:shd w:val="clear" w:fill="FFFFFF"/>
        </w:rPr>
        <w:t>（三）</w:t>
      </w:r>
      <w:r>
        <w:rPr>
          <w:rFonts w:hint="eastAsia" w:ascii="楷体_GB2312" w:hAnsi="楷体_GB2312" w:eastAsia="楷体_GB2312" w:cs="楷体_GB2312"/>
          <w:b w:val="0"/>
          <w:bCs w:val="0"/>
          <w:i w:val="0"/>
          <w:iCs w:val="0"/>
          <w:caps w:val="0"/>
          <w:color w:val="auto"/>
          <w:spacing w:val="0"/>
          <w:sz w:val="32"/>
          <w:szCs w:val="32"/>
          <w:shd w:val="clear" w:fill="FFFFFF"/>
        </w:rPr>
        <w:t>规范合作用工形式。</w:t>
      </w:r>
      <w:r>
        <w:rPr>
          <w:rFonts w:hint="default" w:ascii="Times New Roman" w:hAnsi="Times New Roman" w:eastAsia="仿宋_GB2312" w:cs="Times New Roman"/>
          <w:b w:val="0"/>
          <w:bCs w:val="0"/>
          <w:i w:val="0"/>
          <w:iCs w:val="0"/>
          <w:caps w:val="0"/>
          <w:color w:val="auto"/>
          <w:spacing w:val="0"/>
          <w:sz w:val="32"/>
          <w:szCs w:val="32"/>
          <w:shd w:val="clear" w:fill="FFFFFF"/>
        </w:rPr>
        <w:t>对采取劳务派遣</w:t>
      </w:r>
      <w:r>
        <w:rPr>
          <w:rFonts w:hint="default" w:ascii="Times New Roman" w:hAnsi="Times New Roman" w:eastAsia="仿宋_GB2312" w:cs="Times New Roman"/>
          <w:b w:val="0"/>
          <w:bCs w:val="0"/>
          <w:i w:val="0"/>
          <w:iCs w:val="0"/>
          <w:caps w:val="0"/>
          <w:color w:val="auto"/>
          <w:spacing w:val="0"/>
          <w:sz w:val="32"/>
          <w:szCs w:val="32"/>
          <w:shd w:val="clear" w:fill="FFFFFF"/>
          <w:lang w:eastAsia="zh-CN"/>
        </w:rPr>
        <w:t>、</w:t>
      </w:r>
      <w:r>
        <w:rPr>
          <w:rFonts w:hint="default" w:ascii="Times New Roman" w:hAnsi="Times New Roman" w:eastAsia="仿宋_GB2312" w:cs="Times New Roman"/>
          <w:b w:val="0"/>
          <w:bCs w:val="0"/>
          <w:i w:val="0"/>
          <w:iCs w:val="0"/>
          <w:caps w:val="0"/>
          <w:color w:val="auto"/>
          <w:spacing w:val="0"/>
          <w:sz w:val="32"/>
          <w:szCs w:val="32"/>
          <w:shd w:val="clear" w:fill="FFFFFF"/>
        </w:rPr>
        <w:t>劳务外包、加盟协作或其他合作用工方式，劳动者权益受到损害的，</w:t>
      </w:r>
      <w:r>
        <w:rPr>
          <w:rFonts w:hint="default" w:ascii="Times New Roman" w:hAnsi="Times New Roman" w:eastAsia="仿宋_GB2312" w:cs="Times New Roman"/>
          <w:b w:val="0"/>
          <w:bCs w:val="0"/>
          <w:i w:val="0"/>
          <w:iCs w:val="0"/>
          <w:caps w:val="0"/>
          <w:color w:val="auto"/>
          <w:spacing w:val="0"/>
          <w:sz w:val="32"/>
          <w:szCs w:val="32"/>
          <w:shd w:val="clear" w:fill="FFFFFF"/>
          <w:lang w:eastAsia="zh-CN"/>
        </w:rPr>
        <w:t>新业态企业</w:t>
      </w:r>
      <w:r>
        <w:rPr>
          <w:rFonts w:hint="default" w:ascii="Times New Roman" w:hAnsi="Times New Roman" w:eastAsia="仿宋_GB2312" w:cs="Times New Roman"/>
          <w:b w:val="0"/>
          <w:bCs w:val="0"/>
          <w:i w:val="0"/>
          <w:iCs w:val="0"/>
          <w:caps w:val="0"/>
          <w:color w:val="auto"/>
          <w:spacing w:val="0"/>
          <w:sz w:val="32"/>
          <w:szCs w:val="32"/>
          <w:shd w:val="clear" w:fill="FFFFFF"/>
        </w:rPr>
        <w:t>依法承担相应责任。</w:t>
      </w:r>
      <w:r>
        <w:rPr>
          <w:rFonts w:hint="default" w:ascii="楷体_GB2312" w:hAnsi="楷体_GB2312" w:eastAsia="楷体_GB2312" w:cs="楷体_GB2312"/>
          <w:i w:val="0"/>
          <w:iCs w:val="0"/>
          <w:caps w:val="0"/>
          <w:color w:val="auto"/>
          <w:spacing w:val="0"/>
          <w:sz w:val="32"/>
          <w:szCs w:val="32"/>
          <w:u w:val="none"/>
          <w:shd w:val="clear" w:fill="FFFFFF"/>
        </w:rPr>
        <w:t>（牵头单位：</w:t>
      </w:r>
      <w:r>
        <w:rPr>
          <w:rFonts w:hint="default" w:ascii="楷体_GB2312" w:hAnsi="楷体_GB2312" w:eastAsia="楷体_GB2312" w:cs="楷体_GB2312"/>
          <w:i w:val="0"/>
          <w:iCs w:val="0"/>
          <w:caps w:val="0"/>
          <w:color w:val="auto"/>
          <w:spacing w:val="0"/>
          <w:sz w:val="32"/>
          <w:szCs w:val="32"/>
          <w:u w:val="none"/>
          <w:shd w:val="clear" w:fill="FFFFFF"/>
          <w:lang w:eastAsia="zh-CN"/>
        </w:rPr>
        <w:t>县</w:t>
      </w:r>
      <w:r>
        <w:rPr>
          <w:rFonts w:hint="default" w:ascii="楷体_GB2312" w:hAnsi="楷体_GB2312" w:eastAsia="楷体_GB2312" w:cs="楷体_GB2312"/>
          <w:i w:val="0"/>
          <w:iCs w:val="0"/>
          <w:caps w:val="0"/>
          <w:color w:val="auto"/>
          <w:spacing w:val="0"/>
          <w:sz w:val="32"/>
          <w:szCs w:val="32"/>
          <w:u w:val="none"/>
          <w:shd w:val="clear" w:fill="FFFFFF"/>
        </w:rPr>
        <w:t>人力资源社会保障局、</w:t>
      </w:r>
      <w:r>
        <w:rPr>
          <w:rFonts w:hint="default" w:ascii="楷体_GB2312" w:hAnsi="楷体_GB2312" w:eastAsia="楷体_GB2312" w:cs="楷体_GB2312"/>
          <w:i w:val="0"/>
          <w:iCs w:val="0"/>
          <w:caps w:val="0"/>
          <w:color w:val="auto"/>
          <w:spacing w:val="0"/>
          <w:sz w:val="32"/>
          <w:szCs w:val="32"/>
          <w:u w:val="none"/>
          <w:shd w:val="clear" w:fill="FFFFFF"/>
          <w:lang w:eastAsia="zh-CN"/>
        </w:rPr>
        <w:t>县法</w:t>
      </w:r>
      <w:r>
        <w:rPr>
          <w:rFonts w:hint="default" w:ascii="楷体_GB2312" w:hAnsi="楷体_GB2312" w:eastAsia="楷体_GB2312" w:cs="楷体_GB2312"/>
          <w:i w:val="0"/>
          <w:iCs w:val="0"/>
          <w:caps w:val="0"/>
          <w:color w:val="auto"/>
          <w:spacing w:val="0"/>
          <w:sz w:val="32"/>
          <w:szCs w:val="32"/>
          <w:u w:val="none"/>
          <w:shd w:val="clear" w:fill="FFFFFF"/>
        </w:rPr>
        <w:t>院，参加单位：</w:t>
      </w:r>
      <w:r>
        <w:rPr>
          <w:rFonts w:hint="default" w:ascii="楷体_GB2312" w:hAnsi="楷体_GB2312" w:eastAsia="楷体_GB2312" w:cs="楷体_GB2312"/>
          <w:i w:val="0"/>
          <w:iCs w:val="0"/>
          <w:caps w:val="0"/>
          <w:color w:val="auto"/>
          <w:spacing w:val="0"/>
          <w:sz w:val="32"/>
          <w:szCs w:val="32"/>
          <w:u w:val="none"/>
          <w:shd w:val="clear" w:fill="FFFFFF"/>
          <w:lang w:eastAsia="zh-CN"/>
        </w:rPr>
        <w:t>县</w:t>
      </w:r>
      <w:r>
        <w:rPr>
          <w:rFonts w:hint="default" w:ascii="楷体_GB2312" w:hAnsi="楷体_GB2312" w:eastAsia="楷体_GB2312" w:cs="楷体_GB2312"/>
          <w:i w:val="0"/>
          <w:iCs w:val="0"/>
          <w:caps w:val="0"/>
          <w:color w:val="auto"/>
          <w:spacing w:val="0"/>
          <w:sz w:val="32"/>
          <w:szCs w:val="32"/>
          <w:u w:val="none"/>
          <w:shd w:val="clear" w:fill="FFFFFF"/>
        </w:rPr>
        <w:t>直各行业主管部门）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left"/>
        <w:textAlignment w:val="auto"/>
        <w:rPr>
          <w:rFonts w:hint="eastAsia" w:ascii="黑体" w:hAnsi="黑体" w:eastAsia="黑体" w:cs="黑体"/>
          <w:i w:val="0"/>
          <w:iCs w:val="0"/>
          <w:caps w:val="0"/>
          <w:color w:val="auto"/>
          <w:spacing w:val="0"/>
          <w:sz w:val="32"/>
          <w:szCs w:val="32"/>
          <w:u w:val="none"/>
        </w:rPr>
      </w:pPr>
      <w:r>
        <w:rPr>
          <w:rFonts w:hint="eastAsia" w:ascii="黑体" w:hAnsi="黑体" w:eastAsia="黑体" w:cs="黑体"/>
          <w:i w:val="0"/>
          <w:iCs w:val="0"/>
          <w:caps w:val="0"/>
          <w:color w:val="auto"/>
          <w:spacing w:val="0"/>
          <w:sz w:val="32"/>
          <w:szCs w:val="32"/>
          <w:u w:val="none"/>
          <w:shd w:val="clear" w:fill="FFFFFF"/>
        </w:rPr>
        <w:t>二、切实保障劳动者合法劳动权益</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left"/>
        <w:textAlignment w:val="auto"/>
        <w:rPr>
          <w:rFonts w:hint="default" w:ascii="楷体_GB2312" w:hAnsi="楷体_GB2312" w:eastAsia="楷体_GB2312" w:cs="楷体_GB2312"/>
          <w:i w:val="0"/>
          <w:iCs w:val="0"/>
          <w:caps w:val="0"/>
          <w:color w:val="auto"/>
          <w:spacing w:val="0"/>
          <w:sz w:val="32"/>
          <w:szCs w:val="32"/>
          <w:u w:val="none"/>
          <w:shd w:val="clear" w:fill="FFFFFF"/>
        </w:rPr>
      </w:pPr>
      <w:r>
        <w:rPr>
          <w:rFonts w:hint="eastAsia" w:ascii="楷体_GB2312" w:hAnsi="楷体_GB2312" w:eastAsia="楷体_GB2312" w:cs="楷体_GB2312"/>
          <w:i w:val="0"/>
          <w:iCs w:val="0"/>
          <w:caps w:val="0"/>
          <w:color w:val="auto"/>
          <w:spacing w:val="0"/>
          <w:sz w:val="32"/>
          <w:szCs w:val="32"/>
          <w:u w:val="none"/>
          <w:shd w:val="clear" w:fill="FFFFFF"/>
        </w:rPr>
        <w:t>（四）保障劳动者平等就业的权利。</w:t>
      </w:r>
      <w:r>
        <w:rPr>
          <w:rFonts w:hint="default" w:ascii="Times New Roman" w:hAnsi="Times New Roman" w:eastAsia="仿宋_GB2312" w:cs="Times New Roman"/>
          <w:i w:val="0"/>
          <w:iCs w:val="0"/>
          <w:caps w:val="0"/>
          <w:color w:val="auto"/>
          <w:spacing w:val="0"/>
          <w:sz w:val="32"/>
          <w:szCs w:val="32"/>
          <w:u w:val="none"/>
          <w:shd w:val="clear" w:fill="FFFFFF"/>
        </w:rPr>
        <w:t>落实公平就业制度，消除就业歧视。企业招用劳动者及经营性人力资源服务机构组织招聘活动时不得违法设置性别、民族、年龄等歧视性条件，不得以缴纳保证金、押金或者其他名义向劳动者收取财物，不得违法限制劳动者在多</w:t>
      </w:r>
      <w:r>
        <w:rPr>
          <w:rFonts w:hint="default" w:ascii="Times New Roman" w:hAnsi="Times New Roman" w:eastAsia="仿宋_GB2312" w:cs="Times New Roman"/>
          <w:b w:val="0"/>
          <w:bCs w:val="0"/>
          <w:i w:val="0"/>
          <w:iCs w:val="0"/>
          <w:caps w:val="0"/>
          <w:color w:val="auto"/>
          <w:spacing w:val="0"/>
          <w:sz w:val="32"/>
          <w:szCs w:val="32"/>
          <w:shd w:val="clear" w:fill="FFFFFF"/>
          <w:lang w:eastAsia="zh-CN"/>
        </w:rPr>
        <w:t>新业态企业</w:t>
      </w:r>
      <w:r>
        <w:rPr>
          <w:rFonts w:hint="default" w:ascii="Times New Roman" w:hAnsi="Times New Roman" w:eastAsia="仿宋_GB2312" w:cs="Times New Roman"/>
          <w:i w:val="0"/>
          <w:iCs w:val="0"/>
          <w:caps w:val="0"/>
          <w:color w:val="auto"/>
          <w:spacing w:val="0"/>
          <w:sz w:val="32"/>
          <w:szCs w:val="32"/>
          <w:u w:val="none"/>
          <w:shd w:val="clear" w:fill="FFFFFF"/>
        </w:rPr>
        <w:t>就业。落实新就业形态灵活就业意外伤害保险补贴政策，对符合条件的新就业形态灵活就业意外伤害保险给予补贴，保障劳动者权益。</w:t>
      </w:r>
      <w:r>
        <w:rPr>
          <w:rFonts w:hint="default" w:ascii="楷体_GB2312" w:hAnsi="楷体_GB2312" w:eastAsia="楷体_GB2312" w:cs="楷体_GB2312"/>
          <w:i w:val="0"/>
          <w:iCs w:val="0"/>
          <w:caps w:val="0"/>
          <w:color w:val="auto"/>
          <w:spacing w:val="0"/>
          <w:sz w:val="32"/>
          <w:szCs w:val="32"/>
          <w:u w:val="none"/>
          <w:shd w:val="clear" w:fill="FFFFFF"/>
        </w:rPr>
        <w:t>（牵头单位：</w:t>
      </w:r>
      <w:r>
        <w:rPr>
          <w:rFonts w:hint="default" w:ascii="楷体_GB2312" w:hAnsi="楷体_GB2312" w:eastAsia="楷体_GB2312" w:cs="楷体_GB2312"/>
          <w:i w:val="0"/>
          <w:iCs w:val="0"/>
          <w:caps w:val="0"/>
          <w:color w:val="auto"/>
          <w:spacing w:val="0"/>
          <w:sz w:val="32"/>
          <w:szCs w:val="32"/>
          <w:u w:val="none"/>
          <w:shd w:val="clear" w:fill="FFFFFF"/>
          <w:lang w:eastAsia="zh-CN"/>
        </w:rPr>
        <w:t>县</w:t>
      </w:r>
      <w:r>
        <w:rPr>
          <w:rFonts w:hint="default" w:ascii="楷体_GB2312" w:hAnsi="楷体_GB2312" w:eastAsia="楷体_GB2312" w:cs="楷体_GB2312"/>
          <w:i w:val="0"/>
          <w:iCs w:val="0"/>
          <w:caps w:val="0"/>
          <w:color w:val="auto"/>
          <w:spacing w:val="0"/>
          <w:sz w:val="32"/>
          <w:szCs w:val="32"/>
          <w:u w:val="none"/>
          <w:shd w:val="clear" w:fill="FFFFFF"/>
        </w:rPr>
        <w:t>人力资源社会保障局、</w:t>
      </w:r>
      <w:r>
        <w:rPr>
          <w:rFonts w:hint="default" w:ascii="楷体_GB2312" w:hAnsi="楷体_GB2312" w:eastAsia="楷体_GB2312" w:cs="楷体_GB2312"/>
          <w:i w:val="0"/>
          <w:iCs w:val="0"/>
          <w:caps w:val="0"/>
          <w:color w:val="auto"/>
          <w:spacing w:val="0"/>
          <w:sz w:val="32"/>
          <w:szCs w:val="32"/>
          <w:u w:val="none"/>
          <w:shd w:val="clear" w:fill="FFFFFF"/>
          <w:lang w:eastAsia="zh-CN"/>
        </w:rPr>
        <w:t>县</w:t>
      </w:r>
      <w:r>
        <w:rPr>
          <w:rFonts w:hint="default" w:ascii="楷体_GB2312" w:hAnsi="楷体_GB2312" w:eastAsia="楷体_GB2312" w:cs="楷体_GB2312"/>
          <w:i w:val="0"/>
          <w:iCs w:val="0"/>
          <w:caps w:val="0"/>
          <w:color w:val="auto"/>
          <w:spacing w:val="0"/>
          <w:sz w:val="32"/>
          <w:szCs w:val="32"/>
          <w:u w:val="none"/>
          <w:shd w:val="clear" w:fill="FFFFFF"/>
        </w:rPr>
        <w:t>法院，参加单位：</w:t>
      </w:r>
      <w:r>
        <w:rPr>
          <w:rFonts w:hint="default" w:ascii="楷体_GB2312" w:hAnsi="楷体_GB2312" w:eastAsia="楷体_GB2312" w:cs="楷体_GB2312"/>
          <w:i w:val="0"/>
          <w:iCs w:val="0"/>
          <w:caps w:val="0"/>
          <w:color w:val="auto"/>
          <w:spacing w:val="0"/>
          <w:sz w:val="32"/>
          <w:szCs w:val="32"/>
          <w:u w:val="none"/>
          <w:shd w:val="clear" w:fill="FFFFFF"/>
          <w:lang w:eastAsia="zh-CN"/>
        </w:rPr>
        <w:t>县</w:t>
      </w:r>
      <w:r>
        <w:rPr>
          <w:rFonts w:hint="default" w:ascii="楷体_GB2312" w:hAnsi="楷体_GB2312" w:eastAsia="楷体_GB2312" w:cs="楷体_GB2312"/>
          <w:i w:val="0"/>
          <w:iCs w:val="0"/>
          <w:caps w:val="0"/>
          <w:color w:val="auto"/>
          <w:spacing w:val="0"/>
          <w:sz w:val="32"/>
          <w:szCs w:val="32"/>
          <w:u w:val="none"/>
          <w:shd w:val="clear" w:fill="FFFFFF"/>
        </w:rPr>
        <w:t>直各行业主管部门）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left"/>
        <w:textAlignment w:val="auto"/>
        <w:rPr>
          <w:rFonts w:hint="default" w:ascii="楷体_GB2312" w:hAnsi="楷体_GB2312" w:eastAsia="楷体_GB2312" w:cs="楷体_GB2312"/>
          <w:i w:val="0"/>
          <w:iCs w:val="0"/>
          <w:caps w:val="0"/>
          <w:color w:val="auto"/>
          <w:spacing w:val="0"/>
          <w:sz w:val="32"/>
          <w:szCs w:val="32"/>
          <w:u w:val="none"/>
          <w:shd w:val="clear" w:fill="FFFFFF"/>
        </w:rPr>
      </w:pPr>
      <w:r>
        <w:rPr>
          <w:rFonts w:hint="eastAsia" w:ascii="楷体_GB2312" w:hAnsi="楷体_GB2312" w:eastAsia="楷体_GB2312" w:cs="楷体_GB2312"/>
          <w:i w:val="0"/>
          <w:iCs w:val="0"/>
          <w:caps w:val="0"/>
          <w:color w:val="auto"/>
          <w:spacing w:val="0"/>
          <w:sz w:val="32"/>
          <w:szCs w:val="32"/>
          <w:u w:val="none"/>
          <w:shd w:val="clear" w:fill="FFFFFF"/>
        </w:rPr>
        <w:t>（五）保障劳动者取得劳动报酬的权利。</w:t>
      </w:r>
      <w:r>
        <w:rPr>
          <w:rFonts w:hint="default" w:ascii="Times New Roman" w:hAnsi="Times New Roman" w:eastAsia="仿宋_GB2312" w:cs="Times New Roman"/>
          <w:i w:val="0"/>
          <w:iCs w:val="0"/>
          <w:caps w:val="0"/>
          <w:color w:val="auto"/>
          <w:spacing w:val="0"/>
          <w:sz w:val="32"/>
          <w:szCs w:val="32"/>
          <w:u w:val="none"/>
          <w:shd w:val="clear" w:fill="FFFFFF"/>
        </w:rPr>
        <w:t>用人单位应当向提供正常劳动的劳动者按时足额支付不低于当地最低工资标准的劳动报酬，不得克扣或者无故拖欠劳动者的劳动报酬。依托</w:t>
      </w:r>
      <w:r>
        <w:rPr>
          <w:rFonts w:hint="default" w:ascii="Times New Roman" w:hAnsi="Times New Roman" w:eastAsia="仿宋_GB2312" w:cs="Times New Roman"/>
          <w:b w:val="0"/>
          <w:bCs w:val="0"/>
          <w:i w:val="0"/>
          <w:iCs w:val="0"/>
          <w:caps w:val="0"/>
          <w:color w:val="auto"/>
          <w:spacing w:val="0"/>
          <w:sz w:val="32"/>
          <w:szCs w:val="32"/>
          <w:shd w:val="clear" w:fill="FFFFFF"/>
          <w:lang w:eastAsia="zh-CN"/>
        </w:rPr>
        <w:t>新业态企业</w:t>
      </w:r>
      <w:r>
        <w:rPr>
          <w:rFonts w:hint="default" w:ascii="Times New Roman" w:hAnsi="Times New Roman" w:eastAsia="仿宋_GB2312" w:cs="Times New Roman"/>
          <w:i w:val="0"/>
          <w:iCs w:val="0"/>
          <w:caps w:val="0"/>
          <w:color w:val="auto"/>
          <w:spacing w:val="0"/>
          <w:sz w:val="32"/>
          <w:szCs w:val="32"/>
          <w:u w:val="none"/>
          <w:shd w:val="clear" w:fill="FFFFFF"/>
        </w:rPr>
        <w:t>开展生产经营活动的关联单位，应当依法承担本单位员工劳动报酬支付主体责任;关联单位与员工确认劳动报酬后，可委托</w:t>
      </w:r>
      <w:r>
        <w:rPr>
          <w:rFonts w:hint="default" w:ascii="Times New Roman" w:hAnsi="Times New Roman" w:eastAsia="仿宋_GB2312" w:cs="Times New Roman"/>
          <w:b w:val="0"/>
          <w:bCs w:val="0"/>
          <w:i w:val="0"/>
          <w:iCs w:val="0"/>
          <w:caps w:val="0"/>
          <w:color w:val="auto"/>
          <w:spacing w:val="0"/>
          <w:sz w:val="32"/>
          <w:szCs w:val="32"/>
          <w:shd w:val="clear" w:fill="FFFFFF"/>
          <w:lang w:eastAsia="zh-CN"/>
        </w:rPr>
        <w:t>新业态企业</w:t>
      </w:r>
      <w:r>
        <w:rPr>
          <w:rFonts w:hint="default" w:ascii="Times New Roman" w:hAnsi="Times New Roman" w:eastAsia="仿宋_GB2312" w:cs="Times New Roman"/>
          <w:i w:val="0"/>
          <w:iCs w:val="0"/>
          <w:caps w:val="0"/>
          <w:color w:val="auto"/>
          <w:spacing w:val="0"/>
          <w:sz w:val="32"/>
          <w:szCs w:val="32"/>
          <w:u w:val="none"/>
          <w:shd w:val="clear" w:fill="FFFFFF"/>
        </w:rPr>
        <w:t>支付。关联单位发生违法拖欠劳动报酬行为的，其不良行为记录依法依规同步纳入信用管理。各有关部门要强化工作协同，对排查发现和相关渠道接收的欠薪线索，要明确专人负责，做到接诉即办、限时解决。综合运用执法、调解等手段，确保线索当日受理、次日对接、3日反馈。引导企业建立劳动报酬合理增长机制，逐步提高劳动报酬水平。</w:t>
      </w:r>
      <w:r>
        <w:rPr>
          <w:rFonts w:hint="default" w:ascii="楷体_GB2312" w:hAnsi="楷体_GB2312" w:eastAsia="楷体_GB2312" w:cs="楷体_GB2312"/>
          <w:i w:val="0"/>
          <w:iCs w:val="0"/>
          <w:caps w:val="0"/>
          <w:color w:val="auto"/>
          <w:spacing w:val="0"/>
          <w:sz w:val="32"/>
          <w:szCs w:val="32"/>
          <w:u w:val="none"/>
          <w:shd w:val="clear" w:fill="FFFFFF"/>
        </w:rPr>
        <w:t>（牵头单位：</w:t>
      </w:r>
      <w:r>
        <w:rPr>
          <w:rFonts w:hint="default" w:ascii="楷体_GB2312" w:hAnsi="楷体_GB2312" w:eastAsia="楷体_GB2312" w:cs="楷体_GB2312"/>
          <w:i w:val="0"/>
          <w:iCs w:val="0"/>
          <w:caps w:val="0"/>
          <w:color w:val="auto"/>
          <w:spacing w:val="0"/>
          <w:sz w:val="32"/>
          <w:szCs w:val="32"/>
          <w:u w:val="none"/>
          <w:shd w:val="clear" w:fill="FFFFFF"/>
          <w:lang w:eastAsia="zh-CN"/>
        </w:rPr>
        <w:t>县</w:t>
      </w:r>
      <w:r>
        <w:rPr>
          <w:rFonts w:hint="default" w:ascii="楷体_GB2312" w:hAnsi="楷体_GB2312" w:eastAsia="楷体_GB2312" w:cs="楷体_GB2312"/>
          <w:i w:val="0"/>
          <w:iCs w:val="0"/>
          <w:caps w:val="0"/>
          <w:color w:val="auto"/>
          <w:spacing w:val="0"/>
          <w:sz w:val="32"/>
          <w:szCs w:val="32"/>
          <w:u w:val="none"/>
          <w:shd w:val="clear" w:fill="FFFFFF"/>
        </w:rPr>
        <w:t>人力资源社会保障局、</w:t>
      </w:r>
      <w:r>
        <w:rPr>
          <w:rFonts w:hint="default" w:ascii="楷体_GB2312" w:hAnsi="楷体_GB2312" w:eastAsia="楷体_GB2312" w:cs="楷体_GB2312"/>
          <w:i w:val="0"/>
          <w:iCs w:val="0"/>
          <w:caps w:val="0"/>
          <w:color w:val="auto"/>
          <w:spacing w:val="0"/>
          <w:sz w:val="32"/>
          <w:szCs w:val="32"/>
          <w:u w:val="none"/>
          <w:shd w:val="clear" w:fill="FFFFFF"/>
          <w:lang w:eastAsia="zh-CN"/>
        </w:rPr>
        <w:t>县</w:t>
      </w:r>
      <w:r>
        <w:rPr>
          <w:rFonts w:hint="default" w:ascii="楷体_GB2312" w:hAnsi="楷体_GB2312" w:eastAsia="楷体_GB2312" w:cs="楷体_GB2312"/>
          <w:i w:val="0"/>
          <w:iCs w:val="0"/>
          <w:caps w:val="0"/>
          <w:color w:val="auto"/>
          <w:spacing w:val="0"/>
          <w:sz w:val="32"/>
          <w:szCs w:val="32"/>
          <w:u w:val="none"/>
          <w:shd w:val="clear" w:fill="FFFFFF"/>
        </w:rPr>
        <w:t>法院，参加单位：</w:t>
      </w:r>
      <w:r>
        <w:rPr>
          <w:rFonts w:hint="default" w:ascii="楷体_GB2312" w:hAnsi="楷体_GB2312" w:eastAsia="楷体_GB2312" w:cs="楷体_GB2312"/>
          <w:i w:val="0"/>
          <w:iCs w:val="0"/>
          <w:caps w:val="0"/>
          <w:color w:val="auto"/>
          <w:spacing w:val="0"/>
          <w:sz w:val="32"/>
          <w:szCs w:val="32"/>
          <w:u w:val="none"/>
          <w:shd w:val="clear" w:fill="FFFFFF"/>
          <w:lang w:eastAsia="zh-CN"/>
        </w:rPr>
        <w:t>县</w:t>
      </w:r>
      <w:r>
        <w:rPr>
          <w:rFonts w:hint="default" w:ascii="楷体_GB2312" w:hAnsi="楷体_GB2312" w:eastAsia="楷体_GB2312" w:cs="楷体_GB2312"/>
          <w:i w:val="0"/>
          <w:iCs w:val="0"/>
          <w:caps w:val="0"/>
          <w:color w:val="auto"/>
          <w:spacing w:val="0"/>
          <w:sz w:val="32"/>
          <w:szCs w:val="32"/>
          <w:u w:val="none"/>
          <w:shd w:val="clear" w:fill="FFFFFF"/>
        </w:rPr>
        <w:t>直各行业主管部门）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left"/>
        <w:textAlignment w:val="auto"/>
        <w:rPr>
          <w:rFonts w:hint="default" w:ascii="楷体_GB2312" w:hAnsi="楷体_GB2312" w:eastAsia="楷体_GB2312" w:cs="楷体_GB2312"/>
          <w:i w:val="0"/>
          <w:iCs w:val="0"/>
          <w:caps w:val="0"/>
          <w:color w:val="auto"/>
          <w:spacing w:val="0"/>
          <w:sz w:val="32"/>
          <w:szCs w:val="32"/>
          <w:u w:val="none"/>
          <w:shd w:val="clear" w:fill="FFFFFF"/>
        </w:rPr>
      </w:pPr>
      <w:r>
        <w:rPr>
          <w:rFonts w:hint="eastAsia" w:ascii="楷体_GB2312" w:hAnsi="楷体_GB2312" w:eastAsia="楷体_GB2312" w:cs="楷体_GB2312"/>
          <w:i w:val="0"/>
          <w:iCs w:val="0"/>
          <w:caps w:val="0"/>
          <w:color w:val="auto"/>
          <w:spacing w:val="0"/>
          <w:sz w:val="32"/>
          <w:szCs w:val="32"/>
          <w:u w:val="none"/>
          <w:shd w:val="clear" w:fill="FFFFFF"/>
        </w:rPr>
        <w:t>（六）保障劳动者休息休假的权利。</w:t>
      </w:r>
      <w:r>
        <w:rPr>
          <w:rFonts w:hint="default" w:ascii="Times New Roman" w:hAnsi="Times New Roman" w:eastAsia="仿宋_GB2312" w:cs="Times New Roman"/>
          <w:i w:val="0"/>
          <w:iCs w:val="0"/>
          <w:caps w:val="0"/>
          <w:color w:val="auto"/>
          <w:spacing w:val="0"/>
          <w:sz w:val="32"/>
          <w:szCs w:val="32"/>
          <w:u w:val="none"/>
          <w:shd w:val="clear" w:fill="FFFFFF"/>
        </w:rPr>
        <w:t>推动相关行业明确劳动定员定额标准，科学确定劳动者工作量和劳动强度。企业应当落实国家关于职工工作时间、全国年节及纪念日假期、带薪年休假等规定。业务饱满时，在保障新就业形态劳动者人身健康权的前提下，可以适当延长工作时间，但不应超出法定加班时限;业务清淡时，可以采取集中放假、轮岗轮休、待岗培训等方式，尽量做到少裁员或者不裁员，促进就业稳定。</w:t>
      </w:r>
      <w:r>
        <w:rPr>
          <w:rFonts w:hint="default" w:ascii="楷体_GB2312" w:hAnsi="楷体_GB2312" w:eastAsia="楷体_GB2312" w:cs="楷体_GB2312"/>
          <w:i w:val="0"/>
          <w:iCs w:val="0"/>
          <w:caps w:val="0"/>
          <w:color w:val="auto"/>
          <w:spacing w:val="0"/>
          <w:sz w:val="32"/>
          <w:szCs w:val="32"/>
          <w:u w:val="none"/>
          <w:shd w:val="clear" w:fill="FFFFFF"/>
        </w:rPr>
        <w:t>（牵头单位：</w:t>
      </w:r>
      <w:r>
        <w:rPr>
          <w:rFonts w:hint="default" w:ascii="楷体_GB2312" w:hAnsi="楷体_GB2312" w:eastAsia="楷体_GB2312" w:cs="楷体_GB2312"/>
          <w:i w:val="0"/>
          <w:iCs w:val="0"/>
          <w:caps w:val="0"/>
          <w:color w:val="auto"/>
          <w:spacing w:val="0"/>
          <w:sz w:val="32"/>
          <w:szCs w:val="32"/>
          <w:u w:val="none"/>
          <w:shd w:val="clear" w:fill="FFFFFF"/>
          <w:lang w:eastAsia="zh-CN"/>
        </w:rPr>
        <w:t>县</w:t>
      </w:r>
      <w:r>
        <w:rPr>
          <w:rFonts w:hint="default" w:ascii="楷体_GB2312" w:hAnsi="楷体_GB2312" w:eastAsia="楷体_GB2312" w:cs="楷体_GB2312"/>
          <w:i w:val="0"/>
          <w:iCs w:val="0"/>
          <w:caps w:val="0"/>
          <w:color w:val="auto"/>
          <w:spacing w:val="0"/>
          <w:sz w:val="32"/>
          <w:szCs w:val="32"/>
          <w:u w:val="none"/>
          <w:shd w:val="clear" w:fill="FFFFFF"/>
        </w:rPr>
        <w:t>人力资源社会保障局，</w:t>
      </w:r>
      <w:r>
        <w:rPr>
          <w:rFonts w:hint="default" w:ascii="楷体_GB2312" w:hAnsi="楷体_GB2312" w:eastAsia="楷体_GB2312" w:cs="楷体_GB2312"/>
          <w:i w:val="0"/>
          <w:iCs w:val="0"/>
          <w:caps w:val="0"/>
          <w:color w:val="auto"/>
          <w:spacing w:val="0"/>
          <w:sz w:val="32"/>
          <w:szCs w:val="32"/>
          <w:u w:val="none"/>
          <w:shd w:val="clear" w:fill="FFFFFF"/>
          <w:lang w:eastAsia="zh-CN"/>
        </w:rPr>
        <w:t>县</w:t>
      </w:r>
      <w:r>
        <w:rPr>
          <w:rFonts w:hint="default" w:ascii="楷体_GB2312" w:hAnsi="楷体_GB2312" w:eastAsia="楷体_GB2312" w:cs="楷体_GB2312"/>
          <w:i w:val="0"/>
          <w:iCs w:val="0"/>
          <w:caps w:val="0"/>
          <w:color w:val="auto"/>
          <w:spacing w:val="0"/>
          <w:sz w:val="32"/>
          <w:szCs w:val="32"/>
          <w:u w:val="none"/>
          <w:shd w:val="clear" w:fill="FFFFFF"/>
        </w:rPr>
        <w:t>直各行业主管部门）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left"/>
        <w:textAlignment w:val="auto"/>
        <w:rPr>
          <w:rFonts w:hint="default" w:ascii="楷体_GB2312" w:hAnsi="楷体_GB2312" w:eastAsia="楷体_GB2312" w:cs="楷体_GB2312"/>
          <w:i w:val="0"/>
          <w:iCs w:val="0"/>
          <w:caps w:val="0"/>
          <w:color w:val="auto"/>
          <w:spacing w:val="0"/>
          <w:sz w:val="32"/>
          <w:szCs w:val="32"/>
          <w:u w:val="none"/>
          <w:shd w:val="clear" w:fill="FFFFFF"/>
        </w:rPr>
      </w:pPr>
      <w:r>
        <w:rPr>
          <w:rFonts w:hint="eastAsia" w:ascii="楷体_GB2312" w:hAnsi="楷体_GB2312" w:eastAsia="楷体_GB2312" w:cs="楷体_GB2312"/>
          <w:i w:val="0"/>
          <w:iCs w:val="0"/>
          <w:caps w:val="0"/>
          <w:color w:val="auto"/>
          <w:spacing w:val="0"/>
          <w:sz w:val="32"/>
          <w:szCs w:val="32"/>
          <w:u w:val="none"/>
          <w:shd w:val="clear" w:fill="FFFFFF"/>
        </w:rPr>
        <w:t>（七）保障劳动者获得劳动安全保护的权利。</w:t>
      </w:r>
      <w:r>
        <w:rPr>
          <w:rFonts w:hint="default" w:ascii="Times New Roman" w:hAnsi="Times New Roman" w:eastAsia="仿宋_GB2312" w:cs="Times New Roman"/>
          <w:i w:val="0"/>
          <w:iCs w:val="0"/>
          <w:caps w:val="0"/>
          <w:color w:val="auto"/>
          <w:spacing w:val="0"/>
          <w:sz w:val="32"/>
          <w:szCs w:val="32"/>
          <w:u w:val="none"/>
          <w:shd w:val="clear" w:fill="FFFFFF"/>
        </w:rPr>
        <w:t>健全并落实劳动安全卫生责任制，严格执行国家劳动安全卫生保护标准。企业要牢固树立安全“红线”意识，不得制定损害劳动者安全健康的考核指标。要严格遵守安全生产相关法律法规，不断改善职工安全卫生条件，严格落实从业人员安全生产保障权利，全面落实全员安全生产责任制，建立健全安全生产规章制度和操作规程。加强安全风险分级管控与隐患排查治理，按标准配备必要的劳动安全卫生设施和劳动防护用品，加强对劳动工具安全和合规状态的排查检查，及时消除安全隐患。加强安全生产、职业卫生、交通法律法规教育培训，强化员工“三级”安全培训，确保全员安全培训合格率100%，特种作业人员持证上岗率100%。重视劳动者身心健康，及时开展心理疏导。强化恶劣天气等特殊情形下的劳动保护，完善应急救援预案，强化应急救援处置，最大限度减少安全生产事故和职业病危害。严格事故调查处理，依法依规保护从业人员合法权益。鼓励</w:t>
      </w:r>
      <w:r>
        <w:rPr>
          <w:rFonts w:hint="default" w:ascii="Times New Roman" w:hAnsi="Times New Roman" w:eastAsia="仿宋_GB2312" w:cs="Times New Roman"/>
          <w:b w:val="0"/>
          <w:bCs w:val="0"/>
          <w:i w:val="0"/>
          <w:iCs w:val="0"/>
          <w:caps w:val="0"/>
          <w:color w:val="auto"/>
          <w:spacing w:val="0"/>
          <w:sz w:val="32"/>
          <w:szCs w:val="32"/>
          <w:shd w:val="clear" w:fill="FFFFFF"/>
          <w:lang w:eastAsia="zh-CN"/>
        </w:rPr>
        <w:t>新业态企业</w:t>
      </w:r>
      <w:r>
        <w:rPr>
          <w:rFonts w:hint="default" w:ascii="Times New Roman" w:hAnsi="Times New Roman" w:eastAsia="仿宋_GB2312" w:cs="Times New Roman"/>
          <w:i w:val="0"/>
          <w:iCs w:val="0"/>
          <w:caps w:val="0"/>
          <w:color w:val="auto"/>
          <w:spacing w:val="0"/>
          <w:sz w:val="32"/>
          <w:szCs w:val="32"/>
          <w:u w:val="none"/>
          <w:shd w:val="clear" w:fill="FFFFFF"/>
        </w:rPr>
        <w:t>通过购买人身意外、雇主责任等商业保险，提升</w:t>
      </w:r>
      <w:r>
        <w:rPr>
          <w:rFonts w:hint="default" w:ascii="Times New Roman" w:hAnsi="Times New Roman" w:eastAsia="仿宋_GB2312" w:cs="Times New Roman"/>
          <w:b w:val="0"/>
          <w:bCs w:val="0"/>
          <w:i w:val="0"/>
          <w:iCs w:val="0"/>
          <w:caps w:val="0"/>
          <w:color w:val="auto"/>
          <w:spacing w:val="0"/>
          <w:sz w:val="32"/>
          <w:szCs w:val="32"/>
          <w:shd w:val="clear" w:fill="FFFFFF"/>
          <w:lang w:eastAsia="zh-CN"/>
        </w:rPr>
        <w:t>新业态</w:t>
      </w:r>
      <w:r>
        <w:rPr>
          <w:rFonts w:hint="default" w:ascii="Times New Roman" w:hAnsi="Times New Roman" w:eastAsia="仿宋_GB2312" w:cs="Times New Roman"/>
          <w:i w:val="0"/>
          <w:iCs w:val="0"/>
          <w:caps w:val="0"/>
          <w:color w:val="auto"/>
          <w:spacing w:val="0"/>
          <w:sz w:val="32"/>
          <w:szCs w:val="32"/>
          <w:u w:val="none"/>
          <w:shd w:val="clear" w:fill="FFFFFF"/>
        </w:rPr>
        <w:t>灵活就业人员保障水平。</w:t>
      </w:r>
      <w:r>
        <w:rPr>
          <w:rFonts w:hint="default" w:ascii="楷体_GB2312" w:hAnsi="楷体_GB2312" w:eastAsia="楷体_GB2312" w:cs="楷体_GB2312"/>
          <w:i w:val="0"/>
          <w:iCs w:val="0"/>
          <w:caps w:val="0"/>
          <w:color w:val="auto"/>
          <w:spacing w:val="0"/>
          <w:sz w:val="32"/>
          <w:szCs w:val="32"/>
          <w:u w:val="none"/>
          <w:shd w:val="clear" w:fill="FFFFFF"/>
        </w:rPr>
        <w:t>（牵头单位：</w:t>
      </w:r>
      <w:r>
        <w:rPr>
          <w:rFonts w:hint="default" w:ascii="楷体_GB2312" w:hAnsi="楷体_GB2312" w:eastAsia="楷体_GB2312" w:cs="楷体_GB2312"/>
          <w:i w:val="0"/>
          <w:iCs w:val="0"/>
          <w:caps w:val="0"/>
          <w:color w:val="auto"/>
          <w:spacing w:val="0"/>
          <w:sz w:val="32"/>
          <w:szCs w:val="32"/>
          <w:u w:val="none"/>
          <w:shd w:val="clear" w:fill="FFFFFF"/>
          <w:lang w:eastAsia="zh-CN"/>
        </w:rPr>
        <w:t>县</w:t>
      </w:r>
      <w:r>
        <w:rPr>
          <w:rFonts w:hint="default" w:ascii="楷体_GB2312" w:hAnsi="楷体_GB2312" w:eastAsia="楷体_GB2312" w:cs="楷体_GB2312"/>
          <w:i w:val="0"/>
          <w:iCs w:val="0"/>
          <w:caps w:val="0"/>
          <w:color w:val="auto"/>
          <w:spacing w:val="0"/>
          <w:sz w:val="32"/>
          <w:szCs w:val="32"/>
          <w:u w:val="none"/>
          <w:shd w:val="clear" w:fill="FFFFFF"/>
        </w:rPr>
        <w:t>应急局、</w:t>
      </w:r>
      <w:r>
        <w:rPr>
          <w:rFonts w:hint="default" w:ascii="楷体_GB2312" w:hAnsi="楷体_GB2312" w:eastAsia="楷体_GB2312" w:cs="楷体_GB2312"/>
          <w:i w:val="0"/>
          <w:iCs w:val="0"/>
          <w:caps w:val="0"/>
          <w:color w:val="auto"/>
          <w:spacing w:val="0"/>
          <w:sz w:val="32"/>
          <w:szCs w:val="32"/>
          <w:u w:val="none"/>
          <w:shd w:val="clear" w:fill="FFFFFF"/>
          <w:lang w:eastAsia="zh-CN"/>
        </w:rPr>
        <w:t>县</w:t>
      </w:r>
      <w:r>
        <w:rPr>
          <w:rFonts w:hint="default" w:ascii="楷体_GB2312" w:hAnsi="楷体_GB2312" w:eastAsia="楷体_GB2312" w:cs="楷体_GB2312"/>
          <w:i w:val="0"/>
          <w:iCs w:val="0"/>
          <w:caps w:val="0"/>
          <w:color w:val="auto"/>
          <w:spacing w:val="0"/>
          <w:sz w:val="32"/>
          <w:szCs w:val="32"/>
          <w:u w:val="none"/>
          <w:shd w:val="clear" w:fill="FFFFFF"/>
        </w:rPr>
        <w:t>卫生健康</w:t>
      </w:r>
      <w:r>
        <w:rPr>
          <w:rFonts w:hint="default" w:ascii="楷体_GB2312" w:hAnsi="楷体_GB2312" w:eastAsia="楷体_GB2312" w:cs="楷体_GB2312"/>
          <w:i w:val="0"/>
          <w:iCs w:val="0"/>
          <w:caps w:val="0"/>
          <w:color w:val="auto"/>
          <w:spacing w:val="0"/>
          <w:sz w:val="32"/>
          <w:szCs w:val="32"/>
          <w:u w:val="none"/>
          <w:shd w:val="clear" w:fill="FFFFFF"/>
          <w:lang w:eastAsia="zh-CN"/>
        </w:rPr>
        <w:t>局</w:t>
      </w:r>
      <w:r>
        <w:rPr>
          <w:rFonts w:hint="default" w:ascii="楷体_GB2312" w:hAnsi="楷体_GB2312" w:eastAsia="楷体_GB2312" w:cs="楷体_GB2312"/>
          <w:i w:val="0"/>
          <w:iCs w:val="0"/>
          <w:caps w:val="0"/>
          <w:color w:val="auto"/>
          <w:spacing w:val="0"/>
          <w:sz w:val="32"/>
          <w:szCs w:val="32"/>
          <w:u w:val="none"/>
          <w:shd w:val="clear" w:fill="FFFFFF"/>
        </w:rPr>
        <w:t>、</w:t>
      </w:r>
      <w:r>
        <w:rPr>
          <w:rFonts w:hint="default" w:ascii="楷体_GB2312" w:hAnsi="楷体_GB2312" w:eastAsia="楷体_GB2312" w:cs="楷体_GB2312"/>
          <w:i w:val="0"/>
          <w:iCs w:val="0"/>
          <w:caps w:val="0"/>
          <w:color w:val="auto"/>
          <w:spacing w:val="0"/>
          <w:sz w:val="32"/>
          <w:szCs w:val="32"/>
          <w:u w:val="none"/>
          <w:shd w:val="clear" w:fill="FFFFFF"/>
          <w:lang w:eastAsia="zh-CN"/>
        </w:rPr>
        <w:t>县</w:t>
      </w:r>
      <w:r>
        <w:rPr>
          <w:rFonts w:hint="default" w:ascii="楷体_GB2312" w:hAnsi="楷体_GB2312" w:eastAsia="楷体_GB2312" w:cs="楷体_GB2312"/>
          <w:i w:val="0"/>
          <w:iCs w:val="0"/>
          <w:caps w:val="0"/>
          <w:color w:val="auto"/>
          <w:spacing w:val="0"/>
          <w:sz w:val="32"/>
          <w:szCs w:val="32"/>
          <w:u w:val="none"/>
          <w:shd w:val="clear" w:fill="FFFFFF"/>
        </w:rPr>
        <w:t>公安局，参加单位：</w:t>
      </w:r>
      <w:r>
        <w:rPr>
          <w:rFonts w:hint="default" w:ascii="楷体_GB2312" w:hAnsi="楷体_GB2312" w:eastAsia="楷体_GB2312" w:cs="楷体_GB2312"/>
          <w:i w:val="0"/>
          <w:iCs w:val="0"/>
          <w:caps w:val="0"/>
          <w:color w:val="auto"/>
          <w:spacing w:val="0"/>
          <w:sz w:val="32"/>
          <w:szCs w:val="32"/>
          <w:u w:val="none"/>
          <w:shd w:val="clear" w:fill="FFFFFF"/>
          <w:lang w:eastAsia="zh-CN"/>
        </w:rPr>
        <w:t>县</w:t>
      </w:r>
      <w:r>
        <w:rPr>
          <w:rFonts w:hint="default" w:ascii="楷体_GB2312" w:hAnsi="楷体_GB2312" w:eastAsia="楷体_GB2312" w:cs="楷体_GB2312"/>
          <w:i w:val="0"/>
          <w:iCs w:val="0"/>
          <w:caps w:val="0"/>
          <w:color w:val="auto"/>
          <w:spacing w:val="0"/>
          <w:sz w:val="32"/>
          <w:szCs w:val="32"/>
          <w:u w:val="none"/>
          <w:shd w:val="clear" w:fill="FFFFFF"/>
        </w:rPr>
        <w:t>直各行业主管部门）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left"/>
        <w:textAlignment w:val="auto"/>
        <w:rPr>
          <w:rFonts w:hint="default" w:ascii="楷体_GB2312" w:hAnsi="楷体_GB2312" w:eastAsia="楷体_GB2312" w:cs="楷体_GB2312"/>
          <w:i w:val="0"/>
          <w:iCs w:val="0"/>
          <w:caps w:val="0"/>
          <w:color w:val="auto"/>
          <w:spacing w:val="0"/>
          <w:sz w:val="32"/>
          <w:szCs w:val="32"/>
          <w:u w:val="none"/>
          <w:shd w:val="clear" w:fill="FFFFFF"/>
        </w:rPr>
      </w:pPr>
      <w:r>
        <w:rPr>
          <w:rFonts w:hint="eastAsia" w:ascii="楷体_GB2312" w:hAnsi="楷体_GB2312" w:eastAsia="楷体_GB2312" w:cs="楷体_GB2312"/>
          <w:i w:val="0"/>
          <w:iCs w:val="0"/>
          <w:caps w:val="0"/>
          <w:color w:val="auto"/>
          <w:spacing w:val="0"/>
          <w:sz w:val="32"/>
          <w:szCs w:val="32"/>
          <w:u w:val="none"/>
          <w:shd w:val="clear" w:fill="FFFFFF"/>
        </w:rPr>
        <w:t>（八）保障劳动者参加社会保险的权利。</w:t>
      </w:r>
      <w:r>
        <w:rPr>
          <w:rFonts w:hint="default" w:ascii="Times New Roman" w:hAnsi="Times New Roman" w:eastAsia="仿宋_GB2312" w:cs="Times New Roman"/>
          <w:i w:val="0"/>
          <w:iCs w:val="0"/>
          <w:caps w:val="0"/>
          <w:color w:val="auto"/>
          <w:spacing w:val="0"/>
          <w:sz w:val="32"/>
          <w:szCs w:val="32"/>
          <w:u w:val="none"/>
          <w:shd w:val="clear" w:fill="FFFFFF"/>
        </w:rPr>
        <w:t>按照《社会保险法》规定，用人单位应当自用工之日起30日内为其职工向社会保险经办机构申请办理社会保险登记，按时足额缴纳社会保险费，按月将缴纳社会保险费的明细情况告知本人。无雇工的个体工商户、未在用人单位参加社会保险的非全日制从业人员以及其他灵活就业人员及时向社会保险经办机构申请办理社会保险登记，</w:t>
      </w:r>
      <w:r>
        <w:rPr>
          <w:rFonts w:hint="default" w:ascii="Times New Roman" w:hAnsi="Times New Roman" w:eastAsia="仿宋_GB2312" w:cs="Times New Roman"/>
          <w:i w:val="0"/>
          <w:iCs w:val="0"/>
          <w:caps w:val="0"/>
          <w:color w:val="auto"/>
          <w:spacing w:val="0"/>
          <w:sz w:val="32"/>
          <w:szCs w:val="32"/>
          <w:u w:val="none"/>
          <w:shd w:val="clear" w:fill="FFFFFF"/>
          <w:lang w:eastAsia="zh-CN"/>
        </w:rPr>
        <w:t>可按月、季、半年、年缴费，</w:t>
      </w:r>
      <w:r>
        <w:rPr>
          <w:rFonts w:hint="default" w:ascii="Times New Roman" w:hAnsi="Times New Roman" w:eastAsia="仿宋_GB2312" w:cs="Times New Roman"/>
          <w:i w:val="0"/>
          <w:iCs w:val="0"/>
          <w:caps w:val="0"/>
          <w:color w:val="auto"/>
          <w:spacing w:val="0"/>
          <w:sz w:val="32"/>
          <w:szCs w:val="32"/>
          <w:u w:val="none"/>
          <w:shd w:val="clear" w:fill="FFFFFF"/>
        </w:rPr>
        <w:t>缴费基数在当地个人缴费基数上下限范围内自主确定，按时足额缴纳社会保险费，做到应保尽保。鼓励有条件的灵活就业人员以个人身份在就业地或户籍地参加企业职工基本养老保险，主动参保、长期缴费;严禁以户籍地作为灵活就业人员参保限制。灵活就业人员可自主选择参加我</w:t>
      </w:r>
      <w:r>
        <w:rPr>
          <w:rFonts w:hint="default" w:ascii="Times New Roman" w:hAnsi="Times New Roman" w:eastAsia="仿宋_GB2312" w:cs="Times New Roman"/>
          <w:i w:val="0"/>
          <w:iCs w:val="0"/>
          <w:caps w:val="0"/>
          <w:color w:val="auto"/>
          <w:spacing w:val="0"/>
          <w:sz w:val="32"/>
          <w:szCs w:val="32"/>
          <w:u w:val="none"/>
          <w:shd w:val="clear" w:fill="FFFFFF"/>
          <w:lang w:eastAsia="zh-CN"/>
        </w:rPr>
        <w:t>县</w:t>
      </w:r>
      <w:r>
        <w:rPr>
          <w:rFonts w:hint="default" w:ascii="Times New Roman" w:hAnsi="Times New Roman" w:eastAsia="仿宋_GB2312" w:cs="Times New Roman"/>
          <w:i w:val="0"/>
          <w:iCs w:val="0"/>
          <w:caps w:val="0"/>
          <w:color w:val="auto"/>
          <w:spacing w:val="0"/>
          <w:sz w:val="32"/>
          <w:szCs w:val="32"/>
          <w:u w:val="none"/>
          <w:shd w:val="clear" w:fill="FFFFFF"/>
        </w:rPr>
        <w:t>职工基本医疗保险或城乡居民基本医疗保险。外</w:t>
      </w:r>
      <w:r>
        <w:rPr>
          <w:rFonts w:hint="default" w:ascii="Times New Roman" w:hAnsi="Times New Roman" w:eastAsia="仿宋_GB2312" w:cs="Times New Roman"/>
          <w:i w:val="0"/>
          <w:iCs w:val="0"/>
          <w:caps w:val="0"/>
          <w:color w:val="auto"/>
          <w:spacing w:val="0"/>
          <w:sz w:val="32"/>
          <w:szCs w:val="32"/>
          <w:u w:val="none"/>
          <w:shd w:val="clear" w:fill="FFFFFF"/>
          <w:lang w:eastAsia="zh-CN"/>
        </w:rPr>
        <w:t>市</w:t>
      </w:r>
      <w:r>
        <w:rPr>
          <w:rFonts w:hint="default" w:ascii="Times New Roman" w:hAnsi="Times New Roman" w:eastAsia="仿宋_GB2312" w:cs="Times New Roman"/>
          <w:i w:val="0"/>
          <w:iCs w:val="0"/>
          <w:caps w:val="0"/>
          <w:color w:val="auto"/>
          <w:spacing w:val="0"/>
          <w:sz w:val="32"/>
          <w:szCs w:val="32"/>
          <w:u w:val="none"/>
          <w:shd w:val="clear" w:fill="FFFFFF"/>
        </w:rPr>
        <w:t>户籍的新业态和灵活就业人员可凭本</w:t>
      </w:r>
      <w:r>
        <w:rPr>
          <w:rFonts w:hint="default" w:ascii="Times New Roman" w:hAnsi="Times New Roman" w:eastAsia="仿宋_GB2312" w:cs="Times New Roman"/>
          <w:i w:val="0"/>
          <w:iCs w:val="0"/>
          <w:caps w:val="0"/>
          <w:color w:val="auto"/>
          <w:spacing w:val="0"/>
          <w:sz w:val="32"/>
          <w:szCs w:val="32"/>
          <w:u w:val="none"/>
          <w:shd w:val="clear" w:fill="FFFFFF"/>
          <w:lang w:eastAsia="zh-CN"/>
        </w:rPr>
        <w:t>市</w:t>
      </w:r>
      <w:r>
        <w:rPr>
          <w:rFonts w:hint="default" w:ascii="Times New Roman" w:hAnsi="Times New Roman" w:eastAsia="仿宋_GB2312" w:cs="Times New Roman"/>
          <w:i w:val="0"/>
          <w:iCs w:val="0"/>
          <w:caps w:val="0"/>
          <w:color w:val="auto"/>
          <w:spacing w:val="0"/>
          <w:sz w:val="32"/>
          <w:szCs w:val="32"/>
          <w:u w:val="none"/>
          <w:shd w:val="clear" w:fill="FFFFFF"/>
        </w:rPr>
        <w:t>居住证参加我</w:t>
      </w:r>
      <w:r>
        <w:rPr>
          <w:rFonts w:hint="default" w:ascii="Times New Roman" w:hAnsi="Times New Roman" w:eastAsia="仿宋_GB2312" w:cs="Times New Roman"/>
          <w:i w:val="0"/>
          <w:iCs w:val="0"/>
          <w:caps w:val="0"/>
          <w:color w:val="auto"/>
          <w:spacing w:val="0"/>
          <w:sz w:val="32"/>
          <w:szCs w:val="32"/>
          <w:u w:val="none"/>
          <w:shd w:val="clear" w:fill="FFFFFF"/>
          <w:lang w:eastAsia="zh-CN"/>
        </w:rPr>
        <w:t>县</w:t>
      </w:r>
      <w:r>
        <w:rPr>
          <w:rFonts w:hint="default" w:ascii="Times New Roman" w:hAnsi="Times New Roman" w:eastAsia="仿宋_GB2312" w:cs="Times New Roman"/>
          <w:i w:val="0"/>
          <w:iCs w:val="0"/>
          <w:caps w:val="0"/>
          <w:color w:val="auto"/>
          <w:spacing w:val="0"/>
          <w:sz w:val="32"/>
          <w:szCs w:val="32"/>
          <w:u w:val="none"/>
          <w:shd w:val="clear" w:fill="FFFFFF"/>
        </w:rPr>
        <w:t>城乡居民基本医疗保险，享受本</w:t>
      </w:r>
      <w:r>
        <w:rPr>
          <w:rFonts w:hint="default" w:ascii="Times New Roman" w:hAnsi="Times New Roman" w:eastAsia="仿宋_GB2312" w:cs="Times New Roman"/>
          <w:i w:val="0"/>
          <w:iCs w:val="0"/>
          <w:caps w:val="0"/>
          <w:color w:val="auto"/>
          <w:spacing w:val="0"/>
          <w:sz w:val="32"/>
          <w:szCs w:val="32"/>
          <w:u w:val="none"/>
          <w:shd w:val="clear" w:fill="FFFFFF"/>
          <w:lang w:eastAsia="zh-CN"/>
        </w:rPr>
        <w:t>市</w:t>
      </w:r>
      <w:r>
        <w:rPr>
          <w:rFonts w:hint="default" w:ascii="Times New Roman" w:hAnsi="Times New Roman" w:eastAsia="仿宋_GB2312" w:cs="Times New Roman"/>
          <w:i w:val="0"/>
          <w:iCs w:val="0"/>
          <w:caps w:val="0"/>
          <w:color w:val="auto"/>
          <w:spacing w:val="0"/>
          <w:sz w:val="32"/>
          <w:szCs w:val="32"/>
          <w:u w:val="none"/>
          <w:shd w:val="clear" w:fill="FFFFFF"/>
        </w:rPr>
        <w:t>居民同等政策待遇，不受户籍限制。参加城乡居民基本医疗保险缴费年限可按我</w:t>
      </w:r>
      <w:r>
        <w:rPr>
          <w:rFonts w:hint="default" w:ascii="Times New Roman" w:hAnsi="Times New Roman" w:eastAsia="仿宋_GB2312" w:cs="Times New Roman"/>
          <w:i w:val="0"/>
          <w:iCs w:val="0"/>
          <w:caps w:val="0"/>
          <w:color w:val="auto"/>
          <w:spacing w:val="0"/>
          <w:sz w:val="32"/>
          <w:szCs w:val="32"/>
          <w:u w:val="none"/>
          <w:shd w:val="clear" w:fill="FFFFFF"/>
          <w:lang w:eastAsia="zh-CN"/>
        </w:rPr>
        <w:t>市</w:t>
      </w:r>
      <w:r>
        <w:rPr>
          <w:rFonts w:hint="default" w:ascii="Times New Roman" w:hAnsi="Times New Roman" w:eastAsia="仿宋_GB2312" w:cs="Times New Roman"/>
          <w:i w:val="0"/>
          <w:iCs w:val="0"/>
          <w:caps w:val="0"/>
          <w:color w:val="auto"/>
          <w:spacing w:val="0"/>
          <w:sz w:val="32"/>
          <w:szCs w:val="32"/>
          <w:u w:val="none"/>
          <w:shd w:val="clear" w:fill="FFFFFF"/>
        </w:rPr>
        <w:t>相关规定折算为职工基本医疗保险缴费年限，进一步保障新业态和灵活就业人员的合法权益。扎实开展新就业形态劳动者</w:t>
      </w:r>
      <w:r>
        <w:rPr>
          <w:rFonts w:hint="default" w:ascii="Times New Roman" w:hAnsi="Times New Roman" w:eastAsia="仿宋_GB2312" w:cs="Times New Roman"/>
          <w:i w:val="0"/>
          <w:iCs w:val="0"/>
          <w:caps w:val="0"/>
          <w:color w:val="auto"/>
          <w:spacing w:val="0"/>
          <w:sz w:val="32"/>
          <w:szCs w:val="32"/>
          <w:u w:val="none"/>
          <w:shd w:val="clear" w:fill="FFFFFF"/>
          <w:lang w:val="en-US" w:eastAsia="zh-CN"/>
        </w:rPr>
        <w:t>参</w:t>
      </w:r>
      <w:r>
        <w:rPr>
          <w:rFonts w:hint="default" w:ascii="Times New Roman" w:hAnsi="Times New Roman" w:eastAsia="仿宋_GB2312" w:cs="Times New Roman"/>
          <w:i w:val="0"/>
          <w:iCs w:val="0"/>
          <w:caps w:val="0"/>
          <w:color w:val="auto"/>
          <w:spacing w:val="0"/>
          <w:sz w:val="32"/>
          <w:szCs w:val="32"/>
          <w:u w:val="none"/>
          <w:shd w:val="clear" w:fill="FFFFFF"/>
        </w:rPr>
        <w:t>加社会保险的调研工作，严格按照上级要求，以出行、外卖、即时配送、同城货运等行业的</w:t>
      </w:r>
      <w:r>
        <w:rPr>
          <w:rFonts w:hint="default" w:ascii="Times New Roman" w:hAnsi="Times New Roman" w:eastAsia="仿宋_GB2312" w:cs="Times New Roman"/>
          <w:b w:val="0"/>
          <w:bCs w:val="0"/>
          <w:i w:val="0"/>
          <w:iCs w:val="0"/>
          <w:caps w:val="0"/>
          <w:color w:val="auto"/>
          <w:spacing w:val="0"/>
          <w:sz w:val="32"/>
          <w:szCs w:val="32"/>
          <w:shd w:val="clear" w:fill="FFFFFF"/>
          <w:lang w:eastAsia="zh-CN"/>
        </w:rPr>
        <w:t>新业态企业</w:t>
      </w:r>
      <w:r>
        <w:rPr>
          <w:rFonts w:hint="default" w:ascii="Times New Roman" w:hAnsi="Times New Roman" w:eastAsia="仿宋_GB2312" w:cs="Times New Roman"/>
          <w:i w:val="0"/>
          <w:iCs w:val="0"/>
          <w:caps w:val="0"/>
          <w:color w:val="auto"/>
          <w:spacing w:val="0"/>
          <w:sz w:val="32"/>
          <w:szCs w:val="32"/>
          <w:u w:val="none"/>
          <w:shd w:val="clear" w:fill="FFFFFF"/>
        </w:rPr>
        <w:t>为重点，推进</w:t>
      </w:r>
      <w:r>
        <w:rPr>
          <w:rFonts w:hint="default" w:ascii="Times New Roman" w:hAnsi="Times New Roman" w:eastAsia="仿宋_GB2312" w:cs="Times New Roman"/>
          <w:b w:val="0"/>
          <w:bCs w:val="0"/>
          <w:i w:val="0"/>
          <w:iCs w:val="0"/>
          <w:caps w:val="0"/>
          <w:color w:val="auto"/>
          <w:spacing w:val="0"/>
          <w:sz w:val="32"/>
          <w:szCs w:val="32"/>
          <w:shd w:val="clear" w:fill="FFFFFF"/>
          <w:lang w:eastAsia="zh-CN"/>
        </w:rPr>
        <w:t>新业态</w:t>
      </w:r>
      <w:r>
        <w:rPr>
          <w:rFonts w:hint="default" w:ascii="Times New Roman" w:hAnsi="Times New Roman" w:eastAsia="仿宋_GB2312" w:cs="Times New Roman"/>
          <w:i w:val="0"/>
          <w:iCs w:val="0"/>
          <w:caps w:val="0"/>
          <w:color w:val="auto"/>
          <w:spacing w:val="0"/>
          <w:sz w:val="32"/>
          <w:szCs w:val="32"/>
          <w:u w:val="none"/>
          <w:shd w:val="clear" w:fill="FFFFFF"/>
        </w:rPr>
        <w:t>灵活就业人员职业伤害保障工作。</w:t>
      </w:r>
      <w:r>
        <w:rPr>
          <w:rFonts w:hint="default" w:ascii="楷体_GB2312" w:hAnsi="楷体_GB2312" w:eastAsia="楷体_GB2312" w:cs="楷体_GB2312"/>
          <w:i w:val="0"/>
          <w:iCs w:val="0"/>
          <w:caps w:val="0"/>
          <w:color w:val="auto"/>
          <w:spacing w:val="0"/>
          <w:sz w:val="32"/>
          <w:szCs w:val="32"/>
          <w:u w:val="none"/>
          <w:shd w:val="clear" w:fill="FFFFFF"/>
        </w:rPr>
        <w:t>（牵头单位：</w:t>
      </w:r>
      <w:r>
        <w:rPr>
          <w:rFonts w:hint="default" w:ascii="楷体_GB2312" w:hAnsi="楷体_GB2312" w:eastAsia="楷体_GB2312" w:cs="楷体_GB2312"/>
          <w:i w:val="0"/>
          <w:iCs w:val="0"/>
          <w:caps w:val="0"/>
          <w:color w:val="auto"/>
          <w:spacing w:val="0"/>
          <w:sz w:val="32"/>
          <w:szCs w:val="32"/>
          <w:u w:val="none"/>
          <w:shd w:val="clear" w:fill="FFFFFF"/>
          <w:lang w:eastAsia="zh-CN"/>
        </w:rPr>
        <w:t>县</w:t>
      </w:r>
      <w:r>
        <w:rPr>
          <w:rFonts w:hint="default" w:ascii="楷体_GB2312" w:hAnsi="楷体_GB2312" w:eastAsia="楷体_GB2312" w:cs="楷体_GB2312"/>
          <w:i w:val="0"/>
          <w:iCs w:val="0"/>
          <w:caps w:val="0"/>
          <w:color w:val="auto"/>
          <w:spacing w:val="0"/>
          <w:sz w:val="32"/>
          <w:szCs w:val="32"/>
          <w:u w:val="none"/>
          <w:shd w:val="clear" w:fill="FFFFFF"/>
        </w:rPr>
        <w:t>人力资源社会保障局、</w:t>
      </w:r>
      <w:r>
        <w:rPr>
          <w:rFonts w:hint="default" w:ascii="楷体_GB2312" w:hAnsi="楷体_GB2312" w:eastAsia="楷体_GB2312" w:cs="楷体_GB2312"/>
          <w:i w:val="0"/>
          <w:iCs w:val="0"/>
          <w:caps w:val="0"/>
          <w:color w:val="auto"/>
          <w:spacing w:val="0"/>
          <w:sz w:val="32"/>
          <w:szCs w:val="32"/>
          <w:u w:val="none"/>
          <w:shd w:val="clear" w:fill="FFFFFF"/>
          <w:lang w:eastAsia="zh-CN"/>
        </w:rPr>
        <w:t>市</w:t>
      </w:r>
      <w:r>
        <w:rPr>
          <w:rFonts w:hint="default" w:ascii="楷体_GB2312" w:hAnsi="楷体_GB2312" w:eastAsia="楷体_GB2312" w:cs="楷体_GB2312"/>
          <w:i w:val="0"/>
          <w:iCs w:val="0"/>
          <w:caps w:val="0"/>
          <w:color w:val="auto"/>
          <w:spacing w:val="0"/>
          <w:sz w:val="32"/>
          <w:szCs w:val="32"/>
          <w:u w:val="none"/>
          <w:shd w:val="clear" w:fill="FFFFFF"/>
        </w:rPr>
        <w:t>医保局</w:t>
      </w:r>
      <w:r>
        <w:rPr>
          <w:rFonts w:hint="default" w:ascii="楷体_GB2312" w:hAnsi="楷体_GB2312" w:eastAsia="楷体_GB2312" w:cs="楷体_GB2312"/>
          <w:i w:val="0"/>
          <w:iCs w:val="0"/>
          <w:caps w:val="0"/>
          <w:color w:val="auto"/>
          <w:spacing w:val="0"/>
          <w:sz w:val="32"/>
          <w:szCs w:val="32"/>
          <w:u w:val="none"/>
          <w:shd w:val="clear" w:fill="FFFFFF"/>
          <w:lang w:eastAsia="zh-CN"/>
        </w:rPr>
        <w:t>高青分局</w:t>
      </w:r>
      <w:r>
        <w:rPr>
          <w:rFonts w:hint="default" w:ascii="楷体_GB2312" w:hAnsi="楷体_GB2312" w:eastAsia="楷体_GB2312" w:cs="楷体_GB2312"/>
          <w:i w:val="0"/>
          <w:iCs w:val="0"/>
          <w:caps w:val="0"/>
          <w:color w:val="auto"/>
          <w:spacing w:val="0"/>
          <w:sz w:val="32"/>
          <w:szCs w:val="32"/>
          <w:u w:val="none"/>
          <w:shd w:val="clear" w:fill="FFFFFF"/>
        </w:rPr>
        <w:t>，参加单位：</w:t>
      </w:r>
      <w:r>
        <w:rPr>
          <w:rFonts w:hint="default" w:ascii="楷体_GB2312" w:hAnsi="楷体_GB2312" w:eastAsia="楷体_GB2312" w:cs="楷体_GB2312"/>
          <w:i w:val="0"/>
          <w:iCs w:val="0"/>
          <w:caps w:val="0"/>
          <w:color w:val="auto"/>
          <w:spacing w:val="0"/>
          <w:sz w:val="32"/>
          <w:szCs w:val="32"/>
          <w:u w:val="none"/>
          <w:shd w:val="clear" w:fill="FFFFFF"/>
          <w:lang w:eastAsia="zh-CN"/>
        </w:rPr>
        <w:t>县</w:t>
      </w:r>
      <w:r>
        <w:rPr>
          <w:rFonts w:hint="default" w:ascii="楷体_GB2312" w:hAnsi="楷体_GB2312" w:eastAsia="楷体_GB2312" w:cs="楷体_GB2312"/>
          <w:i w:val="0"/>
          <w:iCs w:val="0"/>
          <w:caps w:val="0"/>
          <w:color w:val="auto"/>
          <w:spacing w:val="0"/>
          <w:sz w:val="32"/>
          <w:szCs w:val="32"/>
          <w:u w:val="none"/>
          <w:shd w:val="clear" w:fill="FFFFFF"/>
        </w:rPr>
        <w:t>直各行业主管部门）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left"/>
        <w:textAlignment w:val="auto"/>
        <w:rPr>
          <w:rFonts w:hint="default" w:ascii="楷体_GB2312" w:hAnsi="楷体_GB2312" w:eastAsia="楷体_GB2312" w:cs="楷体_GB2312"/>
          <w:i w:val="0"/>
          <w:iCs w:val="0"/>
          <w:caps w:val="0"/>
          <w:color w:val="auto"/>
          <w:spacing w:val="0"/>
          <w:sz w:val="32"/>
          <w:szCs w:val="32"/>
          <w:u w:val="none"/>
          <w:shd w:val="clear" w:fill="FFFFFF"/>
        </w:rPr>
      </w:pPr>
      <w:r>
        <w:rPr>
          <w:rFonts w:hint="eastAsia" w:ascii="楷体_GB2312" w:hAnsi="楷体_GB2312" w:eastAsia="楷体_GB2312" w:cs="楷体_GB2312"/>
          <w:i w:val="0"/>
          <w:iCs w:val="0"/>
          <w:caps w:val="0"/>
          <w:color w:val="auto"/>
          <w:spacing w:val="0"/>
          <w:sz w:val="32"/>
          <w:szCs w:val="32"/>
          <w:u w:val="none"/>
          <w:shd w:val="clear" w:fill="FFFFFF"/>
        </w:rPr>
        <w:t>（九）保障劳动者民主协商的权利。</w:t>
      </w:r>
      <w:r>
        <w:rPr>
          <w:rFonts w:hint="default" w:ascii="Times New Roman" w:hAnsi="Times New Roman" w:eastAsia="仿宋_GB2312" w:cs="Times New Roman"/>
          <w:i w:val="0"/>
          <w:iCs w:val="0"/>
          <w:caps w:val="0"/>
          <w:color w:val="auto"/>
          <w:spacing w:val="0"/>
          <w:sz w:val="32"/>
          <w:szCs w:val="32"/>
          <w:u w:val="none"/>
          <w:shd w:val="clear" w:fill="FFFFFF"/>
        </w:rPr>
        <w:t>督促企业制定修订</w:t>
      </w:r>
      <w:r>
        <w:rPr>
          <w:rFonts w:hint="default" w:ascii="Times New Roman" w:hAnsi="Times New Roman" w:eastAsia="仿宋_GB2312" w:cs="Times New Roman"/>
          <w:b w:val="0"/>
          <w:bCs w:val="0"/>
          <w:i w:val="0"/>
          <w:iCs w:val="0"/>
          <w:caps w:val="0"/>
          <w:color w:val="auto"/>
          <w:spacing w:val="0"/>
          <w:sz w:val="32"/>
          <w:szCs w:val="32"/>
          <w:shd w:val="clear" w:fill="FFFFFF"/>
          <w:lang w:eastAsia="zh-CN"/>
        </w:rPr>
        <w:t>新业态企业</w:t>
      </w:r>
      <w:r>
        <w:rPr>
          <w:rFonts w:hint="default" w:ascii="Times New Roman" w:hAnsi="Times New Roman" w:eastAsia="仿宋_GB2312" w:cs="Times New Roman"/>
          <w:i w:val="0"/>
          <w:iCs w:val="0"/>
          <w:caps w:val="0"/>
          <w:color w:val="auto"/>
          <w:spacing w:val="0"/>
          <w:sz w:val="32"/>
          <w:szCs w:val="32"/>
          <w:u w:val="none"/>
          <w:shd w:val="clear" w:fill="FFFFFF"/>
        </w:rPr>
        <w:t>进入退出、订单分配、计件单价、抽成比例、报酬构成及支付、工作时间、奖惩等直接涉及劳动者权益的制度规则和</w:t>
      </w:r>
      <w:r>
        <w:rPr>
          <w:rFonts w:hint="default" w:ascii="Times New Roman" w:hAnsi="Times New Roman" w:eastAsia="仿宋_GB2312" w:cs="Times New Roman"/>
          <w:i w:val="0"/>
          <w:iCs w:val="0"/>
          <w:caps w:val="0"/>
          <w:color w:val="auto"/>
          <w:spacing w:val="0"/>
          <w:sz w:val="32"/>
          <w:szCs w:val="32"/>
          <w:u w:val="none"/>
          <w:shd w:val="clear" w:fill="FFFFFF"/>
          <w:lang w:eastAsia="zh-CN"/>
        </w:rPr>
        <w:t>平台</w:t>
      </w:r>
      <w:r>
        <w:rPr>
          <w:rFonts w:hint="default" w:ascii="Times New Roman" w:hAnsi="Times New Roman" w:eastAsia="仿宋_GB2312" w:cs="Times New Roman"/>
          <w:i w:val="0"/>
          <w:iCs w:val="0"/>
          <w:caps w:val="0"/>
          <w:color w:val="auto"/>
          <w:spacing w:val="0"/>
          <w:sz w:val="32"/>
          <w:szCs w:val="32"/>
          <w:u w:val="none"/>
          <w:shd w:val="clear" w:fill="FFFFFF"/>
        </w:rPr>
        <w:t>算法，充分听取工会或劳动者代表的意见建议，将结果公示并告知劳动者。贯彻落实《山东省企业工资集体协商条例》，深化集体协商工作。推进新业态劳动者群体性、行业性集体协商工作，着重就行业计件工资单价、劳动定额标准、最低工资、劳动保护、休息休假等内容开展集体协商，签订行业集体合同。指导企业建立健全劳动者申诉机制， 保障劳动者的申诉得到及时回应和客观公正处理。</w:t>
      </w:r>
      <w:r>
        <w:rPr>
          <w:rFonts w:hint="default" w:ascii="楷体_GB2312" w:hAnsi="楷体_GB2312" w:eastAsia="楷体_GB2312" w:cs="楷体_GB2312"/>
          <w:i w:val="0"/>
          <w:iCs w:val="0"/>
          <w:caps w:val="0"/>
          <w:color w:val="auto"/>
          <w:spacing w:val="0"/>
          <w:sz w:val="32"/>
          <w:szCs w:val="32"/>
          <w:u w:val="none"/>
          <w:shd w:val="clear" w:fill="FFFFFF"/>
        </w:rPr>
        <w:t>（牵头单位：</w:t>
      </w:r>
      <w:r>
        <w:rPr>
          <w:rFonts w:hint="default" w:ascii="楷体_GB2312" w:hAnsi="楷体_GB2312" w:eastAsia="楷体_GB2312" w:cs="楷体_GB2312"/>
          <w:i w:val="0"/>
          <w:iCs w:val="0"/>
          <w:caps w:val="0"/>
          <w:color w:val="auto"/>
          <w:spacing w:val="0"/>
          <w:sz w:val="32"/>
          <w:szCs w:val="32"/>
          <w:u w:val="none"/>
          <w:shd w:val="clear" w:fill="FFFFFF"/>
          <w:lang w:eastAsia="zh-CN"/>
        </w:rPr>
        <w:t>县</w:t>
      </w:r>
      <w:r>
        <w:rPr>
          <w:rFonts w:hint="default" w:ascii="楷体_GB2312" w:hAnsi="楷体_GB2312" w:eastAsia="楷体_GB2312" w:cs="楷体_GB2312"/>
          <w:i w:val="0"/>
          <w:iCs w:val="0"/>
          <w:caps w:val="0"/>
          <w:color w:val="auto"/>
          <w:spacing w:val="0"/>
          <w:sz w:val="32"/>
          <w:szCs w:val="32"/>
          <w:u w:val="none"/>
          <w:shd w:val="clear" w:fill="FFFFFF"/>
        </w:rPr>
        <w:t>总工会，参加单位：</w:t>
      </w:r>
      <w:r>
        <w:rPr>
          <w:rFonts w:hint="default" w:ascii="楷体_GB2312" w:hAnsi="楷体_GB2312" w:eastAsia="楷体_GB2312" w:cs="楷体_GB2312"/>
          <w:i w:val="0"/>
          <w:iCs w:val="0"/>
          <w:caps w:val="0"/>
          <w:color w:val="auto"/>
          <w:spacing w:val="0"/>
          <w:sz w:val="32"/>
          <w:szCs w:val="32"/>
          <w:u w:val="none"/>
          <w:shd w:val="clear" w:fill="FFFFFF"/>
          <w:lang w:eastAsia="zh-CN"/>
        </w:rPr>
        <w:t>县</w:t>
      </w:r>
      <w:r>
        <w:rPr>
          <w:rFonts w:hint="default" w:ascii="楷体_GB2312" w:hAnsi="楷体_GB2312" w:eastAsia="楷体_GB2312" w:cs="楷体_GB2312"/>
          <w:i w:val="0"/>
          <w:iCs w:val="0"/>
          <w:caps w:val="0"/>
          <w:color w:val="auto"/>
          <w:spacing w:val="0"/>
          <w:sz w:val="32"/>
          <w:szCs w:val="32"/>
          <w:u w:val="none"/>
          <w:shd w:val="clear" w:fill="FFFFFF"/>
        </w:rPr>
        <w:t>人力资源社会保障局、</w:t>
      </w:r>
      <w:r>
        <w:rPr>
          <w:rFonts w:hint="default" w:ascii="楷体_GB2312" w:hAnsi="楷体_GB2312" w:eastAsia="楷体_GB2312" w:cs="楷体_GB2312"/>
          <w:i w:val="0"/>
          <w:iCs w:val="0"/>
          <w:caps w:val="0"/>
          <w:color w:val="auto"/>
          <w:spacing w:val="0"/>
          <w:sz w:val="32"/>
          <w:szCs w:val="32"/>
          <w:u w:val="none"/>
          <w:shd w:val="clear" w:fill="FFFFFF"/>
          <w:lang w:eastAsia="zh-CN"/>
        </w:rPr>
        <w:t>县</w:t>
      </w:r>
      <w:r>
        <w:rPr>
          <w:rFonts w:hint="default" w:ascii="楷体_GB2312" w:hAnsi="楷体_GB2312" w:eastAsia="楷体_GB2312" w:cs="楷体_GB2312"/>
          <w:i w:val="0"/>
          <w:iCs w:val="0"/>
          <w:caps w:val="0"/>
          <w:color w:val="auto"/>
          <w:spacing w:val="0"/>
          <w:sz w:val="32"/>
          <w:szCs w:val="32"/>
          <w:u w:val="none"/>
          <w:shd w:val="clear" w:fill="FFFFFF"/>
        </w:rPr>
        <w:t>直各行业主管部门）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left"/>
        <w:textAlignment w:val="auto"/>
        <w:rPr>
          <w:rFonts w:hint="eastAsia" w:ascii="黑体" w:hAnsi="黑体" w:eastAsia="黑体" w:cs="黑体"/>
          <w:i w:val="0"/>
          <w:iCs w:val="0"/>
          <w:caps w:val="0"/>
          <w:color w:val="auto"/>
          <w:spacing w:val="0"/>
          <w:sz w:val="32"/>
          <w:szCs w:val="32"/>
          <w:u w:val="none"/>
        </w:rPr>
      </w:pPr>
      <w:r>
        <w:rPr>
          <w:rFonts w:hint="eastAsia" w:ascii="黑体" w:hAnsi="黑体" w:eastAsia="黑体" w:cs="黑体"/>
          <w:i w:val="0"/>
          <w:iCs w:val="0"/>
          <w:caps w:val="0"/>
          <w:color w:val="auto"/>
          <w:spacing w:val="0"/>
          <w:sz w:val="32"/>
          <w:szCs w:val="32"/>
          <w:u w:val="none"/>
          <w:shd w:val="clear" w:fill="FFFFFF"/>
        </w:rPr>
        <w:t>三、优化提升劳动者权益保障服务</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left"/>
        <w:textAlignment w:val="auto"/>
        <w:rPr>
          <w:rFonts w:hint="default" w:ascii="楷体_GB2312" w:hAnsi="楷体_GB2312" w:eastAsia="楷体_GB2312" w:cs="楷体_GB2312"/>
          <w:i w:val="0"/>
          <w:iCs w:val="0"/>
          <w:caps w:val="0"/>
          <w:color w:val="auto"/>
          <w:spacing w:val="0"/>
          <w:sz w:val="32"/>
          <w:szCs w:val="32"/>
          <w:u w:val="none"/>
          <w:shd w:val="clear" w:fill="FFFFFF"/>
        </w:rPr>
      </w:pPr>
      <w:r>
        <w:rPr>
          <w:rFonts w:hint="eastAsia" w:ascii="楷体_GB2312" w:hAnsi="楷体_GB2312" w:eastAsia="楷体_GB2312" w:cs="楷体_GB2312"/>
          <w:i w:val="0"/>
          <w:iCs w:val="0"/>
          <w:caps w:val="0"/>
          <w:color w:val="auto"/>
          <w:spacing w:val="0"/>
          <w:sz w:val="32"/>
          <w:szCs w:val="32"/>
          <w:u w:val="none"/>
          <w:shd w:val="clear" w:fill="FFFFFF"/>
        </w:rPr>
        <w:t>（十）优化就业创业指导服务。</w:t>
      </w:r>
      <w:r>
        <w:rPr>
          <w:rFonts w:hint="default" w:ascii="Times New Roman" w:hAnsi="Times New Roman" w:eastAsia="仿宋_GB2312" w:cs="Times New Roman"/>
          <w:i w:val="0"/>
          <w:iCs w:val="0"/>
          <w:caps w:val="0"/>
          <w:color w:val="auto"/>
          <w:spacing w:val="0"/>
          <w:sz w:val="32"/>
          <w:szCs w:val="32"/>
          <w:u w:val="none"/>
          <w:shd w:val="clear" w:fill="FFFFFF"/>
          <w:lang w:eastAsia="zh-CN"/>
        </w:rPr>
        <w:t>积极</w:t>
      </w:r>
      <w:r>
        <w:rPr>
          <w:rFonts w:hint="default" w:ascii="Times New Roman" w:hAnsi="Times New Roman" w:eastAsia="仿宋_GB2312" w:cs="Times New Roman"/>
          <w:i w:val="0"/>
          <w:iCs w:val="0"/>
          <w:caps w:val="0"/>
          <w:color w:val="auto"/>
          <w:spacing w:val="0"/>
          <w:sz w:val="32"/>
          <w:szCs w:val="32"/>
          <w:u w:val="none"/>
          <w:shd w:val="clear" w:fill="FFFFFF"/>
        </w:rPr>
        <w:t>构建智慧人力资源</w:t>
      </w:r>
      <w:r>
        <w:rPr>
          <w:rFonts w:hint="default" w:ascii="Times New Roman" w:hAnsi="Times New Roman" w:eastAsia="仿宋_GB2312" w:cs="Times New Roman"/>
          <w:i w:val="0"/>
          <w:iCs w:val="0"/>
          <w:caps w:val="0"/>
          <w:color w:val="auto"/>
          <w:spacing w:val="0"/>
          <w:sz w:val="32"/>
          <w:szCs w:val="32"/>
          <w:u w:val="none"/>
          <w:shd w:val="clear" w:fill="FFFFFF"/>
          <w:lang w:eastAsia="zh-CN"/>
        </w:rPr>
        <w:t>市</w:t>
      </w:r>
      <w:r>
        <w:rPr>
          <w:rFonts w:hint="default" w:ascii="Times New Roman" w:hAnsi="Times New Roman" w:eastAsia="仿宋_GB2312" w:cs="Times New Roman"/>
          <w:i w:val="0"/>
          <w:iCs w:val="0"/>
          <w:caps w:val="0"/>
          <w:color w:val="auto"/>
          <w:spacing w:val="0"/>
          <w:sz w:val="32"/>
          <w:szCs w:val="32"/>
          <w:u w:val="none"/>
          <w:shd w:val="clear" w:fill="FFFFFF"/>
        </w:rPr>
        <w:t>场，组织实施公共就业服务专项活动，创新方式方法，积极为各类新就业形态劳动者提供多元化职业介绍、职业指导、创业培训等服务。及时发布行业人工成本指导价位，为企业和劳动者提供便捷化的劳动保障、税收、</w:t>
      </w:r>
      <w:r>
        <w:rPr>
          <w:rFonts w:hint="default" w:ascii="Times New Roman" w:hAnsi="Times New Roman" w:eastAsia="仿宋_GB2312" w:cs="Times New Roman"/>
          <w:i w:val="0"/>
          <w:iCs w:val="0"/>
          <w:caps w:val="0"/>
          <w:color w:val="auto"/>
          <w:spacing w:val="0"/>
          <w:sz w:val="32"/>
          <w:szCs w:val="32"/>
          <w:u w:val="none"/>
          <w:shd w:val="clear" w:fill="FFFFFF"/>
          <w:lang w:eastAsia="zh-CN"/>
        </w:rPr>
        <w:t>市</w:t>
      </w:r>
      <w:r>
        <w:rPr>
          <w:rFonts w:hint="default" w:ascii="Times New Roman" w:hAnsi="Times New Roman" w:eastAsia="仿宋_GB2312" w:cs="Times New Roman"/>
          <w:i w:val="0"/>
          <w:iCs w:val="0"/>
          <w:caps w:val="0"/>
          <w:color w:val="auto"/>
          <w:spacing w:val="0"/>
          <w:sz w:val="32"/>
          <w:szCs w:val="32"/>
          <w:u w:val="none"/>
          <w:shd w:val="clear" w:fill="FFFFFF"/>
        </w:rPr>
        <w:t>场监管等政策咨询服务，便利劳动者求职就业和企业招工用工。</w:t>
      </w:r>
      <w:r>
        <w:rPr>
          <w:rFonts w:hint="default" w:ascii="楷体_GB2312" w:hAnsi="楷体_GB2312" w:eastAsia="楷体_GB2312" w:cs="楷体_GB2312"/>
          <w:i w:val="0"/>
          <w:iCs w:val="0"/>
          <w:caps w:val="0"/>
          <w:color w:val="auto"/>
          <w:spacing w:val="0"/>
          <w:sz w:val="32"/>
          <w:szCs w:val="32"/>
          <w:u w:val="none"/>
          <w:shd w:val="clear" w:fill="FFFFFF"/>
        </w:rPr>
        <w:t>（牵头单位：</w:t>
      </w:r>
      <w:r>
        <w:rPr>
          <w:rFonts w:hint="default" w:ascii="楷体_GB2312" w:hAnsi="楷体_GB2312" w:eastAsia="楷体_GB2312" w:cs="楷体_GB2312"/>
          <w:i w:val="0"/>
          <w:iCs w:val="0"/>
          <w:caps w:val="0"/>
          <w:color w:val="auto"/>
          <w:spacing w:val="0"/>
          <w:sz w:val="32"/>
          <w:szCs w:val="32"/>
          <w:u w:val="none"/>
          <w:shd w:val="clear" w:fill="FFFFFF"/>
          <w:lang w:eastAsia="zh-CN"/>
        </w:rPr>
        <w:t>县</w:t>
      </w:r>
      <w:r>
        <w:rPr>
          <w:rFonts w:hint="default" w:ascii="楷体_GB2312" w:hAnsi="楷体_GB2312" w:eastAsia="楷体_GB2312" w:cs="楷体_GB2312"/>
          <w:i w:val="0"/>
          <w:iCs w:val="0"/>
          <w:caps w:val="0"/>
          <w:color w:val="auto"/>
          <w:spacing w:val="0"/>
          <w:sz w:val="32"/>
          <w:szCs w:val="32"/>
          <w:u w:val="none"/>
          <w:shd w:val="clear" w:fill="FFFFFF"/>
        </w:rPr>
        <w:t>人力资源社会保障局，参加单位：</w:t>
      </w:r>
      <w:r>
        <w:rPr>
          <w:rFonts w:hint="default" w:ascii="楷体_GB2312" w:hAnsi="楷体_GB2312" w:eastAsia="楷体_GB2312" w:cs="楷体_GB2312"/>
          <w:i w:val="0"/>
          <w:iCs w:val="0"/>
          <w:caps w:val="0"/>
          <w:color w:val="auto"/>
          <w:spacing w:val="0"/>
          <w:sz w:val="32"/>
          <w:szCs w:val="32"/>
          <w:u w:val="none"/>
          <w:shd w:val="clear" w:fill="FFFFFF"/>
          <w:lang w:eastAsia="zh-CN"/>
        </w:rPr>
        <w:t>县市</w:t>
      </w:r>
      <w:r>
        <w:rPr>
          <w:rFonts w:hint="default" w:ascii="楷体_GB2312" w:hAnsi="楷体_GB2312" w:eastAsia="楷体_GB2312" w:cs="楷体_GB2312"/>
          <w:i w:val="0"/>
          <w:iCs w:val="0"/>
          <w:caps w:val="0"/>
          <w:color w:val="auto"/>
          <w:spacing w:val="0"/>
          <w:sz w:val="32"/>
          <w:szCs w:val="32"/>
          <w:u w:val="none"/>
          <w:shd w:val="clear" w:fill="FFFFFF"/>
        </w:rPr>
        <w:t>场监管局、</w:t>
      </w:r>
      <w:r>
        <w:rPr>
          <w:rFonts w:hint="default" w:ascii="楷体_GB2312" w:hAnsi="楷体_GB2312" w:eastAsia="楷体_GB2312" w:cs="楷体_GB2312"/>
          <w:i w:val="0"/>
          <w:iCs w:val="0"/>
          <w:caps w:val="0"/>
          <w:color w:val="auto"/>
          <w:spacing w:val="0"/>
          <w:sz w:val="32"/>
          <w:szCs w:val="32"/>
          <w:u w:val="none"/>
          <w:shd w:val="clear" w:fill="FFFFFF"/>
          <w:lang w:eastAsia="zh-CN"/>
        </w:rPr>
        <w:t>县</w:t>
      </w:r>
      <w:r>
        <w:rPr>
          <w:rFonts w:hint="default" w:ascii="楷体_GB2312" w:hAnsi="楷体_GB2312" w:eastAsia="楷体_GB2312" w:cs="楷体_GB2312"/>
          <w:i w:val="0"/>
          <w:iCs w:val="0"/>
          <w:caps w:val="0"/>
          <w:color w:val="auto"/>
          <w:spacing w:val="0"/>
          <w:sz w:val="32"/>
          <w:szCs w:val="32"/>
          <w:u w:val="none"/>
          <w:shd w:val="clear" w:fill="FFFFFF"/>
        </w:rPr>
        <w:t>税务局）</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left"/>
        <w:textAlignment w:val="auto"/>
        <w:rPr>
          <w:rFonts w:hint="default" w:ascii="楷体_GB2312" w:hAnsi="楷体_GB2312" w:eastAsia="楷体_GB2312" w:cs="楷体_GB2312"/>
          <w:i w:val="0"/>
          <w:iCs w:val="0"/>
          <w:caps w:val="0"/>
          <w:color w:val="auto"/>
          <w:spacing w:val="0"/>
          <w:sz w:val="32"/>
          <w:szCs w:val="32"/>
          <w:u w:val="none"/>
          <w:shd w:val="clear" w:fill="FFFFFF"/>
        </w:rPr>
      </w:pPr>
      <w:r>
        <w:rPr>
          <w:rFonts w:hint="eastAsia" w:ascii="楷体_GB2312" w:hAnsi="楷体_GB2312" w:eastAsia="楷体_GB2312" w:cs="楷体_GB2312"/>
          <w:i w:val="0"/>
          <w:iCs w:val="0"/>
          <w:caps w:val="0"/>
          <w:color w:val="auto"/>
          <w:spacing w:val="0"/>
          <w:sz w:val="32"/>
          <w:szCs w:val="32"/>
          <w:u w:val="none"/>
          <w:shd w:val="clear" w:fill="FFFFFF"/>
        </w:rPr>
        <w:t>（十一）优化社会保险经办服务。</w:t>
      </w:r>
      <w:r>
        <w:rPr>
          <w:rFonts w:hint="default" w:ascii="Times New Roman" w:hAnsi="Times New Roman" w:eastAsia="仿宋_GB2312" w:cs="Times New Roman"/>
          <w:i w:val="0"/>
          <w:iCs w:val="0"/>
          <w:caps w:val="0"/>
          <w:color w:val="auto"/>
          <w:spacing w:val="0"/>
          <w:sz w:val="32"/>
          <w:szCs w:val="32"/>
          <w:u w:val="none"/>
          <w:shd w:val="clear" w:fill="FFFFFF"/>
        </w:rPr>
        <w:t>深化“一次办好”改革，不断优化经办流程、精减办事材料、简化办事手续，进一步推进帮办、代办和预约办，规范社会保险经办服务标准。加快经办</w:t>
      </w:r>
      <w:r>
        <w:rPr>
          <w:rFonts w:hint="default" w:ascii="Times New Roman" w:hAnsi="Times New Roman" w:eastAsia="仿宋_GB2312" w:cs="Times New Roman"/>
          <w:b w:val="0"/>
          <w:bCs w:val="0"/>
          <w:i w:val="0"/>
          <w:iCs w:val="0"/>
          <w:caps w:val="0"/>
          <w:color w:val="auto"/>
          <w:spacing w:val="0"/>
          <w:sz w:val="32"/>
          <w:szCs w:val="32"/>
          <w:shd w:val="clear" w:fill="FFFFFF"/>
          <w:lang w:eastAsia="zh-CN"/>
        </w:rPr>
        <w:t>平台</w:t>
      </w:r>
      <w:r>
        <w:rPr>
          <w:rFonts w:hint="default" w:ascii="Times New Roman" w:hAnsi="Times New Roman" w:eastAsia="仿宋_GB2312" w:cs="Times New Roman"/>
          <w:i w:val="0"/>
          <w:iCs w:val="0"/>
          <w:caps w:val="0"/>
          <w:color w:val="auto"/>
          <w:spacing w:val="0"/>
          <w:sz w:val="32"/>
          <w:szCs w:val="32"/>
          <w:u w:val="none"/>
          <w:shd w:val="clear" w:fill="FFFFFF"/>
        </w:rPr>
        <w:t>信息化建设，完善“互联网+”服务功能，努力为新就业形态的参保人员提供便捷、高效的经办服务。积极探索新就业形态等灵活就业人员参保缴费统一服务</w:t>
      </w:r>
      <w:r>
        <w:rPr>
          <w:rFonts w:hint="default" w:ascii="Times New Roman" w:hAnsi="Times New Roman" w:eastAsia="仿宋_GB2312" w:cs="Times New Roman"/>
          <w:b w:val="0"/>
          <w:bCs w:val="0"/>
          <w:i w:val="0"/>
          <w:iCs w:val="0"/>
          <w:caps w:val="0"/>
          <w:color w:val="auto"/>
          <w:spacing w:val="0"/>
          <w:sz w:val="32"/>
          <w:szCs w:val="32"/>
          <w:shd w:val="clear" w:fill="FFFFFF"/>
          <w:lang w:eastAsia="zh-CN"/>
        </w:rPr>
        <w:t>平台</w:t>
      </w:r>
      <w:r>
        <w:rPr>
          <w:rFonts w:hint="default" w:ascii="Times New Roman" w:hAnsi="Times New Roman" w:eastAsia="仿宋_GB2312" w:cs="Times New Roman"/>
          <w:i w:val="0"/>
          <w:iCs w:val="0"/>
          <w:caps w:val="0"/>
          <w:color w:val="auto"/>
          <w:spacing w:val="0"/>
          <w:sz w:val="32"/>
          <w:szCs w:val="32"/>
          <w:u w:val="none"/>
          <w:shd w:val="clear" w:fill="FFFFFF"/>
        </w:rPr>
        <w:t>，严格按照国家统一部署，创新推动经办服务“零距离”、联系群众“无缝隙”的经办服务体系建设，努力打造“办事效率高、服务质量优、群众获得感强”的经办服务环境，更好保障参保人员公平享受各项社会保险待遇。</w:t>
      </w:r>
      <w:r>
        <w:rPr>
          <w:rFonts w:hint="default" w:ascii="楷体_GB2312" w:hAnsi="楷体_GB2312" w:eastAsia="楷体_GB2312" w:cs="楷体_GB2312"/>
          <w:i w:val="0"/>
          <w:iCs w:val="0"/>
          <w:caps w:val="0"/>
          <w:color w:val="auto"/>
          <w:spacing w:val="0"/>
          <w:sz w:val="32"/>
          <w:szCs w:val="32"/>
          <w:u w:val="none"/>
          <w:shd w:val="clear" w:fill="FFFFFF"/>
        </w:rPr>
        <w:t>（牵头单位：</w:t>
      </w:r>
      <w:r>
        <w:rPr>
          <w:rFonts w:hint="default" w:ascii="楷体_GB2312" w:hAnsi="楷体_GB2312" w:eastAsia="楷体_GB2312" w:cs="楷体_GB2312"/>
          <w:i w:val="0"/>
          <w:iCs w:val="0"/>
          <w:caps w:val="0"/>
          <w:color w:val="auto"/>
          <w:spacing w:val="0"/>
          <w:sz w:val="32"/>
          <w:szCs w:val="32"/>
          <w:u w:val="none"/>
          <w:shd w:val="clear" w:fill="FFFFFF"/>
          <w:lang w:eastAsia="zh-CN"/>
        </w:rPr>
        <w:t>县</w:t>
      </w:r>
      <w:r>
        <w:rPr>
          <w:rFonts w:hint="default" w:ascii="楷体_GB2312" w:hAnsi="楷体_GB2312" w:eastAsia="楷体_GB2312" w:cs="楷体_GB2312"/>
          <w:i w:val="0"/>
          <w:iCs w:val="0"/>
          <w:caps w:val="0"/>
          <w:color w:val="auto"/>
          <w:spacing w:val="0"/>
          <w:sz w:val="32"/>
          <w:szCs w:val="32"/>
          <w:u w:val="none"/>
          <w:shd w:val="clear" w:fill="FFFFFF"/>
        </w:rPr>
        <w:t>人力资源社会保障局、</w:t>
      </w:r>
      <w:r>
        <w:rPr>
          <w:rFonts w:hint="default" w:ascii="楷体_GB2312" w:hAnsi="楷体_GB2312" w:eastAsia="楷体_GB2312" w:cs="楷体_GB2312"/>
          <w:i w:val="0"/>
          <w:iCs w:val="0"/>
          <w:caps w:val="0"/>
          <w:color w:val="auto"/>
          <w:spacing w:val="0"/>
          <w:sz w:val="32"/>
          <w:szCs w:val="32"/>
          <w:u w:val="none"/>
          <w:shd w:val="clear" w:fill="FFFFFF"/>
          <w:lang w:eastAsia="zh-CN"/>
        </w:rPr>
        <w:t>市</w:t>
      </w:r>
      <w:r>
        <w:rPr>
          <w:rFonts w:hint="default" w:ascii="楷体_GB2312" w:hAnsi="楷体_GB2312" w:eastAsia="楷体_GB2312" w:cs="楷体_GB2312"/>
          <w:i w:val="0"/>
          <w:iCs w:val="0"/>
          <w:caps w:val="0"/>
          <w:color w:val="auto"/>
          <w:spacing w:val="0"/>
          <w:sz w:val="32"/>
          <w:szCs w:val="32"/>
          <w:u w:val="none"/>
          <w:shd w:val="clear" w:fill="FFFFFF"/>
        </w:rPr>
        <w:t>医保局</w:t>
      </w:r>
      <w:r>
        <w:rPr>
          <w:rFonts w:hint="default" w:ascii="楷体_GB2312" w:hAnsi="楷体_GB2312" w:eastAsia="楷体_GB2312" w:cs="楷体_GB2312"/>
          <w:i w:val="0"/>
          <w:iCs w:val="0"/>
          <w:caps w:val="0"/>
          <w:color w:val="auto"/>
          <w:spacing w:val="0"/>
          <w:sz w:val="32"/>
          <w:szCs w:val="32"/>
          <w:u w:val="none"/>
          <w:shd w:val="clear" w:fill="FFFFFF"/>
          <w:lang w:eastAsia="zh-CN"/>
        </w:rPr>
        <w:t>高青分局</w:t>
      </w:r>
      <w:r>
        <w:rPr>
          <w:rFonts w:hint="default" w:ascii="楷体_GB2312" w:hAnsi="楷体_GB2312" w:eastAsia="楷体_GB2312" w:cs="楷体_GB2312"/>
          <w:i w:val="0"/>
          <w:iCs w:val="0"/>
          <w:caps w:val="0"/>
          <w:color w:val="auto"/>
          <w:spacing w:val="0"/>
          <w:sz w:val="32"/>
          <w:szCs w:val="32"/>
          <w:u w:val="none"/>
          <w:shd w:val="clear" w:fill="FFFFFF"/>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left"/>
        <w:textAlignment w:val="auto"/>
        <w:rPr>
          <w:rFonts w:hint="default" w:ascii="楷体_GB2312" w:hAnsi="楷体_GB2312" w:eastAsia="楷体_GB2312" w:cs="楷体_GB2312"/>
          <w:i w:val="0"/>
          <w:iCs w:val="0"/>
          <w:caps w:val="0"/>
          <w:color w:val="auto"/>
          <w:spacing w:val="0"/>
          <w:sz w:val="32"/>
          <w:szCs w:val="32"/>
          <w:u w:val="none"/>
          <w:shd w:val="clear" w:fill="FFFFFF"/>
        </w:rPr>
      </w:pPr>
      <w:r>
        <w:rPr>
          <w:rFonts w:hint="default" w:ascii="楷体_GB2312" w:hAnsi="楷体_GB2312" w:eastAsia="楷体_GB2312" w:cs="楷体_GB2312"/>
          <w:i w:val="0"/>
          <w:iCs w:val="0"/>
          <w:caps w:val="0"/>
          <w:color w:val="auto"/>
          <w:spacing w:val="0"/>
          <w:sz w:val="32"/>
          <w:szCs w:val="32"/>
          <w:u w:val="none"/>
          <w:shd w:val="clear" w:fill="FFFFFF"/>
        </w:rPr>
        <w:t>（十二）优化职业技能培训服务</w:t>
      </w:r>
      <w:r>
        <w:rPr>
          <w:rFonts w:hint="default" w:ascii="Times New Roman" w:hAnsi="Times New Roman" w:eastAsia="仿宋_GB2312" w:cs="Times New Roman"/>
          <w:i w:val="0"/>
          <w:iCs w:val="0"/>
          <w:caps w:val="0"/>
          <w:color w:val="auto"/>
          <w:spacing w:val="0"/>
          <w:sz w:val="32"/>
          <w:szCs w:val="32"/>
          <w:u w:val="none"/>
          <w:shd w:val="clear" w:fill="FFFFFF"/>
        </w:rPr>
        <w:t>。创新职业技能培训模式，发挥“互联网+职业技能培训”优势，充分利用各级线上培训</w:t>
      </w:r>
      <w:r>
        <w:rPr>
          <w:rFonts w:hint="default" w:ascii="Times New Roman" w:hAnsi="Times New Roman" w:eastAsia="仿宋_GB2312" w:cs="Times New Roman"/>
          <w:b w:val="0"/>
          <w:bCs w:val="0"/>
          <w:i w:val="0"/>
          <w:iCs w:val="0"/>
          <w:caps w:val="0"/>
          <w:color w:val="auto"/>
          <w:spacing w:val="0"/>
          <w:sz w:val="32"/>
          <w:szCs w:val="32"/>
          <w:shd w:val="clear" w:fill="FFFFFF"/>
          <w:lang w:eastAsia="zh-CN"/>
        </w:rPr>
        <w:t>平台</w:t>
      </w:r>
      <w:r>
        <w:rPr>
          <w:rFonts w:hint="default" w:ascii="Times New Roman" w:hAnsi="Times New Roman" w:eastAsia="仿宋_GB2312" w:cs="Times New Roman"/>
          <w:i w:val="0"/>
          <w:iCs w:val="0"/>
          <w:caps w:val="0"/>
          <w:color w:val="auto"/>
          <w:spacing w:val="0"/>
          <w:sz w:val="32"/>
          <w:szCs w:val="32"/>
          <w:u w:val="none"/>
          <w:shd w:val="clear" w:fill="FFFFFF"/>
        </w:rPr>
        <w:t>和企业自建培训</w:t>
      </w:r>
      <w:r>
        <w:rPr>
          <w:rFonts w:hint="default" w:ascii="Times New Roman" w:hAnsi="Times New Roman" w:eastAsia="仿宋_GB2312" w:cs="Times New Roman"/>
          <w:b w:val="0"/>
          <w:bCs w:val="0"/>
          <w:i w:val="0"/>
          <w:iCs w:val="0"/>
          <w:caps w:val="0"/>
          <w:color w:val="auto"/>
          <w:spacing w:val="0"/>
          <w:sz w:val="32"/>
          <w:szCs w:val="32"/>
          <w:shd w:val="clear" w:fill="FFFFFF"/>
          <w:lang w:eastAsia="zh-CN"/>
        </w:rPr>
        <w:t>平台</w:t>
      </w:r>
      <w:r>
        <w:rPr>
          <w:rFonts w:hint="default" w:ascii="Times New Roman" w:hAnsi="Times New Roman" w:eastAsia="仿宋_GB2312" w:cs="Times New Roman"/>
          <w:i w:val="0"/>
          <w:iCs w:val="0"/>
          <w:caps w:val="0"/>
          <w:color w:val="auto"/>
          <w:spacing w:val="0"/>
          <w:sz w:val="32"/>
          <w:szCs w:val="32"/>
          <w:u w:val="none"/>
          <w:shd w:val="clear" w:fill="FFFFFF"/>
        </w:rPr>
        <w:t>等，提高培训实用性。积极争取新就业形态劳动者技能提升和就业促进项目试点，支持试点企业开展</w:t>
      </w:r>
      <w:r>
        <w:rPr>
          <w:rFonts w:hint="default" w:ascii="Times New Roman" w:hAnsi="Times New Roman" w:eastAsia="仿宋_GB2312" w:cs="Times New Roman"/>
          <w:i w:val="0"/>
          <w:iCs w:val="0"/>
          <w:caps w:val="0"/>
          <w:color w:val="auto"/>
          <w:spacing w:val="0"/>
          <w:sz w:val="32"/>
          <w:szCs w:val="32"/>
          <w:u w:val="none"/>
          <w:shd w:val="clear" w:fill="FFFFFF"/>
          <w:lang w:eastAsia="zh-CN"/>
        </w:rPr>
        <w:t>新</w:t>
      </w:r>
      <w:r>
        <w:rPr>
          <w:rFonts w:hint="default" w:ascii="Times New Roman" w:hAnsi="Times New Roman" w:eastAsia="仿宋_GB2312" w:cs="Times New Roman"/>
          <w:i w:val="0"/>
          <w:iCs w:val="0"/>
          <w:caps w:val="0"/>
          <w:color w:val="auto"/>
          <w:spacing w:val="0"/>
          <w:sz w:val="32"/>
          <w:szCs w:val="32"/>
          <w:u w:val="none"/>
          <w:shd w:val="clear" w:fill="FFFFFF"/>
        </w:rPr>
        <w:t>就业形态技能提升培训，加大对试点企业新就业形态从业人员职业技能培训力度，按规定落实职业培训补贴。落实国家职业技能等级制度，着力推动企业技能人才自主评价，提升评价规模和质量。鼓励企业拓展劳动者技能成长通道，引导新就业形态劳动者学习技能、提升技能，走技能成才之路。支持有条件的企业承担行业技能培训任务，提升行业技能劳动者整体素质。凡在我</w:t>
      </w:r>
      <w:r>
        <w:rPr>
          <w:rFonts w:hint="default" w:ascii="Times New Roman" w:hAnsi="Times New Roman" w:eastAsia="仿宋_GB2312" w:cs="Times New Roman"/>
          <w:i w:val="0"/>
          <w:iCs w:val="0"/>
          <w:caps w:val="0"/>
          <w:color w:val="auto"/>
          <w:spacing w:val="0"/>
          <w:sz w:val="32"/>
          <w:szCs w:val="32"/>
          <w:u w:val="none"/>
          <w:shd w:val="clear" w:fill="FFFFFF"/>
          <w:lang w:eastAsia="zh-CN"/>
        </w:rPr>
        <w:t>县</w:t>
      </w:r>
      <w:r>
        <w:rPr>
          <w:rFonts w:hint="default" w:ascii="Times New Roman" w:hAnsi="Times New Roman" w:eastAsia="仿宋_GB2312" w:cs="Times New Roman"/>
          <w:i w:val="0"/>
          <w:iCs w:val="0"/>
          <w:caps w:val="0"/>
          <w:color w:val="auto"/>
          <w:spacing w:val="0"/>
          <w:sz w:val="32"/>
          <w:szCs w:val="32"/>
          <w:u w:val="none"/>
          <w:shd w:val="clear" w:fill="FFFFFF"/>
        </w:rPr>
        <w:t>与用人单位确定劳动（聘用）关系的专业技术人才，以及从事专业技术工作的自由职业者，均可按规定的标准条件申报评审相应的职称。鼓励引导省级以上开发区在现有职称系列内开展特色专业职称评审工作。</w:t>
      </w:r>
      <w:r>
        <w:rPr>
          <w:rFonts w:hint="default" w:ascii="楷体_GB2312" w:hAnsi="楷体_GB2312" w:eastAsia="楷体_GB2312" w:cs="楷体_GB2312"/>
          <w:i w:val="0"/>
          <w:iCs w:val="0"/>
          <w:caps w:val="0"/>
          <w:color w:val="auto"/>
          <w:spacing w:val="0"/>
          <w:sz w:val="32"/>
          <w:szCs w:val="32"/>
          <w:u w:val="none"/>
          <w:shd w:val="clear" w:fill="FFFFFF"/>
        </w:rPr>
        <w:t>（牵头单位：</w:t>
      </w:r>
      <w:r>
        <w:rPr>
          <w:rFonts w:hint="default" w:ascii="楷体_GB2312" w:hAnsi="楷体_GB2312" w:eastAsia="楷体_GB2312" w:cs="楷体_GB2312"/>
          <w:i w:val="0"/>
          <w:iCs w:val="0"/>
          <w:caps w:val="0"/>
          <w:color w:val="auto"/>
          <w:spacing w:val="0"/>
          <w:sz w:val="32"/>
          <w:szCs w:val="32"/>
          <w:u w:val="none"/>
          <w:shd w:val="clear" w:fill="FFFFFF"/>
          <w:lang w:eastAsia="zh-CN"/>
        </w:rPr>
        <w:t>县</w:t>
      </w:r>
      <w:r>
        <w:rPr>
          <w:rFonts w:hint="default" w:ascii="楷体_GB2312" w:hAnsi="楷体_GB2312" w:eastAsia="楷体_GB2312" w:cs="楷体_GB2312"/>
          <w:i w:val="0"/>
          <w:iCs w:val="0"/>
          <w:caps w:val="0"/>
          <w:color w:val="auto"/>
          <w:spacing w:val="0"/>
          <w:sz w:val="32"/>
          <w:szCs w:val="32"/>
          <w:u w:val="none"/>
          <w:shd w:val="clear" w:fill="FFFFFF"/>
        </w:rPr>
        <w:t>人力资源社会保障局，参加单位：</w:t>
      </w:r>
      <w:r>
        <w:rPr>
          <w:rFonts w:hint="default" w:ascii="楷体_GB2312" w:hAnsi="楷体_GB2312" w:eastAsia="楷体_GB2312" w:cs="楷体_GB2312"/>
          <w:i w:val="0"/>
          <w:iCs w:val="0"/>
          <w:caps w:val="0"/>
          <w:color w:val="auto"/>
          <w:spacing w:val="0"/>
          <w:sz w:val="32"/>
          <w:szCs w:val="32"/>
          <w:u w:val="none"/>
          <w:shd w:val="clear" w:fill="FFFFFF"/>
          <w:lang w:eastAsia="zh-CN"/>
        </w:rPr>
        <w:t>县</w:t>
      </w:r>
      <w:r>
        <w:rPr>
          <w:rFonts w:hint="default" w:ascii="楷体_GB2312" w:hAnsi="楷体_GB2312" w:eastAsia="楷体_GB2312" w:cs="楷体_GB2312"/>
          <w:i w:val="0"/>
          <w:iCs w:val="0"/>
          <w:caps w:val="0"/>
          <w:color w:val="auto"/>
          <w:spacing w:val="0"/>
          <w:sz w:val="32"/>
          <w:szCs w:val="32"/>
          <w:u w:val="none"/>
          <w:shd w:val="clear" w:fill="FFFFFF"/>
        </w:rPr>
        <w:t>直各行业主管部门）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left"/>
        <w:textAlignment w:val="auto"/>
        <w:rPr>
          <w:rFonts w:hint="default" w:ascii="楷体_GB2312" w:hAnsi="楷体_GB2312" w:eastAsia="楷体_GB2312" w:cs="楷体_GB2312"/>
          <w:i w:val="0"/>
          <w:iCs w:val="0"/>
          <w:caps w:val="0"/>
          <w:color w:val="auto"/>
          <w:spacing w:val="0"/>
          <w:sz w:val="32"/>
          <w:szCs w:val="32"/>
          <w:u w:val="none"/>
          <w:shd w:val="clear" w:fill="FFFFFF"/>
        </w:rPr>
      </w:pPr>
      <w:r>
        <w:rPr>
          <w:rFonts w:hint="default" w:ascii="楷体_GB2312" w:hAnsi="楷体_GB2312" w:eastAsia="楷体_GB2312" w:cs="楷体_GB2312"/>
          <w:i w:val="0"/>
          <w:iCs w:val="0"/>
          <w:caps w:val="0"/>
          <w:color w:val="auto"/>
          <w:spacing w:val="0"/>
          <w:sz w:val="32"/>
          <w:szCs w:val="32"/>
          <w:u w:val="none"/>
          <w:shd w:val="clear" w:fill="FFFFFF"/>
        </w:rPr>
        <w:t>（十三）优化城</w:t>
      </w:r>
      <w:r>
        <w:rPr>
          <w:rFonts w:hint="default" w:ascii="楷体_GB2312" w:hAnsi="楷体_GB2312" w:eastAsia="楷体_GB2312" w:cs="楷体_GB2312"/>
          <w:i w:val="0"/>
          <w:iCs w:val="0"/>
          <w:caps w:val="0"/>
          <w:color w:val="auto"/>
          <w:spacing w:val="0"/>
          <w:sz w:val="32"/>
          <w:szCs w:val="32"/>
          <w:u w:val="none"/>
          <w:shd w:val="clear" w:fill="FFFFFF"/>
          <w:lang w:eastAsia="zh-CN"/>
        </w:rPr>
        <w:t>市</w:t>
      </w:r>
      <w:r>
        <w:rPr>
          <w:rFonts w:hint="default" w:ascii="楷体_GB2312" w:hAnsi="楷体_GB2312" w:eastAsia="楷体_GB2312" w:cs="楷体_GB2312"/>
          <w:i w:val="0"/>
          <w:iCs w:val="0"/>
          <w:caps w:val="0"/>
          <w:color w:val="auto"/>
          <w:spacing w:val="0"/>
          <w:sz w:val="32"/>
          <w:szCs w:val="32"/>
          <w:u w:val="none"/>
          <w:shd w:val="clear" w:fill="FFFFFF"/>
        </w:rPr>
        <w:t>建设综合服务</w:t>
      </w:r>
      <w:r>
        <w:rPr>
          <w:rFonts w:hint="default" w:ascii="Times New Roman" w:hAnsi="Times New Roman" w:eastAsia="仿宋_GB2312" w:cs="Times New Roman"/>
          <w:i w:val="0"/>
          <w:iCs w:val="0"/>
          <w:caps w:val="0"/>
          <w:color w:val="auto"/>
          <w:spacing w:val="0"/>
          <w:sz w:val="32"/>
          <w:szCs w:val="32"/>
          <w:u w:val="none"/>
          <w:shd w:val="clear" w:fill="FFFFFF"/>
        </w:rPr>
        <w:t>。加快城</w:t>
      </w:r>
      <w:r>
        <w:rPr>
          <w:rFonts w:hint="default" w:ascii="Times New Roman" w:hAnsi="Times New Roman" w:eastAsia="仿宋_GB2312" w:cs="Times New Roman"/>
          <w:i w:val="0"/>
          <w:iCs w:val="0"/>
          <w:caps w:val="0"/>
          <w:color w:val="auto"/>
          <w:spacing w:val="0"/>
          <w:sz w:val="32"/>
          <w:szCs w:val="32"/>
          <w:u w:val="none"/>
          <w:shd w:val="clear" w:fill="FFFFFF"/>
          <w:lang w:eastAsia="zh-CN"/>
        </w:rPr>
        <w:t>市</w:t>
      </w:r>
      <w:r>
        <w:rPr>
          <w:rFonts w:hint="default" w:ascii="Times New Roman" w:hAnsi="Times New Roman" w:eastAsia="仿宋_GB2312" w:cs="Times New Roman"/>
          <w:i w:val="0"/>
          <w:iCs w:val="0"/>
          <w:caps w:val="0"/>
          <w:color w:val="auto"/>
          <w:spacing w:val="0"/>
          <w:sz w:val="32"/>
          <w:szCs w:val="32"/>
          <w:u w:val="none"/>
          <w:shd w:val="clear" w:fill="FFFFFF"/>
        </w:rPr>
        <w:t>综合服务网点建设，推动在新就业形态劳动者集中居住区、商业区设置临时休息场所，充分发挥机关事业单位带头作用、广泛发动社会（企业）提供休息点，解决充电、饮水等难题。加快推进城</w:t>
      </w:r>
      <w:r>
        <w:rPr>
          <w:rFonts w:hint="default" w:ascii="Times New Roman" w:hAnsi="Times New Roman" w:eastAsia="仿宋_GB2312" w:cs="Times New Roman"/>
          <w:i w:val="0"/>
          <w:iCs w:val="0"/>
          <w:caps w:val="0"/>
          <w:color w:val="auto"/>
          <w:spacing w:val="0"/>
          <w:sz w:val="32"/>
          <w:szCs w:val="32"/>
          <w:u w:val="none"/>
          <w:shd w:val="clear" w:fill="FFFFFF"/>
          <w:lang w:eastAsia="zh-CN"/>
        </w:rPr>
        <w:t>市</w:t>
      </w:r>
      <w:r>
        <w:rPr>
          <w:rFonts w:hint="default" w:ascii="Times New Roman" w:hAnsi="Times New Roman" w:eastAsia="仿宋_GB2312" w:cs="Times New Roman"/>
          <w:i w:val="0"/>
          <w:iCs w:val="0"/>
          <w:caps w:val="0"/>
          <w:color w:val="auto"/>
          <w:spacing w:val="0"/>
          <w:sz w:val="32"/>
          <w:szCs w:val="32"/>
          <w:u w:val="none"/>
          <w:shd w:val="clear" w:fill="FFFFFF"/>
        </w:rPr>
        <w:t>公共停车设施建设，有序推进智慧停车运行管理，缓解停车难、停车乱，满足和方便</w:t>
      </w:r>
      <w:r>
        <w:rPr>
          <w:rFonts w:hint="default" w:ascii="Times New Roman" w:hAnsi="Times New Roman" w:eastAsia="仿宋_GB2312" w:cs="Times New Roman"/>
          <w:i w:val="0"/>
          <w:iCs w:val="0"/>
          <w:caps w:val="0"/>
          <w:color w:val="auto"/>
          <w:spacing w:val="0"/>
          <w:sz w:val="32"/>
          <w:szCs w:val="32"/>
          <w:u w:val="none"/>
          <w:shd w:val="clear" w:fill="FFFFFF"/>
          <w:lang w:eastAsia="zh-CN"/>
        </w:rPr>
        <w:t>市</w:t>
      </w:r>
      <w:r>
        <w:rPr>
          <w:rFonts w:hint="default" w:ascii="Times New Roman" w:hAnsi="Times New Roman" w:eastAsia="仿宋_GB2312" w:cs="Times New Roman"/>
          <w:i w:val="0"/>
          <w:iCs w:val="0"/>
          <w:caps w:val="0"/>
          <w:color w:val="auto"/>
          <w:spacing w:val="0"/>
          <w:sz w:val="32"/>
          <w:szCs w:val="32"/>
          <w:u w:val="none"/>
          <w:shd w:val="clear" w:fill="FFFFFF"/>
        </w:rPr>
        <w:t>民出行需求;进一步提升城</w:t>
      </w:r>
      <w:r>
        <w:rPr>
          <w:rFonts w:hint="default" w:ascii="Times New Roman" w:hAnsi="Times New Roman" w:eastAsia="仿宋_GB2312" w:cs="Times New Roman"/>
          <w:i w:val="0"/>
          <w:iCs w:val="0"/>
          <w:caps w:val="0"/>
          <w:color w:val="auto"/>
          <w:spacing w:val="0"/>
          <w:sz w:val="32"/>
          <w:szCs w:val="32"/>
          <w:u w:val="none"/>
          <w:shd w:val="clear" w:fill="FFFFFF"/>
          <w:lang w:eastAsia="zh-CN"/>
        </w:rPr>
        <w:t>市</w:t>
      </w:r>
      <w:r>
        <w:rPr>
          <w:rFonts w:hint="default" w:ascii="Times New Roman" w:hAnsi="Times New Roman" w:eastAsia="仿宋_GB2312" w:cs="Times New Roman"/>
          <w:i w:val="0"/>
          <w:iCs w:val="0"/>
          <w:caps w:val="0"/>
          <w:color w:val="auto"/>
          <w:spacing w:val="0"/>
          <w:sz w:val="32"/>
          <w:szCs w:val="32"/>
          <w:u w:val="none"/>
          <w:shd w:val="clear" w:fill="FFFFFF"/>
        </w:rPr>
        <w:t>公共厕所便民服务水平，合理布局，建设数量充足的城</w:t>
      </w:r>
      <w:r>
        <w:rPr>
          <w:rFonts w:hint="default" w:ascii="Times New Roman" w:hAnsi="Times New Roman" w:eastAsia="仿宋_GB2312" w:cs="Times New Roman"/>
          <w:i w:val="0"/>
          <w:iCs w:val="0"/>
          <w:caps w:val="0"/>
          <w:color w:val="auto"/>
          <w:spacing w:val="0"/>
          <w:sz w:val="32"/>
          <w:szCs w:val="32"/>
          <w:u w:val="none"/>
          <w:shd w:val="clear" w:fill="FFFFFF"/>
          <w:lang w:eastAsia="zh-CN"/>
        </w:rPr>
        <w:t>市</w:t>
      </w:r>
      <w:r>
        <w:rPr>
          <w:rFonts w:hint="default" w:ascii="Times New Roman" w:hAnsi="Times New Roman" w:eastAsia="仿宋_GB2312" w:cs="Times New Roman"/>
          <w:i w:val="0"/>
          <w:iCs w:val="0"/>
          <w:caps w:val="0"/>
          <w:color w:val="auto"/>
          <w:spacing w:val="0"/>
          <w:sz w:val="32"/>
          <w:szCs w:val="32"/>
          <w:u w:val="none"/>
          <w:shd w:val="clear" w:fill="FFFFFF"/>
        </w:rPr>
        <w:t>公厕，加大老旧公厕改造力度，新建和改造公厕全部达到二类以上，加强城</w:t>
      </w:r>
      <w:r>
        <w:rPr>
          <w:rFonts w:hint="default" w:ascii="Times New Roman" w:hAnsi="Times New Roman" w:eastAsia="仿宋_GB2312" w:cs="Times New Roman"/>
          <w:i w:val="0"/>
          <w:iCs w:val="0"/>
          <w:caps w:val="0"/>
          <w:color w:val="auto"/>
          <w:spacing w:val="0"/>
          <w:sz w:val="32"/>
          <w:szCs w:val="32"/>
          <w:u w:val="none"/>
          <w:shd w:val="clear" w:fill="FFFFFF"/>
          <w:lang w:eastAsia="zh-CN"/>
        </w:rPr>
        <w:t>市</w:t>
      </w:r>
      <w:r>
        <w:rPr>
          <w:rFonts w:hint="default" w:ascii="Times New Roman" w:hAnsi="Times New Roman" w:eastAsia="仿宋_GB2312" w:cs="Times New Roman"/>
          <w:i w:val="0"/>
          <w:iCs w:val="0"/>
          <w:caps w:val="0"/>
          <w:color w:val="auto"/>
          <w:spacing w:val="0"/>
          <w:sz w:val="32"/>
          <w:szCs w:val="32"/>
          <w:u w:val="none"/>
          <w:shd w:val="clear" w:fill="FFFFFF"/>
        </w:rPr>
        <w:t>公厕日常管护，缓解如厕难，为新就业形态劳动者提供工作生活便利。</w:t>
      </w:r>
      <w:r>
        <w:rPr>
          <w:rFonts w:hint="default" w:ascii="楷体_GB2312" w:hAnsi="楷体_GB2312" w:eastAsia="楷体_GB2312" w:cs="楷体_GB2312"/>
          <w:i w:val="0"/>
          <w:iCs w:val="0"/>
          <w:caps w:val="0"/>
          <w:color w:val="auto"/>
          <w:spacing w:val="0"/>
          <w:sz w:val="32"/>
          <w:szCs w:val="32"/>
          <w:u w:val="none"/>
          <w:shd w:val="clear" w:fill="FFFFFF"/>
        </w:rPr>
        <w:t>（牵头单位：</w:t>
      </w:r>
      <w:r>
        <w:rPr>
          <w:rFonts w:hint="default" w:ascii="楷体_GB2312" w:hAnsi="楷体_GB2312" w:eastAsia="楷体_GB2312" w:cs="楷体_GB2312"/>
          <w:i w:val="0"/>
          <w:iCs w:val="0"/>
          <w:caps w:val="0"/>
          <w:color w:val="auto"/>
          <w:spacing w:val="0"/>
          <w:sz w:val="32"/>
          <w:szCs w:val="32"/>
          <w:u w:val="none"/>
          <w:shd w:val="clear" w:fill="FFFFFF"/>
          <w:lang w:eastAsia="zh-CN"/>
        </w:rPr>
        <w:t>县综合行政执法</w:t>
      </w:r>
      <w:r>
        <w:rPr>
          <w:rFonts w:hint="default" w:ascii="楷体_GB2312" w:hAnsi="楷体_GB2312" w:eastAsia="楷体_GB2312" w:cs="楷体_GB2312"/>
          <w:i w:val="0"/>
          <w:iCs w:val="0"/>
          <w:caps w:val="0"/>
          <w:color w:val="auto"/>
          <w:spacing w:val="0"/>
          <w:sz w:val="32"/>
          <w:szCs w:val="32"/>
          <w:u w:val="none"/>
          <w:shd w:val="clear" w:fill="FFFFFF"/>
        </w:rPr>
        <w:t>局、</w:t>
      </w:r>
      <w:r>
        <w:rPr>
          <w:rFonts w:hint="default" w:ascii="楷体_GB2312" w:hAnsi="楷体_GB2312" w:eastAsia="楷体_GB2312" w:cs="楷体_GB2312"/>
          <w:i w:val="0"/>
          <w:iCs w:val="0"/>
          <w:caps w:val="0"/>
          <w:color w:val="auto"/>
          <w:spacing w:val="0"/>
          <w:sz w:val="32"/>
          <w:szCs w:val="32"/>
          <w:u w:val="none"/>
          <w:shd w:val="clear" w:fill="FFFFFF"/>
          <w:lang w:eastAsia="zh-CN"/>
        </w:rPr>
        <w:t>县</w:t>
      </w:r>
      <w:r>
        <w:rPr>
          <w:rFonts w:hint="default" w:ascii="楷体_GB2312" w:hAnsi="楷体_GB2312" w:eastAsia="楷体_GB2312" w:cs="楷体_GB2312"/>
          <w:i w:val="0"/>
          <w:iCs w:val="0"/>
          <w:caps w:val="0"/>
          <w:color w:val="auto"/>
          <w:spacing w:val="0"/>
          <w:sz w:val="32"/>
          <w:szCs w:val="32"/>
          <w:u w:val="none"/>
          <w:shd w:val="clear" w:fill="FFFFFF"/>
        </w:rPr>
        <w:t>住房城乡建设局）</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left"/>
        <w:textAlignment w:val="auto"/>
        <w:rPr>
          <w:rFonts w:hint="eastAsia" w:ascii="楷体_GB2312" w:hAnsi="楷体_GB2312" w:eastAsia="楷体_GB2312" w:cs="楷体_GB2312"/>
          <w:i w:val="0"/>
          <w:iCs w:val="0"/>
          <w:caps w:val="0"/>
          <w:color w:val="auto"/>
          <w:spacing w:val="0"/>
          <w:sz w:val="32"/>
          <w:szCs w:val="32"/>
          <w:u w:val="none"/>
          <w:shd w:val="clear" w:fill="FFFFFF"/>
        </w:rPr>
      </w:pPr>
      <w:r>
        <w:rPr>
          <w:rFonts w:hint="default" w:ascii="楷体_GB2312" w:hAnsi="楷体_GB2312" w:eastAsia="楷体_GB2312" w:cs="楷体_GB2312"/>
          <w:i w:val="0"/>
          <w:iCs w:val="0"/>
          <w:caps w:val="0"/>
          <w:color w:val="auto"/>
          <w:spacing w:val="0"/>
          <w:sz w:val="32"/>
          <w:szCs w:val="32"/>
          <w:u w:val="none"/>
          <w:shd w:val="clear" w:fill="FFFFFF"/>
        </w:rPr>
        <w:t>（十四）优化文化教育供给服务。</w:t>
      </w:r>
      <w:r>
        <w:rPr>
          <w:rFonts w:hint="default" w:ascii="Times New Roman" w:hAnsi="Times New Roman" w:eastAsia="仿宋_GB2312" w:cs="Times New Roman"/>
          <w:i w:val="0"/>
          <w:iCs w:val="0"/>
          <w:caps w:val="0"/>
          <w:color w:val="auto"/>
          <w:spacing w:val="0"/>
          <w:sz w:val="32"/>
          <w:szCs w:val="32"/>
          <w:u w:val="none"/>
          <w:shd w:val="clear" w:fill="FFFFFF"/>
        </w:rPr>
        <w:t>教育</w:t>
      </w:r>
      <w:r>
        <w:rPr>
          <w:rFonts w:hint="default" w:ascii="Times New Roman" w:hAnsi="Times New Roman" w:eastAsia="仿宋_GB2312" w:cs="Times New Roman"/>
          <w:i w:val="0"/>
          <w:iCs w:val="0"/>
          <w:caps w:val="0"/>
          <w:color w:val="auto"/>
          <w:spacing w:val="0"/>
          <w:sz w:val="32"/>
          <w:szCs w:val="32"/>
          <w:u w:val="none"/>
          <w:shd w:val="clear" w:fill="FFFFFF"/>
          <w:lang w:eastAsia="zh-CN"/>
        </w:rPr>
        <w:t>主管</w:t>
      </w:r>
      <w:r>
        <w:rPr>
          <w:rFonts w:hint="default" w:ascii="Times New Roman" w:hAnsi="Times New Roman" w:eastAsia="仿宋_GB2312" w:cs="Times New Roman"/>
          <w:i w:val="0"/>
          <w:iCs w:val="0"/>
          <w:caps w:val="0"/>
          <w:color w:val="auto"/>
          <w:spacing w:val="0"/>
          <w:sz w:val="32"/>
          <w:szCs w:val="32"/>
          <w:u w:val="none"/>
          <w:shd w:val="clear" w:fill="FFFFFF"/>
        </w:rPr>
        <w:t>部门落实以居住地为主的入学政策，保障符合条件的新就业形态劳动者子女在常住地平等接受义务教育的权利。持续推动村（社区）综合性文化服务中心、乡镇文化站向劳动者免费开放，不断提升文化馆、博物馆、图书馆等公共文化设施免费开放的服务质量。以加强文艺骨干培训、提升文化活动品牌影响、宣传推广非物质文化遗产保护等工作为抓手，不断丰富公共文化产品供给。全</w:t>
      </w:r>
      <w:r>
        <w:rPr>
          <w:rFonts w:hint="default" w:ascii="Times New Roman" w:hAnsi="Times New Roman" w:eastAsia="仿宋_GB2312" w:cs="Times New Roman"/>
          <w:i w:val="0"/>
          <w:iCs w:val="0"/>
          <w:caps w:val="0"/>
          <w:color w:val="auto"/>
          <w:spacing w:val="0"/>
          <w:sz w:val="32"/>
          <w:szCs w:val="32"/>
          <w:u w:val="none"/>
          <w:shd w:val="clear" w:fill="FFFFFF"/>
          <w:lang w:eastAsia="zh-CN"/>
        </w:rPr>
        <w:t>县</w:t>
      </w:r>
      <w:r>
        <w:rPr>
          <w:rFonts w:hint="default" w:ascii="Times New Roman" w:hAnsi="Times New Roman" w:eastAsia="仿宋_GB2312" w:cs="Times New Roman"/>
          <w:i w:val="0"/>
          <w:iCs w:val="0"/>
          <w:caps w:val="0"/>
          <w:color w:val="auto"/>
          <w:spacing w:val="0"/>
          <w:sz w:val="32"/>
          <w:szCs w:val="32"/>
          <w:u w:val="none"/>
          <w:shd w:val="clear" w:fill="FFFFFF"/>
        </w:rPr>
        <w:t>公共体育场馆向劳动者免费或低收费开放，所有体育部门投建的体育场地、体育设施全部免费向劳动者开放。</w:t>
      </w:r>
      <w:r>
        <w:rPr>
          <w:rFonts w:hint="default" w:ascii="楷体_GB2312" w:hAnsi="楷体_GB2312" w:eastAsia="楷体_GB2312" w:cs="楷体_GB2312"/>
          <w:i w:val="0"/>
          <w:iCs w:val="0"/>
          <w:caps w:val="0"/>
          <w:color w:val="auto"/>
          <w:spacing w:val="0"/>
          <w:sz w:val="32"/>
          <w:szCs w:val="32"/>
          <w:u w:val="none"/>
          <w:shd w:val="clear" w:fill="FFFFFF"/>
        </w:rPr>
        <w:t>（</w:t>
      </w:r>
      <w:r>
        <w:rPr>
          <w:rFonts w:hint="eastAsia" w:ascii="楷体_GB2312" w:hAnsi="楷体_GB2312" w:eastAsia="楷体_GB2312" w:cs="楷体_GB2312"/>
          <w:i w:val="0"/>
          <w:iCs w:val="0"/>
          <w:caps w:val="0"/>
          <w:color w:val="auto"/>
          <w:spacing w:val="0"/>
          <w:sz w:val="32"/>
          <w:szCs w:val="32"/>
          <w:u w:val="none"/>
          <w:shd w:val="clear" w:fill="FFFFFF"/>
        </w:rPr>
        <w:t>牵头单位：</w:t>
      </w:r>
      <w:r>
        <w:rPr>
          <w:rFonts w:hint="eastAsia" w:ascii="楷体_GB2312" w:hAnsi="楷体_GB2312" w:eastAsia="楷体_GB2312" w:cs="楷体_GB2312"/>
          <w:i w:val="0"/>
          <w:iCs w:val="0"/>
          <w:caps w:val="0"/>
          <w:color w:val="auto"/>
          <w:spacing w:val="0"/>
          <w:sz w:val="32"/>
          <w:szCs w:val="32"/>
          <w:u w:val="none"/>
          <w:shd w:val="clear" w:fill="FFFFFF"/>
          <w:lang w:eastAsia="zh-CN"/>
        </w:rPr>
        <w:t>县</w:t>
      </w:r>
      <w:r>
        <w:rPr>
          <w:rFonts w:hint="eastAsia" w:ascii="楷体_GB2312" w:hAnsi="楷体_GB2312" w:eastAsia="楷体_GB2312" w:cs="楷体_GB2312"/>
          <w:i w:val="0"/>
          <w:iCs w:val="0"/>
          <w:caps w:val="0"/>
          <w:color w:val="auto"/>
          <w:spacing w:val="0"/>
          <w:sz w:val="32"/>
          <w:szCs w:val="32"/>
          <w:u w:val="none"/>
          <w:shd w:val="clear" w:fill="FFFFFF"/>
        </w:rPr>
        <w:t>教育体育局、</w:t>
      </w:r>
      <w:r>
        <w:rPr>
          <w:rFonts w:hint="eastAsia" w:ascii="楷体_GB2312" w:hAnsi="楷体_GB2312" w:eastAsia="楷体_GB2312" w:cs="楷体_GB2312"/>
          <w:i w:val="0"/>
          <w:iCs w:val="0"/>
          <w:caps w:val="0"/>
          <w:color w:val="auto"/>
          <w:spacing w:val="0"/>
          <w:sz w:val="32"/>
          <w:szCs w:val="32"/>
          <w:u w:val="none"/>
          <w:shd w:val="clear" w:fill="FFFFFF"/>
          <w:lang w:eastAsia="zh-CN"/>
        </w:rPr>
        <w:t>县</w:t>
      </w:r>
      <w:r>
        <w:rPr>
          <w:rFonts w:hint="eastAsia" w:ascii="楷体_GB2312" w:hAnsi="楷体_GB2312" w:eastAsia="楷体_GB2312" w:cs="楷体_GB2312"/>
          <w:i w:val="0"/>
          <w:iCs w:val="0"/>
          <w:caps w:val="0"/>
          <w:color w:val="auto"/>
          <w:spacing w:val="0"/>
          <w:sz w:val="32"/>
          <w:szCs w:val="32"/>
          <w:u w:val="none"/>
          <w:shd w:val="clear" w:fill="FFFFFF"/>
        </w:rPr>
        <w:t>文化和旅游局）</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left"/>
        <w:textAlignment w:val="auto"/>
        <w:rPr>
          <w:rFonts w:hint="eastAsia" w:ascii="黑体" w:hAnsi="黑体" w:eastAsia="黑体" w:cs="黑体"/>
          <w:i w:val="0"/>
          <w:iCs w:val="0"/>
          <w:caps w:val="0"/>
          <w:color w:val="auto"/>
          <w:spacing w:val="0"/>
          <w:sz w:val="32"/>
          <w:szCs w:val="32"/>
          <w:u w:val="none"/>
        </w:rPr>
      </w:pPr>
      <w:r>
        <w:rPr>
          <w:rFonts w:hint="eastAsia" w:ascii="黑体" w:hAnsi="黑体" w:eastAsia="黑体" w:cs="黑体"/>
          <w:i w:val="0"/>
          <w:iCs w:val="0"/>
          <w:caps w:val="0"/>
          <w:color w:val="auto"/>
          <w:spacing w:val="0"/>
          <w:sz w:val="32"/>
          <w:szCs w:val="32"/>
          <w:u w:val="none"/>
          <w:shd w:val="clear" w:fill="FFFFFF"/>
        </w:rPr>
        <w:t>四、建立健全劳动者权益保障工作机制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left"/>
        <w:textAlignment w:val="auto"/>
        <w:rPr>
          <w:rFonts w:hint="default" w:ascii="楷体_GB2312" w:hAnsi="楷体_GB2312" w:eastAsia="楷体_GB2312" w:cs="楷体_GB2312"/>
          <w:i w:val="0"/>
          <w:iCs w:val="0"/>
          <w:caps w:val="0"/>
          <w:color w:val="auto"/>
          <w:spacing w:val="0"/>
          <w:sz w:val="32"/>
          <w:szCs w:val="32"/>
          <w:u w:val="none"/>
          <w:shd w:val="clear" w:fill="FFFFFF"/>
        </w:rPr>
      </w:pPr>
      <w:r>
        <w:rPr>
          <w:rFonts w:hint="eastAsia" w:ascii="楷体_GB2312" w:hAnsi="楷体_GB2312" w:eastAsia="楷体_GB2312" w:cs="楷体_GB2312"/>
          <w:i w:val="0"/>
          <w:iCs w:val="0"/>
          <w:caps w:val="0"/>
          <w:color w:val="auto"/>
          <w:spacing w:val="0"/>
          <w:sz w:val="32"/>
          <w:szCs w:val="32"/>
          <w:u w:val="none"/>
          <w:shd w:val="clear" w:fill="FFFFFF"/>
        </w:rPr>
        <w:t>（十五）完善部门协同治理机制。</w:t>
      </w:r>
      <w:r>
        <w:rPr>
          <w:rFonts w:hint="default" w:ascii="Times New Roman" w:hAnsi="Times New Roman" w:eastAsia="仿宋_GB2312" w:cs="Times New Roman"/>
          <w:i w:val="0"/>
          <w:iCs w:val="0"/>
          <w:caps w:val="0"/>
          <w:color w:val="auto"/>
          <w:spacing w:val="0"/>
          <w:sz w:val="32"/>
          <w:szCs w:val="32"/>
          <w:u w:val="none"/>
          <w:shd w:val="clear" w:fill="FFFFFF"/>
        </w:rPr>
        <w:t>保障新就业形态劳动者权益是稳定就业、改善民生、加强社会治理的重要内容。人力资源社会保障、发展改革、城</w:t>
      </w:r>
      <w:r>
        <w:rPr>
          <w:rFonts w:hint="default" w:ascii="Times New Roman" w:hAnsi="Times New Roman" w:eastAsia="仿宋_GB2312" w:cs="Times New Roman"/>
          <w:i w:val="0"/>
          <w:iCs w:val="0"/>
          <w:caps w:val="0"/>
          <w:color w:val="auto"/>
          <w:spacing w:val="0"/>
          <w:sz w:val="32"/>
          <w:szCs w:val="32"/>
          <w:u w:val="none"/>
          <w:shd w:val="clear" w:fill="FFFFFF"/>
          <w:lang w:eastAsia="zh-CN"/>
        </w:rPr>
        <w:t>市</w:t>
      </w:r>
      <w:r>
        <w:rPr>
          <w:rFonts w:hint="default" w:ascii="Times New Roman" w:hAnsi="Times New Roman" w:eastAsia="仿宋_GB2312" w:cs="Times New Roman"/>
          <w:i w:val="0"/>
          <w:iCs w:val="0"/>
          <w:caps w:val="0"/>
          <w:color w:val="auto"/>
          <w:spacing w:val="0"/>
          <w:sz w:val="32"/>
          <w:szCs w:val="32"/>
          <w:u w:val="none"/>
          <w:shd w:val="clear" w:fill="FFFFFF"/>
        </w:rPr>
        <w:t>管理、教育</w:t>
      </w:r>
      <w:r>
        <w:rPr>
          <w:rFonts w:hint="default" w:ascii="Times New Roman" w:hAnsi="Times New Roman" w:eastAsia="仿宋_GB2312" w:cs="Times New Roman"/>
          <w:i w:val="0"/>
          <w:iCs w:val="0"/>
          <w:caps w:val="0"/>
          <w:color w:val="auto"/>
          <w:spacing w:val="0"/>
          <w:sz w:val="32"/>
          <w:szCs w:val="32"/>
          <w:u w:val="none"/>
          <w:shd w:val="clear" w:fill="FFFFFF"/>
          <w:lang w:eastAsia="zh-CN"/>
        </w:rPr>
        <w:t>体育</w:t>
      </w:r>
      <w:r>
        <w:rPr>
          <w:rFonts w:hint="default" w:ascii="Times New Roman" w:hAnsi="Times New Roman" w:eastAsia="仿宋_GB2312" w:cs="Times New Roman"/>
          <w:i w:val="0"/>
          <w:iCs w:val="0"/>
          <w:caps w:val="0"/>
          <w:color w:val="auto"/>
          <w:spacing w:val="0"/>
          <w:sz w:val="32"/>
          <w:szCs w:val="32"/>
          <w:u w:val="none"/>
          <w:shd w:val="clear" w:fill="FFFFFF"/>
        </w:rPr>
        <w:t>、住房城乡建设、交通运输、文化和旅游、卫生健康、应急管理、</w:t>
      </w:r>
      <w:r>
        <w:rPr>
          <w:rFonts w:hint="default" w:ascii="Times New Roman" w:hAnsi="Times New Roman" w:eastAsia="仿宋_GB2312" w:cs="Times New Roman"/>
          <w:i w:val="0"/>
          <w:iCs w:val="0"/>
          <w:caps w:val="0"/>
          <w:color w:val="auto"/>
          <w:spacing w:val="0"/>
          <w:sz w:val="32"/>
          <w:szCs w:val="32"/>
          <w:u w:val="none"/>
          <w:shd w:val="clear" w:fill="FFFFFF"/>
          <w:lang w:eastAsia="zh-CN"/>
        </w:rPr>
        <w:t>市</w:t>
      </w:r>
      <w:r>
        <w:rPr>
          <w:rFonts w:hint="default" w:ascii="Times New Roman" w:hAnsi="Times New Roman" w:eastAsia="仿宋_GB2312" w:cs="Times New Roman"/>
          <w:i w:val="0"/>
          <w:iCs w:val="0"/>
          <w:caps w:val="0"/>
          <w:color w:val="auto"/>
          <w:spacing w:val="0"/>
          <w:sz w:val="32"/>
          <w:szCs w:val="32"/>
          <w:u w:val="none"/>
          <w:shd w:val="clear" w:fill="FFFFFF"/>
        </w:rPr>
        <w:t>场监管、医保、税务、人民法院、工会等部门和单位要认真履行职责，强化工作协同，</w:t>
      </w:r>
      <w:r>
        <w:rPr>
          <w:rFonts w:hint="default" w:ascii="Times New Roman" w:hAnsi="Times New Roman" w:eastAsia="仿宋_GB2312" w:cs="Times New Roman"/>
          <w:i w:val="0"/>
          <w:iCs w:val="0"/>
          <w:caps w:val="0"/>
          <w:color w:val="auto"/>
          <w:spacing w:val="0"/>
          <w:sz w:val="32"/>
          <w:szCs w:val="32"/>
          <w:u w:val="none"/>
          <w:shd w:val="clear" w:fill="FFFFFF"/>
          <w:lang w:eastAsia="zh-CN"/>
        </w:rPr>
        <w:t>逐步</w:t>
      </w:r>
      <w:r>
        <w:rPr>
          <w:rFonts w:hint="default" w:ascii="Times New Roman" w:hAnsi="Times New Roman" w:eastAsia="仿宋_GB2312" w:cs="Times New Roman"/>
          <w:i w:val="0"/>
          <w:iCs w:val="0"/>
          <w:caps w:val="0"/>
          <w:color w:val="auto"/>
          <w:spacing w:val="0"/>
          <w:sz w:val="32"/>
          <w:szCs w:val="32"/>
          <w:u w:val="none"/>
          <w:shd w:val="clear" w:fill="FFFFFF"/>
        </w:rPr>
        <w:t>将保障劳动者权益纳入数字经济协同治理体系，建立</w:t>
      </w:r>
      <w:r>
        <w:rPr>
          <w:rFonts w:hint="default" w:ascii="Times New Roman" w:hAnsi="Times New Roman" w:eastAsia="仿宋_GB2312" w:cs="Times New Roman"/>
          <w:b w:val="0"/>
          <w:bCs w:val="0"/>
          <w:i w:val="0"/>
          <w:iCs w:val="0"/>
          <w:caps w:val="0"/>
          <w:color w:val="auto"/>
          <w:spacing w:val="0"/>
          <w:sz w:val="32"/>
          <w:szCs w:val="32"/>
          <w:shd w:val="clear" w:fill="FFFFFF"/>
          <w:lang w:eastAsia="zh-CN"/>
        </w:rPr>
        <w:t>新业态</w:t>
      </w:r>
      <w:r>
        <w:rPr>
          <w:rFonts w:hint="default" w:ascii="Times New Roman" w:hAnsi="Times New Roman" w:eastAsia="仿宋_GB2312" w:cs="Times New Roman"/>
          <w:i w:val="0"/>
          <w:iCs w:val="0"/>
          <w:caps w:val="0"/>
          <w:color w:val="auto"/>
          <w:spacing w:val="0"/>
          <w:sz w:val="32"/>
          <w:szCs w:val="32"/>
          <w:u w:val="none"/>
          <w:shd w:val="clear" w:fill="FFFFFF"/>
        </w:rPr>
        <w:t>企业用工情况报告制度，健全劳动者权益保障联合激励惩戒机制，完善相关政策措施。</w:t>
      </w:r>
      <w:r>
        <w:rPr>
          <w:rFonts w:hint="default" w:ascii="楷体_GB2312" w:hAnsi="楷体_GB2312" w:eastAsia="楷体_GB2312" w:cs="楷体_GB2312"/>
          <w:i w:val="0"/>
          <w:iCs w:val="0"/>
          <w:caps w:val="0"/>
          <w:color w:val="auto"/>
          <w:spacing w:val="0"/>
          <w:sz w:val="32"/>
          <w:szCs w:val="32"/>
          <w:u w:val="none"/>
          <w:shd w:val="clear" w:fill="FFFFFF"/>
        </w:rPr>
        <w:t>（牵头单位：</w:t>
      </w:r>
      <w:r>
        <w:rPr>
          <w:rFonts w:hint="default" w:ascii="楷体_GB2312" w:hAnsi="楷体_GB2312" w:eastAsia="楷体_GB2312" w:cs="楷体_GB2312"/>
          <w:i w:val="0"/>
          <w:iCs w:val="0"/>
          <w:caps w:val="0"/>
          <w:color w:val="auto"/>
          <w:spacing w:val="0"/>
          <w:sz w:val="32"/>
          <w:szCs w:val="32"/>
          <w:u w:val="none"/>
          <w:shd w:val="clear" w:fill="FFFFFF"/>
          <w:lang w:eastAsia="zh-CN"/>
        </w:rPr>
        <w:t>县</w:t>
      </w:r>
      <w:r>
        <w:rPr>
          <w:rFonts w:hint="default" w:ascii="楷体_GB2312" w:hAnsi="楷体_GB2312" w:eastAsia="楷体_GB2312" w:cs="楷体_GB2312"/>
          <w:i w:val="0"/>
          <w:iCs w:val="0"/>
          <w:caps w:val="0"/>
          <w:color w:val="auto"/>
          <w:spacing w:val="0"/>
          <w:sz w:val="32"/>
          <w:szCs w:val="32"/>
          <w:u w:val="none"/>
          <w:shd w:val="clear" w:fill="FFFFFF"/>
        </w:rPr>
        <w:t>人力资源社会保障局、</w:t>
      </w:r>
      <w:r>
        <w:rPr>
          <w:rFonts w:hint="default" w:ascii="楷体_GB2312" w:hAnsi="楷体_GB2312" w:eastAsia="楷体_GB2312" w:cs="楷体_GB2312"/>
          <w:i w:val="0"/>
          <w:iCs w:val="0"/>
          <w:caps w:val="0"/>
          <w:color w:val="auto"/>
          <w:spacing w:val="0"/>
          <w:sz w:val="32"/>
          <w:szCs w:val="32"/>
          <w:u w:val="none"/>
          <w:shd w:val="clear" w:fill="FFFFFF"/>
          <w:lang w:eastAsia="zh-CN"/>
        </w:rPr>
        <w:t>县</w:t>
      </w:r>
      <w:r>
        <w:rPr>
          <w:rFonts w:hint="default" w:ascii="楷体_GB2312" w:hAnsi="楷体_GB2312" w:eastAsia="楷体_GB2312" w:cs="楷体_GB2312"/>
          <w:i w:val="0"/>
          <w:iCs w:val="0"/>
          <w:caps w:val="0"/>
          <w:color w:val="auto"/>
          <w:spacing w:val="0"/>
          <w:sz w:val="32"/>
          <w:szCs w:val="32"/>
          <w:u w:val="none"/>
          <w:shd w:val="clear" w:fill="FFFFFF"/>
        </w:rPr>
        <w:t>直各有关部门）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firstLine="419" w:firstLineChars="131"/>
        <w:jc w:val="left"/>
        <w:textAlignment w:val="auto"/>
        <w:rPr>
          <w:rFonts w:hint="default" w:ascii="楷体_GB2312" w:hAnsi="楷体_GB2312" w:eastAsia="楷体_GB2312" w:cs="楷体_GB2312"/>
          <w:i w:val="0"/>
          <w:iCs w:val="0"/>
          <w:caps w:val="0"/>
          <w:color w:val="auto"/>
          <w:spacing w:val="0"/>
          <w:sz w:val="32"/>
          <w:szCs w:val="32"/>
          <w:u w:val="none"/>
          <w:shd w:val="clear" w:fill="FFFFFF"/>
        </w:rPr>
      </w:pPr>
      <w:r>
        <w:rPr>
          <w:rFonts w:hint="default" w:ascii="楷体_GB2312" w:hAnsi="楷体_GB2312" w:eastAsia="楷体_GB2312" w:cs="楷体_GB2312"/>
          <w:i w:val="0"/>
          <w:iCs w:val="0"/>
          <w:caps w:val="0"/>
          <w:color w:val="auto"/>
          <w:spacing w:val="0"/>
          <w:sz w:val="32"/>
          <w:szCs w:val="32"/>
          <w:u w:val="none"/>
          <w:shd w:val="clear" w:fill="FFFFFF"/>
        </w:rPr>
        <w:t>（十六）拓宽工会组织维权和服务范围。</w:t>
      </w:r>
      <w:r>
        <w:rPr>
          <w:rFonts w:hint="default" w:ascii="Times New Roman" w:hAnsi="Times New Roman" w:eastAsia="仿宋_GB2312" w:cs="Times New Roman"/>
          <w:i w:val="0"/>
          <w:iCs w:val="0"/>
          <w:caps w:val="0"/>
          <w:color w:val="auto"/>
          <w:spacing w:val="0"/>
          <w:sz w:val="32"/>
          <w:szCs w:val="32"/>
          <w:u w:val="none"/>
          <w:shd w:val="clear" w:fill="FFFFFF"/>
        </w:rPr>
        <w:t>积极吸纳新就业形态劳动者加入工会，</w:t>
      </w:r>
      <w:r>
        <w:rPr>
          <w:rFonts w:hint="default" w:ascii="Times New Roman" w:hAnsi="Times New Roman" w:eastAsia="仿宋_GB2312" w:cs="Times New Roman"/>
          <w:i w:val="0"/>
          <w:iCs w:val="0"/>
          <w:caps w:val="0"/>
          <w:color w:val="auto"/>
          <w:spacing w:val="0"/>
          <w:sz w:val="32"/>
          <w:szCs w:val="32"/>
          <w:u w:val="none"/>
          <w:shd w:val="clear" w:fill="FFFFFF"/>
          <w:lang w:eastAsia="zh-CN"/>
        </w:rPr>
        <w:t>尽快</w:t>
      </w:r>
      <w:r>
        <w:rPr>
          <w:rFonts w:hint="default" w:ascii="Times New Roman" w:hAnsi="Times New Roman" w:eastAsia="仿宋_GB2312" w:cs="Times New Roman"/>
          <w:i w:val="0"/>
          <w:iCs w:val="0"/>
          <w:caps w:val="0"/>
          <w:color w:val="auto"/>
          <w:spacing w:val="0"/>
          <w:sz w:val="32"/>
          <w:szCs w:val="32"/>
          <w:u w:val="none"/>
          <w:shd w:val="clear" w:fill="FFFFFF"/>
        </w:rPr>
        <w:t>建立行业性工会联合会</w:t>
      </w:r>
      <w:r>
        <w:rPr>
          <w:rFonts w:hint="default" w:ascii="Times New Roman" w:hAnsi="Times New Roman" w:eastAsia="仿宋_GB2312" w:cs="Times New Roman"/>
          <w:i w:val="0"/>
          <w:iCs w:val="0"/>
          <w:caps w:val="0"/>
          <w:color w:val="auto"/>
          <w:spacing w:val="0"/>
          <w:sz w:val="32"/>
          <w:szCs w:val="32"/>
          <w:u w:val="none"/>
          <w:shd w:val="clear" w:fill="FFFFFF"/>
          <w:lang w:eastAsia="zh-CN"/>
        </w:rPr>
        <w:t>并</w:t>
      </w:r>
      <w:r>
        <w:rPr>
          <w:rFonts w:hint="default" w:ascii="Times New Roman" w:hAnsi="Times New Roman" w:eastAsia="仿宋_GB2312" w:cs="Times New Roman"/>
          <w:i w:val="0"/>
          <w:iCs w:val="0"/>
          <w:caps w:val="0"/>
          <w:color w:val="auto"/>
          <w:spacing w:val="0"/>
          <w:sz w:val="32"/>
          <w:szCs w:val="32"/>
          <w:u w:val="none"/>
          <w:shd w:val="clear" w:fill="FFFFFF"/>
        </w:rPr>
        <w:t>吸收会员</w:t>
      </w:r>
      <w:r>
        <w:rPr>
          <w:rFonts w:hint="default" w:ascii="Times New Roman" w:hAnsi="Times New Roman" w:eastAsia="仿宋_GB2312" w:cs="Times New Roman"/>
          <w:i w:val="0"/>
          <w:iCs w:val="0"/>
          <w:caps w:val="0"/>
          <w:color w:val="auto"/>
          <w:spacing w:val="0"/>
          <w:sz w:val="32"/>
          <w:szCs w:val="32"/>
          <w:u w:val="none"/>
          <w:shd w:val="clear" w:fill="FFFFFF"/>
          <w:lang w:eastAsia="zh-CN"/>
        </w:rPr>
        <w:t>。</w:t>
      </w:r>
      <w:r>
        <w:rPr>
          <w:rFonts w:hint="default" w:ascii="Times New Roman" w:hAnsi="Times New Roman" w:eastAsia="仿宋_GB2312" w:cs="Times New Roman"/>
          <w:i w:val="0"/>
          <w:iCs w:val="0"/>
          <w:caps w:val="0"/>
          <w:color w:val="auto"/>
          <w:spacing w:val="0"/>
          <w:sz w:val="32"/>
          <w:szCs w:val="32"/>
          <w:u w:val="none"/>
          <w:shd w:val="clear" w:fill="FFFFFF"/>
        </w:rPr>
        <w:t>指导快递龙头企业成立工会组织，实现快递员新增</w:t>
      </w:r>
      <w:r>
        <w:rPr>
          <w:rFonts w:hint="default" w:ascii="Times New Roman" w:hAnsi="Times New Roman" w:eastAsia="仿宋_GB2312" w:cs="Times New Roman"/>
          <w:i w:val="0"/>
          <w:iCs w:val="0"/>
          <w:caps w:val="0"/>
          <w:color w:val="auto"/>
          <w:spacing w:val="0"/>
          <w:sz w:val="32"/>
          <w:szCs w:val="32"/>
          <w:u w:val="none"/>
          <w:shd w:val="clear" w:fill="FFFFFF"/>
          <w:lang w:eastAsia="zh-CN"/>
        </w:rPr>
        <w:t>批量</w:t>
      </w:r>
      <w:r>
        <w:rPr>
          <w:rFonts w:hint="default" w:ascii="Times New Roman" w:hAnsi="Times New Roman" w:eastAsia="仿宋_GB2312" w:cs="Times New Roman"/>
          <w:i w:val="0"/>
          <w:iCs w:val="0"/>
          <w:caps w:val="0"/>
          <w:color w:val="auto"/>
          <w:spacing w:val="0"/>
          <w:sz w:val="32"/>
          <w:szCs w:val="32"/>
          <w:u w:val="none"/>
          <w:shd w:val="clear" w:fill="FFFFFF"/>
        </w:rPr>
        <w:t>会员</w:t>
      </w:r>
      <w:r>
        <w:rPr>
          <w:rFonts w:hint="default" w:ascii="Times New Roman" w:hAnsi="Times New Roman" w:eastAsia="仿宋_GB2312" w:cs="Times New Roman"/>
          <w:i w:val="0"/>
          <w:iCs w:val="0"/>
          <w:caps w:val="0"/>
          <w:color w:val="auto"/>
          <w:spacing w:val="0"/>
          <w:sz w:val="32"/>
          <w:szCs w:val="32"/>
          <w:u w:val="none"/>
          <w:shd w:val="clear" w:fill="FFFFFF"/>
          <w:lang w:eastAsia="zh-CN"/>
        </w:rPr>
        <w:t>。</w:t>
      </w:r>
      <w:r>
        <w:rPr>
          <w:rFonts w:hint="default" w:ascii="Times New Roman" w:hAnsi="Times New Roman" w:eastAsia="仿宋_GB2312" w:cs="Times New Roman"/>
          <w:i w:val="0"/>
          <w:iCs w:val="0"/>
          <w:caps w:val="0"/>
          <w:color w:val="auto"/>
          <w:spacing w:val="0"/>
          <w:sz w:val="32"/>
          <w:szCs w:val="32"/>
          <w:u w:val="none"/>
          <w:shd w:val="clear" w:fill="FFFFFF"/>
        </w:rPr>
        <w:t>加强对网络服务公司的引导，指导企业早日建立工会联合会，并积极发展外卖配送员入会。加强工会劳动法律监督，推进各级工会劳动法律监督组织建设，积极发挥《工会劳动法律监督意见书》《工会劳动法律监督建议书》作用，督促企业履</w:t>
      </w:r>
      <w:bookmarkStart w:id="0" w:name="_GoBack"/>
      <w:bookmarkEnd w:id="0"/>
      <w:r>
        <w:rPr>
          <w:rFonts w:hint="default" w:ascii="Times New Roman" w:hAnsi="Times New Roman" w:eastAsia="仿宋_GB2312" w:cs="Times New Roman"/>
          <w:i w:val="0"/>
          <w:iCs w:val="0"/>
          <w:caps w:val="0"/>
          <w:color w:val="auto"/>
          <w:spacing w:val="0"/>
          <w:sz w:val="32"/>
          <w:szCs w:val="32"/>
          <w:u w:val="none"/>
          <w:shd w:val="clear" w:fill="FFFFFF"/>
        </w:rPr>
        <w:t>行用工责任，维护好劳动者权益。加强对劳动者的思想政治引领，引导劳动者理性合法维权，以新业态劳动者现实需求为导向，积极提供权益维护、素质提升、法律援助等服务，开展关爱货车司机、服务外卖骑手等活动。</w:t>
      </w:r>
      <w:r>
        <w:rPr>
          <w:rFonts w:hint="default" w:ascii="楷体_GB2312" w:hAnsi="楷体_GB2312" w:eastAsia="楷体_GB2312" w:cs="楷体_GB2312"/>
          <w:i w:val="0"/>
          <w:iCs w:val="0"/>
          <w:caps w:val="0"/>
          <w:color w:val="auto"/>
          <w:spacing w:val="0"/>
          <w:sz w:val="32"/>
          <w:szCs w:val="32"/>
          <w:u w:val="none"/>
          <w:shd w:val="clear" w:fill="FFFFFF"/>
        </w:rPr>
        <w:t>（牵头单位：</w:t>
      </w:r>
      <w:r>
        <w:rPr>
          <w:rFonts w:hint="default" w:ascii="楷体_GB2312" w:hAnsi="楷体_GB2312" w:eastAsia="楷体_GB2312" w:cs="楷体_GB2312"/>
          <w:i w:val="0"/>
          <w:iCs w:val="0"/>
          <w:caps w:val="0"/>
          <w:color w:val="auto"/>
          <w:spacing w:val="0"/>
          <w:sz w:val="32"/>
          <w:szCs w:val="32"/>
          <w:u w:val="none"/>
          <w:shd w:val="clear" w:fill="FFFFFF"/>
          <w:lang w:eastAsia="zh-CN"/>
        </w:rPr>
        <w:t>县</w:t>
      </w:r>
      <w:r>
        <w:rPr>
          <w:rFonts w:hint="default" w:ascii="楷体_GB2312" w:hAnsi="楷体_GB2312" w:eastAsia="楷体_GB2312" w:cs="楷体_GB2312"/>
          <w:i w:val="0"/>
          <w:iCs w:val="0"/>
          <w:caps w:val="0"/>
          <w:color w:val="auto"/>
          <w:spacing w:val="0"/>
          <w:sz w:val="32"/>
          <w:szCs w:val="32"/>
          <w:u w:val="none"/>
          <w:shd w:val="clear" w:fill="FFFFFF"/>
        </w:rPr>
        <w:t>总工会，参加单位：</w:t>
      </w:r>
      <w:r>
        <w:rPr>
          <w:rFonts w:hint="default" w:ascii="楷体_GB2312" w:hAnsi="楷体_GB2312" w:eastAsia="楷体_GB2312" w:cs="楷体_GB2312"/>
          <w:i w:val="0"/>
          <w:iCs w:val="0"/>
          <w:caps w:val="0"/>
          <w:color w:val="auto"/>
          <w:spacing w:val="0"/>
          <w:sz w:val="32"/>
          <w:szCs w:val="32"/>
          <w:u w:val="none"/>
          <w:shd w:val="clear" w:fill="FFFFFF"/>
          <w:lang w:eastAsia="zh-CN"/>
        </w:rPr>
        <w:t>县</w:t>
      </w:r>
      <w:r>
        <w:rPr>
          <w:rFonts w:hint="default" w:ascii="楷体_GB2312" w:hAnsi="楷体_GB2312" w:eastAsia="楷体_GB2312" w:cs="楷体_GB2312"/>
          <w:i w:val="0"/>
          <w:iCs w:val="0"/>
          <w:caps w:val="0"/>
          <w:color w:val="auto"/>
          <w:spacing w:val="0"/>
          <w:sz w:val="32"/>
          <w:szCs w:val="32"/>
          <w:u w:val="none"/>
          <w:shd w:val="clear" w:fill="FFFFFF"/>
        </w:rPr>
        <w:t>人力资源社会保障局、</w:t>
      </w:r>
      <w:r>
        <w:rPr>
          <w:rFonts w:hint="default" w:ascii="楷体_GB2312" w:hAnsi="楷体_GB2312" w:eastAsia="楷体_GB2312" w:cs="楷体_GB2312"/>
          <w:i w:val="0"/>
          <w:iCs w:val="0"/>
          <w:caps w:val="0"/>
          <w:color w:val="auto"/>
          <w:spacing w:val="0"/>
          <w:sz w:val="32"/>
          <w:szCs w:val="32"/>
          <w:u w:val="none"/>
          <w:shd w:val="clear" w:fill="FFFFFF"/>
          <w:lang w:eastAsia="zh-CN"/>
        </w:rPr>
        <w:t>县</w:t>
      </w:r>
      <w:r>
        <w:rPr>
          <w:rFonts w:hint="default" w:ascii="楷体_GB2312" w:hAnsi="楷体_GB2312" w:eastAsia="楷体_GB2312" w:cs="楷体_GB2312"/>
          <w:i w:val="0"/>
          <w:iCs w:val="0"/>
          <w:caps w:val="0"/>
          <w:color w:val="auto"/>
          <w:spacing w:val="0"/>
          <w:sz w:val="32"/>
          <w:szCs w:val="32"/>
          <w:u w:val="none"/>
          <w:shd w:val="clear" w:fill="FFFFFF"/>
        </w:rPr>
        <w:t>直各行业主管部门）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firstLine="419" w:firstLineChars="131"/>
        <w:jc w:val="left"/>
        <w:textAlignment w:val="auto"/>
        <w:rPr>
          <w:rFonts w:hint="default" w:ascii="楷体_GB2312" w:hAnsi="楷体_GB2312" w:eastAsia="楷体_GB2312" w:cs="楷体_GB2312"/>
          <w:i w:val="0"/>
          <w:iCs w:val="0"/>
          <w:caps w:val="0"/>
          <w:color w:val="auto"/>
          <w:spacing w:val="0"/>
          <w:sz w:val="32"/>
          <w:szCs w:val="32"/>
          <w:u w:val="none"/>
          <w:shd w:val="clear" w:fill="FFFFFF"/>
        </w:rPr>
      </w:pPr>
      <w:r>
        <w:rPr>
          <w:rFonts w:hint="default" w:ascii="楷体_GB2312" w:hAnsi="楷体_GB2312" w:eastAsia="楷体_GB2312" w:cs="楷体_GB2312"/>
          <w:i w:val="0"/>
          <w:iCs w:val="0"/>
          <w:caps w:val="0"/>
          <w:color w:val="auto"/>
          <w:spacing w:val="0"/>
          <w:sz w:val="32"/>
          <w:szCs w:val="32"/>
          <w:u w:val="none"/>
          <w:shd w:val="clear" w:fill="FFFFFF"/>
        </w:rPr>
        <w:t>（十七）加强劳动保障权益案件处理。</w:t>
      </w:r>
      <w:r>
        <w:rPr>
          <w:rFonts w:hint="default" w:ascii="Times New Roman" w:hAnsi="Times New Roman" w:eastAsia="仿宋_GB2312" w:cs="Times New Roman"/>
          <w:i w:val="0"/>
          <w:iCs w:val="0"/>
          <w:caps w:val="0"/>
          <w:color w:val="auto"/>
          <w:spacing w:val="0"/>
          <w:sz w:val="32"/>
          <w:szCs w:val="32"/>
          <w:u w:val="none"/>
          <w:shd w:val="clear" w:fill="FFFFFF"/>
        </w:rPr>
        <w:t>法院和劳动争议调解仲裁机构、工会组织要健全完善沟通协调机制，认真落实《关于开展劳动争议调裁诉对接工作的指导意见》《关于加强劳动争议调裁诉对接工作的实施方案》要求，充分发挥非诉讼纠纷解决机制作用，将多元化纠纷解决方式作为处理新就业形态的主要手段。根据用工事实认定企业和劳动者的关系，依法依规处理新就业形态劳动者劳动保障权益案件。依托法律援助工作站（窗口），为新就业形态劳动者提供免费法律咨询、代写仲裁文书等服务。人力资源社会保障、人民法院、工会协同开展新就业形态劳动争议多元化解工作。</w:t>
      </w:r>
      <w:r>
        <w:rPr>
          <w:rFonts w:hint="default" w:ascii="Times New Roman" w:hAnsi="Times New Roman" w:eastAsia="仿宋_GB2312" w:cs="Times New Roman"/>
          <w:i w:val="0"/>
          <w:iCs w:val="0"/>
          <w:caps w:val="0"/>
          <w:color w:val="auto"/>
          <w:spacing w:val="0"/>
          <w:sz w:val="32"/>
          <w:szCs w:val="32"/>
          <w:u w:val="none"/>
          <w:shd w:val="clear" w:fill="FFFFFF"/>
          <w:lang w:eastAsia="zh-CN"/>
        </w:rPr>
        <w:t>根据行业实际</w:t>
      </w:r>
      <w:r>
        <w:rPr>
          <w:rFonts w:hint="default" w:ascii="Times New Roman" w:hAnsi="Times New Roman" w:eastAsia="仿宋_GB2312" w:cs="Times New Roman"/>
          <w:i w:val="0"/>
          <w:iCs w:val="0"/>
          <w:caps w:val="0"/>
          <w:color w:val="auto"/>
          <w:spacing w:val="0"/>
          <w:sz w:val="32"/>
          <w:szCs w:val="32"/>
          <w:u w:val="none"/>
          <w:shd w:val="clear" w:fill="FFFFFF"/>
        </w:rPr>
        <w:t>建立新就业形态行业劳动争议调解组织，对调处新业态争议的调解组织即时认证，按照《</w:t>
      </w:r>
      <w:r>
        <w:rPr>
          <w:rFonts w:hint="default" w:ascii="Times New Roman" w:hAnsi="Times New Roman" w:eastAsia="仿宋_GB2312" w:cs="Times New Roman"/>
          <w:i w:val="0"/>
          <w:iCs w:val="0"/>
          <w:caps w:val="0"/>
          <w:color w:val="auto"/>
          <w:spacing w:val="0"/>
          <w:sz w:val="32"/>
          <w:szCs w:val="32"/>
          <w:u w:val="none"/>
          <w:shd w:val="clear" w:fill="FFFFFF"/>
          <w:lang w:eastAsia="zh-CN"/>
        </w:rPr>
        <w:t>高青县</w:t>
      </w:r>
      <w:r>
        <w:rPr>
          <w:rFonts w:hint="default" w:ascii="Times New Roman" w:hAnsi="Times New Roman" w:eastAsia="仿宋_GB2312" w:cs="Times New Roman"/>
          <w:i w:val="0"/>
          <w:iCs w:val="0"/>
          <w:caps w:val="0"/>
          <w:color w:val="auto"/>
          <w:spacing w:val="0"/>
          <w:sz w:val="32"/>
          <w:szCs w:val="32"/>
          <w:u w:val="none"/>
          <w:shd w:val="clear" w:fill="FFFFFF"/>
        </w:rPr>
        <w:t>劳动争议调解办案经费补助管理办法》，对符合条件的调解员发放调解办案经费补助。</w:t>
      </w:r>
      <w:r>
        <w:rPr>
          <w:rFonts w:hint="default" w:ascii="楷体_GB2312" w:hAnsi="楷体_GB2312" w:eastAsia="楷体_GB2312" w:cs="楷体_GB2312"/>
          <w:i w:val="0"/>
          <w:iCs w:val="0"/>
          <w:caps w:val="0"/>
          <w:color w:val="auto"/>
          <w:spacing w:val="0"/>
          <w:sz w:val="32"/>
          <w:szCs w:val="32"/>
          <w:u w:val="none"/>
          <w:shd w:val="clear" w:fill="FFFFFF"/>
        </w:rPr>
        <w:t>（牵头单位：</w:t>
      </w:r>
      <w:r>
        <w:rPr>
          <w:rFonts w:hint="default" w:ascii="楷体_GB2312" w:hAnsi="楷体_GB2312" w:eastAsia="楷体_GB2312" w:cs="楷体_GB2312"/>
          <w:i w:val="0"/>
          <w:iCs w:val="0"/>
          <w:caps w:val="0"/>
          <w:color w:val="auto"/>
          <w:spacing w:val="0"/>
          <w:sz w:val="32"/>
          <w:szCs w:val="32"/>
          <w:u w:val="none"/>
          <w:shd w:val="clear" w:fill="FFFFFF"/>
          <w:lang w:eastAsia="zh-CN"/>
        </w:rPr>
        <w:t>县</w:t>
      </w:r>
      <w:r>
        <w:rPr>
          <w:rFonts w:hint="default" w:ascii="楷体_GB2312" w:hAnsi="楷体_GB2312" w:eastAsia="楷体_GB2312" w:cs="楷体_GB2312"/>
          <w:i w:val="0"/>
          <w:iCs w:val="0"/>
          <w:caps w:val="0"/>
          <w:color w:val="auto"/>
          <w:spacing w:val="0"/>
          <w:sz w:val="32"/>
          <w:szCs w:val="32"/>
          <w:u w:val="none"/>
          <w:shd w:val="clear" w:fill="FFFFFF"/>
        </w:rPr>
        <w:t>法院、</w:t>
      </w:r>
      <w:r>
        <w:rPr>
          <w:rFonts w:hint="default" w:ascii="楷体_GB2312" w:hAnsi="楷体_GB2312" w:eastAsia="楷体_GB2312" w:cs="楷体_GB2312"/>
          <w:i w:val="0"/>
          <w:iCs w:val="0"/>
          <w:caps w:val="0"/>
          <w:color w:val="auto"/>
          <w:spacing w:val="0"/>
          <w:sz w:val="32"/>
          <w:szCs w:val="32"/>
          <w:u w:val="none"/>
          <w:shd w:val="clear" w:fill="FFFFFF"/>
          <w:lang w:eastAsia="zh-CN"/>
        </w:rPr>
        <w:t>县</w:t>
      </w:r>
      <w:r>
        <w:rPr>
          <w:rFonts w:hint="default" w:ascii="楷体_GB2312" w:hAnsi="楷体_GB2312" w:eastAsia="楷体_GB2312" w:cs="楷体_GB2312"/>
          <w:i w:val="0"/>
          <w:iCs w:val="0"/>
          <w:caps w:val="0"/>
          <w:color w:val="auto"/>
          <w:spacing w:val="0"/>
          <w:sz w:val="32"/>
          <w:szCs w:val="32"/>
          <w:u w:val="none"/>
          <w:shd w:val="clear" w:fill="FFFFFF"/>
        </w:rPr>
        <w:t>人力资源社会保障局、</w:t>
      </w:r>
      <w:r>
        <w:rPr>
          <w:rFonts w:hint="default" w:ascii="楷体_GB2312" w:hAnsi="楷体_GB2312" w:eastAsia="楷体_GB2312" w:cs="楷体_GB2312"/>
          <w:i w:val="0"/>
          <w:iCs w:val="0"/>
          <w:caps w:val="0"/>
          <w:color w:val="auto"/>
          <w:spacing w:val="0"/>
          <w:sz w:val="32"/>
          <w:szCs w:val="32"/>
          <w:u w:val="none"/>
          <w:shd w:val="clear" w:fill="FFFFFF"/>
          <w:lang w:eastAsia="zh-CN"/>
        </w:rPr>
        <w:t>县</w:t>
      </w:r>
      <w:r>
        <w:rPr>
          <w:rFonts w:hint="default" w:ascii="楷体_GB2312" w:hAnsi="楷体_GB2312" w:eastAsia="楷体_GB2312" w:cs="楷体_GB2312"/>
          <w:i w:val="0"/>
          <w:iCs w:val="0"/>
          <w:caps w:val="0"/>
          <w:color w:val="auto"/>
          <w:spacing w:val="0"/>
          <w:sz w:val="32"/>
          <w:szCs w:val="32"/>
          <w:u w:val="none"/>
          <w:shd w:val="clear" w:fill="FFFFFF"/>
        </w:rPr>
        <w:t>总工会）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left"/>
        <w:textAlignment w:val="auto"/>
        <w:rPr>
          <w:rFonts w:hint="default" w:ascii="楷体_GB2312" w:hAnsi="楷体_GB2312" w:eastAsia="楷体_GB2312" w:cs="楷体_GB2312"/>
          <w:i w:val="0"/>
          <w:iCs w:val="0"/>
          <w:caps w:val="0"/>
          <w:color w:val="auto"/>
          <w:spacing w:val="0"/>
          <w:sz w:val="32"/>
          <w:szCs w:val="32"/>
          <w:u w:val="none"/>
          <w:shd w:val="clear" w:fill="FFFFFF"/>
        </w:rPr>
      </w:pPr>
      <w:r>
        <w:rPr>
          <w:rFonts w:hint="default" w:ascii="楷体_GB2312" w:hAnsi="楷体_GB2312" w:eastAsia="楷体_GB2312" w:cs="楷体_GB2312"/>
          <w:i w:val="0"/>
          <w:iCs w:val="0"/>
          <w:caps w:val="0"/>
          <w:color w:val="auto"/>
          <w:spacing w:val="0"/>
          <w:sz w:val="32"/>
          <w:szCs w:val="32"/>
          <w:u w:val="none"/>
          <w:shd w:val="clear" w:fill="FFFFFF"/>
        </w:rPr>
        <w:t>（十八）加大部门联合监管力度。</w:t>
      </w:r>
      <w:r>
        <w:rPr>
          <w:rFonts w:hint="default" w:ascii="Times New Roman" w:hAnsi="Times New Roman" w:eastAsia="仿宋_GB2312" w:cs="Times New Roman"/>
          <w:i w:val="0"/>
          <w:iCs w:val="0"/>
          <w:caps w:val="0"/>
          <w:color w:val="auto"/>
          <w:spacing w:val="0"/>
          <w:sz w:val="32"/>
          <w:szCs w:val="32"/>
          <w:u w:val="none"/>
          <w:shd w:val="clear" w:fill="FFFFFF"/>
        </w:rPr>
        <w:t>人力资源社会保障部门要加大劳动保障监察力度，督促企业落实新就业形态劳动者权益保障责任，加强治理拖欠劳动报酬、违法超时加班等突出问题，依法维护劳动者权益。对违反法律实施就业歧视的，劳动者可以向人民法院提起诉讼。交通运输、卫生健康、应急、</w:t>
      </w:r>
      <w:r>
        <w:rPr>
          <w:rFonts w:hint="default" w:ascii="Times New Roman" w:hAnsi="Times New Roman" w:eastAsia="仿宋_GB2312" w:cs="Times New Roman"/>
          <w:i w:val="0"/>
          <w:iCs w:val="0"/>
          <w:caps w:val="0"/>
          <w:color w:val="auto"/>
          <w:spacing w:val="0"/>
          <w:sz w:val="32"/>
          <w:szCs w:val="32"/>
          <w:u w:val="none"/>
          <w:shd w:val="clear" w:fill="FFFFFF"/>
          <w:lang w:eastAsia="zh-CN"/>
        </w:rPr>
        <w:t>市</w:t>
      </w:r>
      <w:r>
        <w:rPr>
          <w:rFonts w:hint="default" w:ascii="Times New Roman" w:hAnsi="Times New Roman" w:eastAsia="仿宋_GB2312" w:cs="Times New Roman"/>
          <w:i w:val="0"/>
          <w:iCs w:val="0"/>
          <w:caps w:val="0"/>
          <w:color w:val="auto"/>
          <w:spacing w:val="0"/>
          <w:sz w:val="32"/>
          <w:szCs w:val="32"/>
          <w:u w:val="none"/>
          <w:shd w:val="clear" w:fill="FFFFFF"/>
        </w:rPr>
        <w:t>场监管等职能部门和行业主管部门要大力开展行政指导工作，采取政策指引、意见建议、提示提醒、行政约谈、行政调解等方式，快速化解劳资纠纷，及时查处侵害劳动者权益的企业。严厉打击欠薪等违法失信行为，对欠薪责任主体依规列入“黑名单”，实行部门联合惩戒，并进行社会公示和曝光。</w:t>
      </w:r>
      <w:r>
        <w:rPr>
          <w:rFonts w:hint="default" w:ascii="楷体_GB2312" w:hAnsi="楷体_GB2312" w:eastAsia="楷体_GB2312" w:cs="楷体_GB2312"/>
          <w:i w:val="0"/>
          <w:iCs w:val="0"/>
          <w:caps w:val="0"/>
          <w:color w:val="auto"/>
          <w:spacing w:val="0"/>
          <w:sz w:val="32"/>
          <w:szCs w:val="32"/>
          <w:u w:val="none"/>
          <w:shd w:val="clear" w:fill="FFFFFF"/>
        </w:rPr>
        <w:t>（牵头单位：</w:t>
      </w:r>
      <w:r>
        <w:rPr>
          <w:rFonts w:hint="default" w:ascii="楷体_GB2312" w:hAnsi="楷体_GB2312" w:eastAsia="楷体_GB2312" w:cs="楷体_GB2312"/>
          <w:i w:val="0"/>
          <w:iCs w:val="0"/>
          <w:caps w:val="0"/>
          <w:color w:val="auto"/>
          <w:spacing w:val="0"/>
          <w:sz w:val="32"/>
          <w:szCs w:val="32"/>
          <w:u w:val="none"/>
          <w:shd w:val="clear" w:fill="FFFFFF"/>
          <w:lang w:eastAsia="zh-CN"/>
        </w:rPr>
        <w:t>县</w:t>
      </w:r>
      <w:r>
        <w:rPr>
          <w:rFonts w:hint="default" w:ascii="楷体_GB2312" w:hAnsi="楷体_GB2312" w:eastAsia="楷体_GB2312" w:cs="楷体_GB2312"/>
          <w:i w:val="0"/>
          <w:iCs w:val="0"/>
          <w:caps w:val="0"/>
          <w:color w:val="auto"/>
          <w:spacing w:val="0"/>
          <w:sz w:val="32"/>
          <w:szCs w:val="32"/>
          <w:u w:val="none"/>
          <w:shd w:val="clear" w:fill="FFFFFF"/>
        </w:rPr>
        <w:t>人力资源社会保障局，参加单位：</w:t>
      </w:r>
      <w:r>
        <w:rPr>
          <w:rFonts w:hint="default" w:ascii="楷体_GB2312" w:hAnsi="楷体_GB2312" w:eastAsia="楷体_GB2312" w:cs="楷体_GB2312"/>
          <w:i w:val="0"/>
          <w:iCs w:val="0"/>
          <w:caps w:val="0"/>
          <w:color w:val="auto"/>
          <w:spacing w:val="0"/>
          <w:sz w:val="32"/>
          <w:szCs w:val="32"/>
          <w:u w:val="none"/>
          <w:shd w:val="clear" w:fill="FFFFFF"/>
          <w:lang w:eastAsia="zh-CN"/>
        </w:rPr>
        <w:t>县</w:t>
      </w:r>
      <w:r>
        <w:rPr>
          <w:rFonts w:hint="default" w:ascii="楷体_GB2312" w:hAnsi="楷体_GB2312" w:eastAsia="楷体_GB2312" w:cs="楷体_GB2312"/>
          <w:i w:val="0"/>
          <w:iCs w:val="0"/>
          <w:caps w:val="0"/>
          <w:color w:val="auto"/>
          <w:spacing w:val="0"/>
          <w:sz w:val="32"/>
          <w:szCs w:val="32"/>
          <w:u w:val="none"/>
          <w:shd w:val="clear" w:fill="FFFFFF"/>
        </w:rPr>
        <w:t>法院、</w:t>
      </w:r>
      <w:r>
        <w:rPr>
          <w:rFonts w:hint="default" w:ascii="楷体_GB2312" w:hAnsi="楷体_GB2312" w:eastAsia="楷体_GB2312" w:cs="楷体_GB2312"/>
          <w:i w:val="0"/>
          <w:iCs w:val="0"/>
          <w:caps w:val="0"/>
          <w:color w:val="auto"/>
          <w:spacing w:val="0"/>
          <w:sz w:val="32"/>
          <w:szCs w:val="32"/>
          <w:u w:val="none"/>
          <w:shd w:val="clear" w:fill="FFFFFF"/>
          <w:lang w:eastAsia="zh-CN"/>
        </w:rPr>
        <w:t>县</w:t>
      </w:r>
      <w:r>
        <w:rPr>
          <w:rFonts w:hint="default" w:ascii="楷体_GB2312" w:hAnsi="楷体_GB2312" w:eastAsia="楷体_GB2312" w:cs="楷体_GB2312"/>
          <w:i w:val="0"/>
          <w:iCs w:val="0"/>
          <w:caps w:val="0"/>
          <w:color w:val="auto"/>
          <w:spacing w:val="0"/>
          <w:sz w:val="32"/>
          <w:szCs w:val="32"/>
          <w:u w:val="none"/>
          <w:shd w:val="clear" w:fill="FFFFFF"/>
        </w:rPr>
        <w:t>直各有关部门）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left"/>
        <w:textAlignment w:val="auto"/>
        <w:rPr>
          <w:rFonts w:hint="default" w:ascii="Times New Roman" w:hAnsi="Times New Roman" w:eastAsia="仿宋_GB2312" w:cs="Times New Roman"/>
          <w:i w:val="0"/>
          <w:iCs w:val="0"/>
          <w:caps w:val="0"/>
          <w:color w:val="auto"/>
          <w:spacing w:val="0"/>
          <w:sz w:val="32"/>
          <w:szCs w:val="32"/>
          <w:u w:val="none"/>
          <w:shd w:val="clear" w:fill="FFFFFF"/>
        </w:rPr>
      </w:pPr>
      <w:r>
        <w:rPr>
          <w:rFonts w:hint="default" w:ascii="Times New Roman" w:hAnsi="Times New Roman" w:eastAsia="仿宋_GB2312" w:cs="Times New Roman"/>
          <w:i w:val="0"/>
          <w:iCs w:val="0"/>
          <w:caps w:val="0"/>
          <w:color w:val="auto"/>
          <w:spacing w:val="0"/>
          <w:sz w:val="32"/>
          <w:szCs w:val="32"/>
          <w:u w:val="none"/>
          <w:shd w:val="clear" w:fill="FFFFFF"/>
        </w:rPr>
        <w:t>各</w:t>
      </w:r>
      <w:r>
        <w:rPr>
          <w:rFonts w:hint="default" w:ascii="Times New Roman" w:hAnsi="Times New Roman" w:eastAsia="仿宋_GB2312" w:cs="Times New Roman"/>
          <w:i w:val="0"/>
          <w:iCs w:val="0"/>
          <w:caps w:val="0"/>
          <w:color w:val="auto"/>
          <w:spacing w:val="0"/>
          <w:sz w:val="32"/>
          <w:szCs w:val="32"/>
          <w:u w:val="none"/>
          <w:shd w:val="clear" w:fill="FFFFFF"/>
          <w:lang w:eastAsia="zh-CN"/>
        </w:rPr>
        <w:t>镇办</w:t>
      </w:r>
      <w:r>
        <w:rPr>
          <w:rFonts w:hint="default" w:ascii="Times New Roman" w:hAnsi="Times New Roman" w:eastAsia="仿宋_GB2312" w:cs="Times New Roman"/>
          <w:i w:val="0"/>
          <w:iCs w:val="0"/>
          <w:caps w:val="0"/>
          <w:color w:val="auto"/>
          <w:spacing w:val="0"/>
          <w:sz w:val="32"/>
          <w:szCs w:val="32"/>
          <w:u w:val="none"/>
          <w:shd w:val="clear" w:fill="FFFFFF"/>
        </w:rPr>
        <w:t>、各有关部门要结合</w:t>
      </w:r>
      <w:r>
        <w:rPr>
          <w:rFonts w:hint="default" w:ascii="Times New Roman" w:hAnsi="Times New Roman" w:eastAsia="仿宋_GB2312" w:cs="Times New Roman"/>
          <w:i w:val="0"/>
          <w:iCs w:val="0"/>
          <w:caps w:val="0"/>
          <w:color w:val="auto"/>
          <w:spacing w:val="0"/>
          <w:sz w:val="32"/>
          <w:szCs w:val="32"/>
          <w:u w:val="none"/>
          <w:shd w:val="clear" w:fill="FFFFFF"/>
          <w:lang w:eastAsia="zh-CN"/>
        </w:rPr>
        <w:t>各自</w:t>
      </w:r>
      <w:r>
        <w:rPr>
          <w:rFonts w:hint="default" w:ascii="Times New Roman" w:hAnsi="Times New Roman" w:eastAsia="仿宋_GB2312" w:cs="Times New Roman"/>
          <w:i w:val="0"/>
          <w:iCs w:val="0"/>
          <w:caps w:val="0"/>
          <w:color w:val="auto"/>
          <w:spacing w:val="0"/>
          <w:sz w:val="32"/>
          <w:szCs w:val="32"/>
          <w:u w:val="none"/>
          <w:shd w:val="clear" w:fill="FFFFFF"/>
        </w:rPr>
        <w:t>实际认真抓好贯彻落实。要将抓好新就业形态劳动者劳动权益保障作为稳就业、保就业的重要举措，作为支持新就业形态持续健康发展的重要内容，加强政策宣传，积极引导社会舆论，增强新就业形态劳动者职业荣誉感，努力营造良好环境，确保各项劳动保障权益落到实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left"/>
        <w:textAlignment w:val="auto"/>
        <w:rPr>
          <w:rFonts w:hint="default" w:ascii="Times New Roman" w:hAnsi="Times New Roman" w:eastAsia="仿宋_GB2312" w:cs="Times New Roman"/>
          <w:i w:val="0"/>
          <w:iCs w:val="0"/>
          <w:caps w:val="0"/>
          <w:color w:val="auto"/>
          <w:spacing w:val="0"/>
          <w:sz w:val="32"/>
          <w:szCs w:val="32"/>
          <w:u w:val="none"/>
          <w:shd w:val="clear" w:fill="FFFFFF"/>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jc w:val="both"/>
        <w:textAlignment w:val="auto"/>
        <w:rPr>
          <w:rFonts w:hint="default" w:ascii="Times New Roman" w:hAnsi="Times New Roman" w:eastAsia="仿宋_GB2312" w:cs="Times New Roman"/>
          <w:i w:val="0"/>
          <w:iCs w:val="0"/>
          <w:caps w:val="0"/>
          <w:color w:val="auto"/>
          <w:spacing w:val="0"/>
          <w:sz w:val="32"/>
          <w:szCs w:val="32"/>
          <w:u w:val="none"/>
          <w:shd w:val="clear" w:fill="FFFFFF"/>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jc w:val="both"/>
        <w:textAlignment w:val="auto"/>
        <w:rPr>
          <w:rFonts w:hint="default" w:ascii="Times New Roman" w:hAnsi="Times New Roman" w:eastAsia="仿宋_GB2312" w:cs="Times New Roman"/>
          <w:i w:val="0"/>
          <w:iCs w:val="0"/>
          <w:caps w:val="0"/>
          <w:color w:val="auto"/>
          <w:spacing w:val="0"/>
          <w:sz w:val="32"/>
          <w:szCs w:val="32"/>
          <w:u w:val="none"/>
          <w:shd w:val="clear" w:fill="FFFFFF"/>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jc w:val="both"/>
        <w:textAlignment w:val="auto"/>
        <w:rPr>
          <w:rFonts w:hint="default" w:ascii="Times New Roman" w:hAnsi="Times New Roman" w:eastAsia="仿宋_GB2312" w:cs="Times New Roman"/>
          <w:i w:val="0"/>
          <w:iCs w:val="0"/>
          <w:caps w:val="0"/>
          <w:color w:val="auto"/>
          <w:spacing w:val="0"/>
          <w:sz w:val="32"/>
          <w:szCs w:val="32"/>
          <w:u w:val="none"/>
          <w:shd w:val="clear" w:fill="FFFFFF"/>
          <w:lang w:val="en-US" w:eastAsia="zh-CN"/>
        </w:rPr>
      </w:pPr>
      <w:r>
        <w:rPr>
          <w:rFonts w:hint="default" w:ascii="Times New Roman" w:hAnsi="Times New Roman" w:eastAsia="仿宋_GB2312" w:cs="Times New Roman"/>
          <w:i w:val="0"/>
          <w:iCs w:val="0"/>
          <w:caps w:val="0"/>
          <w:color w:val="auto"/>
          <w:spacing w:val="0"/>
          <w:sz w:val="32"/>
          <w:szCs w:val="32"/>
          <w:u w:val="none"/>
          <w:shd w:val="clear" w:fill="FFFFFF"/>
          <w:lang w:val="en-US" w:eastAsia="zh-CN"/>
        </w:rPr>
        <w:t>（此件公开发布）</w:t>
      </w:r>
    </w:p>
    <w:p>
      <w:pPr>
        <w:keepNext w:val="0"/>
        <w:keepLines w:val="0"/>
        <w:pageBreakBefore w:val="0"/>
        <w:widowControl w:val="0"/>
        <w:tabs>
          <w:tab w:val="left" w:pos="7348"/>
        </w:tabs>
        <w:kinsoku/>
        <w:wordWrap/>
        <w:overflowPunct/>
        <w:topLinePunct w:val="0"/>
        <w:bidi w:val="0"/>
        <w:spacing w:line="560" w:lineRule="exact"/>
        <w:ind w:left="0" w:right="0"/>
        <w:jc w:val="left"/>
        <w:rPr>
          <w:rFonts w:hint="default" w:ascii="Times New Roman" w:hAnsi="Times New Roman" w:cs="Times New Roman"/>
          <w:color w:val="auto"/>
          <w:spacing w:val="0"/>
          <w:w w:val="100"/>
          <w:lang w:val="en-US" w:eastAsia="zh-CN"/>
        </w:rPr>
      </w:pPr>
    </w:p>
    <w:p>
      <w:pPr>
        <w:keepNext w:val="0"/>
        <w:keepLines w:val="0"/>
        <w:pageBreakBefore w:val="0"/>
        <w:widowControl w:val="0"/>
        <w:tabs>
          <w:tab w:val="left" w:pos="7348"/>
        </w:tabs>
        <w:kinsoku/>
        <w:wordWrap/>
        <w:overflowPunct/>
        <w:topLinePunct w:val="0"/>
        <w:bidi w:val="0"/>
        <w:spacing w:line="560" w:lineRule="exact"/>
        <w:ind w:left="0" w:right="0"/>
        <w:jc w:val="left"/>
        <w:rPr>
          <w:rFonts w:hint="default" w:ascii="Times New Roman" w:hAnsi="Times New Roman" w:cs="Times New Roman"/>
          <w:color w:val="auto"/>
          <w:spacing w:val="0"/>
          <w:w w:val="100"/>
          <w:lang w:val="en-US" w:eastAsia="zh-CN"/>
        </w:rPr>
      </w:pPr>
    </w:p>
    <w:p>
      <w:pPr>
        <w:keepNext w:val="0"/>
        <w:keepLines w:val="0"/>
        <w:pageBreakBefore w:val="0"/>
        <w:widowControl w:val="0"/>
        <w:tabs>
          <w:tab w:val="left" w:pos="7348"/>
        </w:tabs>
        <w:kinsoku/>
        <w:wordWrap/>
        <w:overflowPunct/>
        <w:topLinePunct w:val="0"/>
        <w:bidi w:val="0"/>
        <w:spacing w:line="560" w:lineRule="exact"/>
        <w:ind w:left="0" w:right="0"/>
        <w:jc w:val="left"/>
        <w:rPr>
          <w:rFonts w:hint="default" w:ascii="Times New Roman" w:hAnsi="Times New Roman" w:cs="Times New Roman"/>
          <w:color w:val="auto"/>
          <w:spacing w:val="0"/>
          <w:w w:val="100"/>
          <w:lang w:val="en-US" w:eastAsia="zh-CN"/>
        </w:rPr>
      </w:pPr>
    </w:p>
    <w:p>
      <w:pPr>
        <w:keepNext w:val="0"/>
        <w:keepLines w:val="0"/>
        <w:pageBreakBefore w:val="0"/>
        <w:widowControl w:val="0"/>
        <w:tabs>
          <w:tab w:val="left" w:pos="7348"/>
        </w:tabs>
        <w:kinsoku/>
        <w:wordWrap/>
        <w:overflowPunct/>
        <w:topLinePunct w:val="0"/>
        <w:bidi w:val="0"/>
        <w:spacing w:line="560" w:lineRule="exact"/>
        <w:ind w:left="0" w:right="0"/>
        <w:jc w:val="left"/>
        <w:rPr>
          <w:rFonts w:hint="default" w:ascii="Times New Roman" w:hAnsi="Times New Roman" w:cs="Times New Roman"/>
          <w:color w:val="auto"/>
          <w:spacing w:val="0"/>
          <w:w w:val="100"/>
          <w:lang w:val="en-US" w:eastAsia="zh-CN"/>
        </w:rPr>
      </w:pPr>
    </w:p>
    <w:p>
      <w:pPr>
        <w:keepNext w:val="0"/>
        <w:keepLines w:val="0"/>
        <w:pageBreakBefore w:val="0"/>
        <w:widowControl w:val="0"/>
        <w:tabs>
          <w:tab w:val="left" w:pos="7348"/>
        </w:tabs>
        <w:kinsoku/>
        <w:wordWrap/>
        <w:overflowPunct/>
        <w:topLinePunct w:val="0"/>
        <w:bidi w:val="0"/>
        <w:spacing w:line="560" w:lineRule="exact"/>
        <w:ind w:left="0" w:right="0"/>
        <w:jc w:val="left"/>
        <w:rPr>
          <w:rFonts w:hint="default" w:ascii="Times New Roman" w:hAnsi="Times New Roman" w:cs="Times New Roman"/>
          <w:color w:val="auto"/>
          <w:spacing w:val="0"/>
          <w:w w:val="100"/>
          <w:lang w:val="en-US" w:eastAsia="zh-CN"/>
        </w:rPr>
      </w:pPr>
    </w:p>
    <w:p>
      <w:pPr>
        <w:keepNext w:val="0"/>
        <w:keepLines w:val="0"/>
        <w:pageBreakBefore w:val="0"/>
        <w:widowControl w:val="0"/>
        <w:tabs>
          <w:tab w:val="left" w:pos="7348"/>
        </w:tabs>
        <w:kinsoku/>
        <w:wordWrap/>
        <w:overflowPunct/>
        <w:topLinePunct w:val="0"/>
        <w:bidi w:val="0"/>
        <w:spacing w:line="560" w:lineRule="exact"/>
        <w:ind w:left="0" w:right="0"/>
        <w:jc w:val="left"/>
        <w:rPr>
          <w:rFonts w:hint="default" w:ascii="Times New Roman" w:hAnsi="Times New Roman" w:cs="Times New Roman"/>
          <w:color w:val="auto"/>
          <w:spacing w:val="0"/>
          <w:w w:val="100"/>
          <w:lang w:val="en-US" w:eastAsia="zh-CN"/>
        </w:rPr>
      </w:pPr>
    </w:p>
    <w:p>
      <w:pPr>
        <w:keepNext w:val="0"/>
        <w:keepLines w:val="0"/>
        <w:pageBreakBefore w:val="0"/>
        <w:widowControl w:val="0"/>
        <w:tabs>
          <w:tab w:val="left" w:pos="7348"/>
        </w:tabs>
        <w:kinsoku/>
        <w:wordWrap/>
        <w:overflowPunct/>
        <w:topLinePunct w:val="0"/>
        <w:autoSpaceDE w:val="0"/>
        <w:autoSpaceDN w:val="0"/>
        <w:bidi w:val="0"/>
        <w:adjustRightInd w:val="0"/>
        <w:snapToGrid w:val="0"/>
        <w:spacing w:line="240" w:lineRule="exact"/>
        <w:ind w:left="0" w:right="0"/>
        <w:jc w:val="left"/>
        <w:textAlignment w:val="baseline"/>
        <w:rPr>
          <w:rFonts w:hint="default" w:ascii="Times New Roman" w:hAnsi="Times New Roman" w:cs="Times New Roman"/>
          <w:color w:val="auto"/>
          <w:spacing w:val="0"/>
          <w:w w:val="100"/>
          <w:lang w:val="en-US" w:eastAsia="zh-CN"/>
        </w:rPr>
      </w:pPr>
    </w:p>
    <w:p>
      <w:pPr>
        <w:pStyle w:val="2"/>
        <w:rPr>
          <w:rFonts w:hint="default"/>
          <w:color w:val="auto"/>
          <w:lang w:val="en-US" w:eastAsia="zh-CN"/>
        </w:rPr>
      </w:pPr>
    </w:p>
    <w:p>
      <w:pPr>
        <w:keepNext w:val="0"/>
        <w:keepLines w:val="0"/>
        <w:pageBreakBefore w:val="0"/>
        <w:widowControl w:val="0"/>
        <w:tabs>
          <w:tab w:val="left" w:pos="7348"/>
        </w:tabs>
        <w:kinsoku/>
        <w:wordWrap/>
        <w:overflowPunct/>
        <w:topLinePunct w:val="0"/>
        <w:bidi w:val="0"/>
        <w:spacing w:line="560" w:lineRule="exact"/>
        <w:ind w:left="0" w:right="0"/>
        <w:jc w:val="left"/>
        <w:rPr>
          <w:rFonts w:hint="default" w:ascii="Times New Roman" w:hAnsi="Times New Roman" w:cs="Times New Roman"/>
          <w:color w:val="auto"/>
          <w:spacing w:val="0"/>
          <w:w w:val="100"/>
          <w:lang w:val="en-US" w:eastAsia="zh-CN"/>
        </w:rPr>
      </w:pPr>
    </w:p>
    <w:p>
      <w:pPr>
        <w:pStyle w:val="2"/>
        <w:rPr>
          <w:rFonts w:hint="default" w:ascii="Times New Roman" w:hAnsi="Times New Roman" w:cs="Times New Roman"/>
          <w:color w:val="auto"/>
          <w:spacing w:val="0"/>
          <w:w w:val="100"/>
          <w:lang w:val="en-US" w:eastAsia="zh-CN"/>
        </w:rPr>
      </w:pPr>
    </w:p>
    <w:p>
      <w:pPr>
        <w:pStyle w:val="2"/>
        <w:rPr>
          <w:rFonts w:hint="default" w:ascii="Times New Roman" w:hAnsi="Times New Roman" w:cs="Times New Roman"/>
          <w:color w:val="auto"/>
          <w:spacing w:val="0"/>
          <w:w w:val="100"/>
          <w:lang w:val="en-US" w:eastAsia="zh-CN"/>
        </w:rPr>
      </w:pPr>
    </w:p>
    <w:p>
      <w:pPr>
        <w:pStyle w:val="2"/>
        <w:rPr>
          <w:rFonts w:hint="default" w:ascii="Times New Roman" w:hAnsi="Times New Roman" w:cs="Times New Roman"/>
          <w:color w:val="auto"/>
          <w:spacing w:val="0"/>
          <w:w w:val="100"/>
          <w:lang w:val="en-US" w:eastAsia="zh-CN"/>
        </w:rPr>
      </w:pPr>
    </w:p>
    <w:p>
      <w:pPr>
        <w:pStyle w:val="2"/>
        <w:rPr>
          <w:rFonts w:hint="default" w:ascii="Times New Roman" w:hAnsi="Times New Roman" w:cs="Times New Roman"/>
          <w:color w:val="auto"/>
          <w:spacing w:val="0"/>
          <w:w w:val="100"/>
          <w:lang w:val="en-US" w:eastAsia="zh-CN"/>
        </w:rPr>
      </w:pPr>
    </w:p>
    <w:p>
      <w:pPr>
        <w:pBdr>
          <w:top w:val="single" w:color="auto" w:sz="6" w:space="1"/>
          <w:bottom w:val="single" w:color="auto" w:sz="6" w:space="1"/>
        </w:pBdr>
        <w:spacing w:line="520" w:lineRule="exact"/>
        <w:ind w:firstLine="280" w:firstLineChars="100"/>
        <w:rPr>
          <w:rFonts w:hint="default" w:ascii="Times New Roman" w:hAnsi="Times New Roman" w:cs="Times New Roman"/>
          <w:color w:val="auto"/>
          <w:spacing w:val="0"/>
          <w:w w:val="100"/>
          <w:lang w:val="en-US" w:eastAsia="zh-CN"/>
        </w:rPr>
      </w:pPr>
      <w:r>
        <w:rPr>
          <w:rFonts w:hint="default" w:ascii="Times New Roman" w:hAnsi="Times New Roman" w:eastAsia="仿宋_GB2312" w:cs="Times New Roman"/>
          <w:color w:val="auto"/>
          <w:sz w:val="28"/>
          <w:szCs w:val="28"/>
        </w:rPr>
        <w:t xml:space="preserve">高青县人力资源和社会保障局办公室  </w:t>
      </w:r>
      <w:r>
        <w:rPr>
          <w:rFonts w:hint="eastAsia"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 xml:space="preserve"> </w:t>
      </w:r>
      <w:r>
        <w:rPr>
          <w:rFonts w:hint="eastAsia"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20</w:t>
      </w:r>
      <w:r>
        <w:rPr>
          <w:rFonts w:hint="default" w:ascii="Times New Roman" w:hAnsi="Times New Roman" w:eastAsia="仿宋_GB2312" w:cs="Times New Roman"/>
          <w:color w:val="auto"/>
          <w:sz w:val="28"/>
          <w:szCs w:val="28"/>
          <w:lang w:val="en-US" w:eastAsia="zh-CN"/>
        </w:rPr>
        <w:t>2</w:t>
      </w:r>
      <w:r>
        <w:rPr>
          <w:rFonts w:hint="eastAsia" w:ascii="Times New Roman" w:hAnsi="Times New Roman" w:eastAsia="仿宋_GB2312" w:cs="Times New Roman"/>
          <w:color w:val="auto"/>
          <w:sz w:val="28"/>
          <w:szCs w:val="28"/>
          <w:lang w:val="en-US" w:eastAsia="zh-CN"/>
        </w:rPr>
        <w:t>2</w:t>
      </w:r>
      <w:r>
        <w:rPr>
          <w:rFonts w:hint="default" w:ascii="Times New Roman" w:hAnsi="Times New Roman" w:eastAsia="仿宋_GB2312" w:cs="Times New Roman"/>
          <w:color w:val="auto"/>
          <w:sz w:val="28"/>
          <w:szCs w:val="28"/>
        </w:rPr>
        <w:t>年</w:t>
      </w:r>
      <w:r>
        <w:rPr>
          <w:rFonts w:hint="eastAsia" w:ascii="Times New Roman" w:hAnsi="Times New Roman" w:eastAsia="仿宋_GB2312" w:cs="Times New Roman"/>
          <w:color w:val="auto"/>
          <w:sz w:val="28"/>
          <w:szCs w:val="28"/>
          <w:lang w:val="en-US" w:eastAsia="zh-CN"/>
        </w:rPr>
        <w:t>4</w:t>
      </w:r>
      <w:r>
        <w:rPr>
          <w:rFonts w:hint="default" w:ascii="Times New Roman" w:hAnsi="Times New Roman" w:eastAsia="仿宋_GB2312" w:cs="Times New Roman"/>
          <w:color w:val="auto"/>
          <w:sz w:val="28"/>
          <w:szCs w:val="28"/>
        </w:rPr>
        <w:t>月</w:t>
      </w:r>
      <w:r>
        <w:rPr>
          <w:rFonts w:hint="eastAsia" w:ascii="Times New Roman" w:hAnsi="Times New Roman" w:eastAsia="仿宋_GB2312" w:cs="Times New Roman"/>
          <w:color w:val="auto"/>
          <w:sz w:val="28"/>
          <w:szCs w:val="28"/>
          <w:lang w:val="en-US" w:eastAsia="zh-CN"/>
        </w:rPr>
        <w:t>7</w:t>
      </w:r>
      <w:r>
        <w:rPr>
          <w:rFonts w:hint="default" w:ascii="Times New Roman" w:hAnsi="Times New Roman" w:eastAsia="仿宋_GB2312" w:cs="Times New Roman"/>
          <w:color w:val="auto"/>
          <w:sz w:val="28"/>
          <w:szCs w:val="28"/>
        </w:rPr>
        <w:t>日</w:t>
      </w:r>
      <w:r>
        <w:rPr>
          <w:rFonts w:hint="eastAsia" w:ascii="Times New Roman" w:hAnsi="Times New Roman" w:eastAsia="仿宋_GB2312" w:cs="Times New Roman"/>
          <w:color w:val="auto"/>
          <w:sz w:val="28"/>
          <w:szCs w:val="28"/>
          <w:lang w:eastAsia="zh-CN"/>
        </w:rPr>
        <w:t>印发</w:t>
      </w:r>
      <w:r>
        <w:rPr>
          <w:rFonts w:hint="default" w:ascii="Times New Roman" w:hAnsi="Times New Roman" w:cs="Times New Roman"/>
          <w:color w:val="auto"/>
          <w:spacing w:val="0"/>
          <w:w w:val="100"/>
          <w:lang w:val="en-US" w:eastAsia="zh-CN"/>
        </w:rPr>
        <w:tab/>
      </w:r>
    </w:p>
    <w:sectPr>
      <w:footerReference r:id="rId3" w:type="default"/>
      <w:pgSz w:w="11906" w:h="16839"/>
      <w:pgMar w:top="1871" w:right="1587" w:bottom="1871" w:left="1587" w:header="0" w:footer="907" w:gutter="0"/>
      <w:pgNumType w:fmt="decimal"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jc w:val="left"/>
      <w:rPr>
        <w:rFonts w:ascii="Arial" w:hAnsi="Arial" w:eastAsia="Arial" w:cs="Arial"/>
        <w:sz w:val="2"/>
        <w:szCs w:val="2"/>
      </w:rPr>
    </w:pPr>
    <w:r>
      <w:rPr>
        <w:sz w:val="2"/>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sz w:val="24"/>
                              <w:szCs w:val="24"/>
                            </w:rPr>
                          </w:pPr>
                          <w:r>
                            <w:rPr>
                              <w:sz w:val="24"/>
                              <w:szCs w:val="24"/>
                            </w:rPr>
                            <w:t xml:space="preserve">— </w:t>
                          </w:r>
                          <w:r>
                            <w:rPr>
                              <w:b w:val="0"/>
                              <w:bCs w:val="0"/>
                              <w:sz w:val="28"/>
                              <w:szCs w:val="28"/>
                            </w:rPr>
                            <w:fldChar w:fldCharType="begin"/>
                          </w:r>
                          <w:r>
                            <w:rPr>
                              <w:b w:val="0"/>
                              <w:bCs w:val="0"/>
                              <w:sz w:val="28"/>
                              <w:szCs w:val="28"/>
                            </w:rPr>
                            <w:instrText xml:space="preserve"> PAGE  \* MERGEFORMAT </w:instrText>
                          </w:r>
                          <w:r>
                            <w:rPr>
                              <w:b w:val="0"/>
                              <w:bCs w:val="0"/>
                              <w:sz w:val="28"/>
                              <w:szCs w:val="28"/>
                            </w:rPr>
                            <w:fldChar w:fldCharType="separate"/>
                          </w:r>
                          <w:r>
                            <w:rPr>
                              <w:b w:val="0"/>
                              <w:bCs w:val="0"/>
                              <w:sz w:val="28"/>
                              <w:szCs w:val="28"/>
                            </w:rPr>
                            <w:t>1</w:t>
                          </w:r>
                          <w:r>
                            <w:rPr>
                              <w:b w:val="0"/>
                              <w:bCs w:val="0"/>
                              <w:sz w:val="28"/>
                              <w:szCs w:val="28"/>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9tdHoS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M9tdHoSAgAAFQQAAA4AAAAAAAAAAQAg&#10;AAAAHwEAAGRycy9lMm9Eb2MueG1sUEsFBgAAAAAGAAYAWQEAAKMFAAAAAA==&#10;">
              <v:fill on="f" focussize="0,0"/>
              <v:stroke on="f" weight="0.5pt"/>
              <v:imagedata o:title=""/>
              <o:lock v:ext="edit" aspectratio="f"/>
              <v:textbox inset="0mm,0mm,0mm,0mm" style="mso-fit-shape-to-text:t;">
                <w:txbxContent>
                  <w:p>
                    <w:pPr>
                      <w:pStyle w:val="5"/>
                      <w:rPr>
                        <w:sz w:val="24"/>
                        <w:szCs w:val="24"/>
                      </w:rPr>
                    </w:pPr>
                    <w:r>
                      <w:rPr>
                        <w:sz w:val="24"/>
                        <w:szCs w:val="24"/>
                      </w:rPr>
                      <w:t xml:space="preserve">— </w:t>
                    </w:r>
                    <w:r>
                      <w:rPr>
                        <w:b w:val="0"/>
                        <w:bCs w:val="0"/>
                        <w:sz w:val="28"/>
                        <w:szCs w:val="28"/>
                      </w:rPr>
                      <w:fldChar w:fldCharType="begin"/>
                    </w:r>
                    <w:r>
                      <w:rPr>
                        <w:b w:val="0"/>
                        <w:bCs w:val="0"/>
                        <w:sz w:val="28"/>
                        <w:szCs w:val="28"/>
                      </w:rPr>
                      <w:instrText xml:space="preserve"> PAGE  \* MERGEFORMAT </w:instrText>
                    </w:r>
                    <w:r>
                      <w:rPr>
                        <w:b w:val="0"/>
                        <w:bCs w:val="0"/>
                        <w:sz w:val="28"/>
                        <w:szCs w:val="28"/>
                      </w:rPr>
                      <w:fldChar w:fldCharType="separate"/>
                    </w:r>
                    <w:r>
                      <w:rPr>
                        <w:b w:val="0"/>
                        <w:bCs w:val="0"/>
                        <w:sz w:val="28"/>
                        <w:szCs w:val="28"/>
                      </w:rPr>
                      <w:t>1</w:t>
                    </w:r>
                    <w:r>
                      <w:rPr>
                        <w:b w:val="0"/>
                        <w:bCs w:val="0"/>
                        <w:sz w:val="28"/>
                        <w:szCs w:val="28"/>
                      </w:rPr>
                      <w:fldChar w:fldCharType="end"/>
                    </w:r>
                    <w:r>
                      <w:rPr>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documentProtection w:enforcement="0"/>
  <w:characterSpacingControl w:val="doNotCompress"/>
  <w:hdrShapeDefaults>
    <o:shapelayout v:ext="edit">
      <o:idmap v:ext="edit" data="2"/>
    </o:shapelayout>
  </w:hdrShapeDefaults>
  <w:compat>
    <w:spaceForUL/>
    <w:ulTrailSpace/>
    <w:useFELayout/>
    <w:compatSetting w:name="compatibilityMode" w:uri="http://schemas.microsoft.com/office/word" w:val="14"/>
  </w:compat>
  <w:docVars>
    <w:docVar w:name="commondata" w:val="eyJoZGlkIjoiNDc2YzQxZGM5MjU3OWE1YjIwMGQ2MDY5YTk0NjIxZGYifQ=="/>
  </w:docVars>
  <w:rsids>
    <w:rsidRoot w:val="00000000"/>
    <w:rsid w:val="0018274C"/>
    <w:rsid w:val="001F3ADA"/>
    <w:rsid w:val="00535E7A"/>
    <w:rsid w:val="00824069"/>
    <w:rsid w:val="01407717"/>
    <w:rsid w:val="015C4874"/>
    <w:rsid w:val="018D33EF"/>
    <w:rsid w:val="01DA2E1D"/>
    <w:rsid w:val="01F56D82"/>
    <w:rsid w:val="02753E85"/>
    <w:rsid w:val="0332508B"/>
    <w:rsid w:val="03496B97"/>
    <w:rsid w:val="036C418F"/>
    <w:rsid w:val="039607B8"/>
    <w:rsid w:val="043B4AE7"/>
    <w:rsid w:val="04B54ED4"/>
    <w:rsid w:val="058C6562"/>
    <w:rsid w:val="05924D4E"/>
    <w:rsid w:val="05EC7791"/>
    <w:rsid w:val="062F6A41"/>
    <w:rsid w:val="065668D5"/>
    <w:rsid w:val="06B238FA"/>
    <w:rsid w:val="06B343E9"/>
    <w:rsid w:val="06B75A8E"/>
    <w:rsid w:val="07235E57"/>
    <w:rsid w:val="0730481F"/>
    <w:rsid w:val="076B1CFB"/>
    <w:rsid w:val="077E1A2E"/>
    <w:rsid w:val="085E7DEE"/>
    <w:rsid w:val="087C5A3E"/>
    <w:rsid w:val="08C006FA"/>
    <w:rsid w:val="09061761"/>
    <w:rsid w:val="093425B5"/>
    <w:rsid w:val="09547C3E"/>
    <w:rsid w:val="096A5FF9"/>
    <w:rsid w:val="097B6081"/>
    <w:rsid w:val="099729A4"/>
    <w:rsid w:val="099A1C5B"/>
    <w:rsid w:val="09BD7D9B"/>
    <w:rsid w:val="09ED69F7"/>
    <w:rsid w:val="09F67B07"/>
    <w:rsid w:val="0A095B40"/>
    <w:rsid w:val="0A8A693C"/>
    <w:rsid w:val="0A986605"/>
    <w:rsid w:val="0A9A27BF"/>
    <w:rsid w:val="0A9C3565"/>
    <w:rsid w:val="0B2745CA"/>
    <w:rsid w:val="0B342C84"/>
    <w:rsid w:val="0B42499C"/>
    <w:rsid w:val="0B451928"/>
    <w:rsid w:val="0B4D46F6"/>
    <w:rsid w:val="0C0A3890"/>
    <w:rsid w:val="0C0A428B"/>
    <w:rsid w:val="0C59633C"/>
    <w:rsid w:val="0C5E3725"/>
    <w:rsid w:val="0C7C46EC"/>
    <w:rsid w:val="0CB705E5"/>
    <w:rsid w:val="0CDC600C"/>
    <w:rsid w:val="0D30076F"/>
    <w:rsid w:val="0DA05DC5"/>
    <w:rsid w:val="0DAD529E"/>
    <w:rsid w:val="0DB10B54"/>
    <w:rsid w:val="0DB735A4"/>
    <w:rsid w:val="0DE82EB0"/>
    <w:rsid w:val="0DF10BA1"/>
    <w:rsid w:val="0E5D67F6"/>
    <w:rsid w:val="0E6A6868"/>
    <w:rsid w:val="0EA37803"/>
    <w:rsid w:val="0FAD0760"/>
    <w:rsid w:val="0FDF66A8"/>
    <w:rsid w:val="0FE82293"/>
    <w:rsid w:val="1030153B"/>
    <w:rsid w:val="103B1EBA"/>
    <w:rsid w:val="10AC157F"/>
    <w:rsid w:val="10C74DFD"/>
    <w:rsid w:val="10C81F6C"/>
    <w:rsid w:val="10F370D4"/>
    <w:rsid w:val="10FA0798"/>
    <w:rsid w:val="110F1949"/>
    <w:rsid w:val="111812AE"/>
    <w:rsid w:val="113C3257"/>
    <w:rsid w:val="132766BF"/>
    <w:rsid w:val="13315BA7"/>
    <w:rsid w:val="137E5456"/>
    <w:rsid w:val="14610289"/>
    <w:rsid w:val="1467399B"/>
    <w:rsid w:val="1493661B"/>
    <w:rsid w:val="14993508"/>
    <w:rsid w:val="14B126C0"/>
    <w:rsid w:val="150074E6"/>
    <w:rsid w:val="151657B4"/>
    <w:rsid w:val="155C6E8E"/>
    <w:rsid w:val="15731BD5"/>
    <w:rsid w:val="15A27C80"/>
    <w:rsid w:val="15AF5DC4"/>
    <w:rsid w:val="163D0D06"/>
    <w:rsid w:val="16412F21"/>
    <w:rsid w:val="164E2A53"/>
    <w:rsid w:val="16596937"/>
    <w:rsid w:val="16AF0079"/>
    <w:rsid w:val="16CB00C0"/>
    <w:rsid w:val="16CD5F5F"/>
    <w:rsid w:val="16D43419"/>
    <w:rsid w:val="170817C5"/>
    <w:rsid w:val="172F45D6"/>
    <w:rsid w:val="17444718"/>
    <w:rsid w:val="17602136"/>
    <w:rsid w:val="17861517"/>
    <w:rsid w:val="17E946DF"/>
    <w:rsid w:val="18D46C62"/>
    <w:rsid w:val="18DF56A1"/>
    <w:rsid w:val="19314B52"/>
    <w:rsid w:val="193E2DCB"/>
    <w:rsid w:val="19AE61A3"/>
    <w:rsid w:val="1A37709D"/>
    <w:rsid w:val="1A6C210C"/>
    <w:rsid w:val="1A710F7F"/>
    <w:rsid w:val="1B0F3E6F"/>
    <w:rsid w:val="1B4641B9"/>
    <w:rsid w:val="1B656D35"/>
    <w:rsid w:val="1CCA4D67"/>
    <w:rsid w:val="1CE43C8A"/>
    <w:rsid w:val="1D036806"/>
    <w:rsid w:val="1D263D96"/>
    <w:rsid w:val="1D510059"/>
    <w:rsid w:val="1D7D3974"/>
    <w:rsid w:val="1D840FC9"/>
    <w:rsid w:val="1E3B5B2B"/>
    <w:rsid w:val="1E4B568F"/>
    <w:rsid w:val="1E5A05B7"/>
    <w:rsid w:val="1E714224"/>
    <w:rsid w:val="1E8402DA"/>
    <w:rsid w:val="1E960F12"/>
    <w:rsid w:val="1EAF6829"/>
    <w:rsid w:val="1EB66CDD"/>
    <w:rsid w:val="1ED03108"/>
    <w:rsid w:val="1EF559A9"/>
    <w:rsid w:val="1F10520A"/>
    <w:rsid w:val="1F2844EA"/>
    <w:rsid w:val="1FA05650"/>
    <w:rsid w:val="1FA3619B"/>
    <w:rsid w:val="20012DA5"/>
    <w:rsid w:val="20CF3814"/>
    <w:rsid w:val="216A4942"/>
    <w:rsid w:val="21721578"/>
    <w:rsid w:val="21BE610E"/>
    <w:rsid w:val="21F030D1"/>
    <w:rsid w:val="223B608D"/>
    <w:rsid w:val="227212C5"/>
    <w:rsid w:val="22A040FF"/>
    <w:rsid w:val="22C81C6C"/>
    <w:rsid w:val="22E578E6"/>
    <w:rsid w:val="232E6D72"/>
    <w:rsid w:val="23345EDE"/>
    <w:rsid w:val="23392DF7"/>
    <w:rsid w:val="23960E1D"/>
    <w:rsid w:val="23E81201"/>
    <w:rsid w:val="23FF75FB"/>
    <w:rsid w:val="241E5CD3"/>
    <w:rsid w:val="24217571"/>
    <w:rsid w:val="246A0F18"/>
    <w:rsid w:val="24833D88"/>
    <w:rsid w:val="24AC7783"/>
    <w:rsid w:val="2535089A"/>
    <w:rsid w:val="25736E59"/>
    <w:rsid w:val="268434E2"/>
    <w:rsid w:val="269B7AAF"/>
    <w:rsid w:val="274641F2"/>
    <w:rsid w:val="27491B76"/>
    <w:rsid w:val="27711939"/>
    <w:rsid w:val="27985AC2"/>
    <w:rsid w:val="27BF2331"/>
    <w:rsid w:val="28237693"/>
    <w:rsid w:val="2830588F"/>
    <w:rsid w:val="284E00C4"/>
    <w:rsid w:val="28A073B2"/>
    <w:rsid w:val="28C572F0"/>
    <w:rsid w:val="28E05C4D"/>
    <w:rsid w:val="290A4A78"/>
    <w:rsid w:val="294B157E"/>
    <w:rsid w:val="29911327"/>
    <w:rsid w:val="29B60BF6"/>
    <w:rsid w:val="29CC270A"/>
    <w:rsid w:val="29F31A37"/>
    <w:rsid w:val="2A1262DA"/>
    <w:rsid w:val="2A193782"/>
    <w:rsid w:val="2A1E502E"/>
    <w:rsid w:val="2A50295E"/>
    <w:rsid w:val="2A883B4C"/>
    <w:rsid w:val="2B0B0371"/>
    <w:rsid w:val="2B2F6342"/>
    <w:rsid w:val="2B8264CD"/>
    <w:rsid w:val="2BA30682"/>
    <w:rsid w:val="2C630DD3"/>
    <w:rsid w:val="2D881BD3"/>
    <w:rsid w:val="2E92008B"/>
    <w:rsid w:val="2E972E8E"/>
    <w:rsid w:val="2F0C31EA"/>
    <w:rsid w:val="2FA86D99"/>
    <w:rsid w:val="300033E1"/>
    <w:rsid w:val="30A2403F"/>
    <w:rsid w:val="30C14188"/>
    <w:rsid w:val="30CB3B9B"/>
    <w:rsid w:val="30FF6B29"/>
    <w:rsid w:val="31187113"/>
    <w:rsid w:val="31A95436"/>
    <w:rsid w:val="31D2478D"/>
    <w:rsid w:val="31E113A0"/>
    <w:rsid w:val="32081D71"/>
    <w:rsid w:val="326F606A"/>
    <w:rsid w:val="327451D4"/>
    <w:rsid w:val="330B69FA"/>
    <w:rsid w:val="332E5807"/>
    <w:rsid w:val="3346000B"/>
    <w:rsid w:val="33702B61"/>
    <w:rsid w:val="33773D9D"/>
    <w:rsid w:val="33A10691"/>
    <w:rsid w:val="34091BD5"/>
    <w:rsid w:val="34235C2C"/>
    <w:rsid w:val="342B54B6"/>
    <w:rsid w:val="344A6670"/>
    <w:rsid w:val="348F7D09"/>
    <w:rsid w:val="34AE5AF3"/>
    <w:rsid w:val="34E56F1E"/>
    <w:rsid w:val="35041554"/>
    <w:rsid w:val="356760AC"/>
    <w:rsid w:val="35971C2D"/>
    <w:rsid w:val="35F93987"/>
    <w:rsid w:val="37865C12"/>
    <w:rsid w:val="379F7BE2"/>
    <w:rsid w:val="37A10B4D"/>
    <w:rsid w:val="37D071C9"/>
    <w:rsid w:val="38037262"/>
    <w:rsid w:val="3897644C"/>
    <w:rsid w:val="38A011D8"/>
    <w:rsid w:val="38BE13DB"/>
    <w:rsid w:val="39991870"/>
    <w:rsid w:val="39C733C1"/>
    <w:rsid w:val="39D55256"/>
    <w:rsid w:val="3A04570F"/>
    <w:rsid w:val="3A137718"/>
    <w:rsid w:val="3A331B8E"/>
    <w:rsid w:val="3AB83A06"/>
    <w:rsid w:val="3ACF3CCB"/>
    <w:rsid w:val="3BEB1BA5"/>
    <w:rsid w:val="3C1F418D"/>
    <w:rsid w:val="3CB10AB9"/>
    <w:rsid w:val="3CE65A12"/>
    <w:rsid w:val="3D360B80"/>
    <w:rsid w:val="3D5B463A"/>
    <w:rsid w:val="3DFD4754"/>
    <w:rsid w:val="3DFE0C51"/>
    <w:rsid w:val="3E751ADE"/>
    <w:rsid w:val="3E7F15F9"/>
    <w:rsid w:val="3F7B0EB0"/>
    <w:rsid w:val="3FD17172"/>
    <w:rsid w:val="3FE22135"/>
    <w:rsid w:val="3FED5168"/>
    <w:rsid w:val="401E07B0"/>
    <w:rsid w:val="404238CF"/>
    <w:rsid w:val="405B1654"/>
    <w:rsid w:val="40754A75"/>
    <w:rsid w:val="40780A57"/>
    <w:rsid w:val="40BC45B0"/>
    <w:rsid w:val="4114428E"/>
    <w:rsid w:val="413931A3"/>
    <w:rsid w:val="413C7FA2"/>
    <w:rsid w:val="414E0B88"/>
    <w:rsid w:val="4169643A"/>
    <w:rsid w:val="422E5823"/>
    <w:rsid w:val="423C5463"/>
    <w:rsid w:val="426B174D"/>
    <w:rsid w:val="42E304EE"/>
    <w:rsid w:val="42FC21B6"/>
    <w:rsid w:val="438E3750"/>
    <w:rsid w:val="43BD25D6"/>
    <w:rsid w:val="43DE3D8B"/>
    <w:rsid w:val="43EF2394"/>
    <w:rsid w:val="4441183E"/>
    <w:rsid w:val="44B01775"/>
    <w:rsid w:val="44CD4E80"/>
    <w:rsid w:val="44D159DF"/>
    <w:rsid w:val="44D22F02"/>
    <w:rsid w:val="44EE3DD3"/>
    <w:rsid w:val="44F74D83"/>
    <w:rsid w:val="44FA0EC7"/>
    <w:rsid w:val="45B10AB6"/>
    <w:rsid w:val="461A57F5"/>
    <w:rsid w:val="464B3994"/>
    <w:rsid w:val="466361DB"/>
    <w:rsid w:val="466F1B1E"/>
    <w:rsid w:val="46DC60C3"/>
    <w:rsid w:val="46FE3A16"/>
    <w:rsid w:val="47B65536"/>
    <w:rsid w:val="47F67BB7"/>
    <w:rsid w:val="47FB2341"/>
    <w:rsid w:val="48367E54"/>
    <w:rsid w:val="484C46D8"/>
    <w:rsid w:val="488E3396"/>
    <w:rsid w:val="48B51679"/>
    <w:rsid w:val="492928A1"/>
    <w:rsid w:val="49B15DC5"/>
    <w:rsid w:val="49FD612F"/>
    <w:rsid w:val="4A76193D"/>
    <w:rsid w:val="4A884CC6"/>
    <w:rsid w:val="4AE94DE0"/>
    <w:rsid w:val="4B0563C2"/>
    <w:rsid w:val="4B6E7B0A"/>
    <w:rsid w:val="4B751DCD"/>
    <w:rsid w:val="4BC5127A"/>
    <w:rsid w:val="4BF611BA"/>
    <w:rsid w:val="4C0C4A5F"/>
    <w:rsid w:val="4C112E61"/>
    <w:rsid w:val="4C7A44AC"/>
    <w:rsid w:val="4CC73513"/>
    <w:rsid w:val="4CCF375F"/>
    <w:rsid w:val="4D4952BF"/>
    <w:rsid w:val="4DA8501B"/>
    <w:rsid w:val="4DBF6EFD"/>
    <w:rsid w:val="4EA53F19"/>
    <w:rsid w:val="4EBF581A"/>
    <w:rsid w:val="4F8A465D"/>
    <w:rsid w:val="505B25C6"/>
    <w:rsid w:val="509033BA"/>
    <w:rsid w:val="50A82202"/>
    <w:rsid w:val="50A867A1"/>
    <w:rsid w:val="50C92977"/>
    <w:rsid w:val="50E87E86"/>
    <w:rsid w:val="50EE0E1A"/>
    <w:rsid w:val="51750D79"/>
    <w:rsid w:val="51DA40E3"/>
    <w:rsid w:val="51EB0A67"/>
    <w:rsid w:val="51EB339C"/>
    <w:rsid w:val="51F64024"/>
    <w:rsid w:val="527E5A0B"/>
    <w:rsid w:val="529544DB"/>
    <w:rsid w:val="52D774DD"/>
    <w:rsid w:val="52EB0BC7"/>
    <w:rsid w:val="52F23D3D"/>
    <w:rsid w:val="53130849"/>
    <w:rsid w:val="5320337B"/>
    <w:rsid w:val="53B754A1"/>
    <w:rsid w:val="53C442A5"/>
    <w:rsid w:val="53D70691"/>
    <w:rsid w:val="53E559D8"/>
    <w:rsid w:val="540E59B6"/>
    <w:rsid w:val="543C42A2"/>
    <w:rsid w:val="548B1426"/>
    <w:rsid w:val="548F6C6A"/>
    <w:rsid w:val="549E05E7"/>
    <w:rsid w:val="54E83610"/>
    <w:rsid w:val="553F73A7"/>
    <w:rsid w:val="554F314A"/>
    <w:rsid w:val="55F55CA7"/>
    <w:rsid w:val="56A13D48"/>
    <w:rsid w:val="57385CD6"/>
    <w:rsid w:val="5754089F"/>
    <w:rsid w:val="57806035"/>
    <w:rsid w:val="57D4170B"/>
    <w:rsid w:val="57D44263"/>
    <w:rsid w:val="57D52D29"/>
    <w:rsid w:val="581044AF"/>
    <w:rsid w:val="583F3E8F"/>
    <w:rsid w:val="585C505D"/>
    <w:rsid w:val="58EB2E9D"/>
    <w:rsid w:val="59741916"/>
    <w:rsid w:val="5999137D"/>
    <w:rsid w:val="59A05FF5"/>
    <w:rsid w:val="5A261D5B"/>
    <w:rsid w:val="5A385088"/>
    <w:rsid w:val="5A854A89"/>
    <w:rsid w:val="5AC2271C"/>
    <w:rsid w:val="5AF33D2F"/>
    <w:rsid w:val="5BC424FA"/>
    <w:rsid w:val="5CDD2CB8"/>
    <w:rsid w:val="5CE76BF6"/>
    <w:rsid w:val="5D1033AA"/>
    <w:rsid w:val="5D631165"/>
    <w:rsid w:val="5DC866D4"/>
    <w:rsid w:val="5E054DD2"/>
    <w:rsid w:val="5E390A9A"/>
    <w:rsid w:val="5EB16E04"/>
    <w:rsid w:val="5EF62DCD"/>
    <w:rsid w:val="5EFA74F7"/>
    <w:rsid w:val="5F385194"/>
    <w:rsid w:val="5F4E49B7"/>
    <w:rsid w:val="5F5A16CB"/>
    <w:rsid w:val="5FA76B94"/>
    <w:rsid w:val="5FB22230"/>
    <w:rsid w:val="5FDC6467"/>
    <w:rsid w:val="5FEF1CF6"/>
    <w:rsid w:val="60C104F9"/>
    <w:rsid w:val="612C110E"/>
    <w:rsid w:val="619D7564"/>
    <w:rsid w:val="61F92FAD"/>
    <w:rsid w:val="622B3124"/>
    <w:rsid w:val="62CF5431"/>
    <w:rsid w:val="6381185F"/>
    <w:rsid w:val="6395512E"/>
    <w:rsid w:val="63A4104A"/>
    <w:rsid w:val="63D336DD"/>
    <w:rsid w:val="63E775E6"/>
    <w:rsid w:val="641553C1"/>
    <w:rsid w:val="647906D6"/>
    <w:rsid w:val="648625D7"/>
    <w:rsid w:val="64CB79C8"/>
    <w:rsid w:val="64E16DAF"/>
    <w:rsid w:val="65383236"/>
    <w:rsid w:val="657A3F2E"/>
    <w:rsid w:val="65B87D90"/>
    <w:rsid w:val="65D57BE0"/>
    <w:rsid w:val="668B3829"/>
    <w:rsid w:val="66DB7FDC"/>
    <w:rsid w:val="6775485A"/>
    <w:rsid w:val="67840BD0"/>
    <w:rsid w:val="67D57EAD"/>
    <w:rsid w:val="67EE6D37"/>
    <w:rsid w:val="685E6734"/>
    <w:rsid w:val="68744813"/>
    <w:rsid w:val="688C7002"/>
    <w:rsid w:val="68D803BA"/>
    <w:rsid w:val="69320EA6"/>
    <w:rsid w:val="69423850"/>
    <w:rsid w:val="69A31AC6"/>
    <w:rsid w:val="69DC6C15"/>
    <w:rsid w:val="69F53185"/>
    <w:rsid w:val="6A4838C6"/>
    <w:rsid w:val="6A6B466F"/>
    <w:rsid w:val="6A9D4550"/>
    <w:rsid w:val="6AA426E5"/>
    <w:rsid w:val="6AA54025"/>
    <w:rsid w:val="6AC424D0"/>
    <w:rsid w:val="6AFE61AA"/>
    <w:rsid w:val="6B020D3C"/>
    <w:rsid w:val="6B296F87"/>
    <w:rsid w:val="6B556CFA"/>
    <w:rsid w:val="6B631239"/>
    <w:rsid w:val="6B87197D"/>
    <w:rsid w:val="6B9A16B0"/>
    <w:rsid w:val="6B9A2BC2"/>
    <w:rsid w:val="6BA87231"/>
    <w:rsid w:val="6BEA05CA"/>
    <w:rsid w:val="6C131B03"/>
    <w:rsid w:val="6C9D475A"/>
    <w:rsid w:val="6CA54592"/>
    <w:rsid w:val="6CB26A0D"/>
    <w:rsid w:val="6CB322FE"/>
    <w:rsid w:val="6DCB4482"/>
    <w:rsid w:val="6DD601B5"/>
    <w:rsid w:val="6EA2276E"/>
    <w:rsid w:val="6EA463A2"/>
    <w:rsid w:val="6EA72882"/>
    <w:rsid w:val="6EAB621D"/>
    <w:rsid w:val="6EDC5B3C"/>
    <w:rsid w:val="6EE24B66"/>
    <w:rsid w:val="6EE37B1C"/>
    <w:rsid w:val="6F395D20"/>
    <w:rsid w:val="6F606AF1"/>
    <w:rsid w:val="6FB26A5D"/>
    <w:rsid w:val="70915FFE"/>
    <w:rsid w:val="70AE2BBA"/>
    <w:rsid w:val="70B0145F"/>
    <w:rsid w:val="70D80585"/>
    <w:rsid w:val="70DE7D5A"/>
    <w:rsid w:val="71926986"/>
    <w:rsid w:val="71B0505E"/>
    <w:rsid w:val="71C84F7B"/>
    <w:rsid w:val="72012690"/>
    <w:rsid w:val="721D4350"/>
    <w:rsid w:val="72A43C2D"/>
    <w:rsid w:val="72C51B98"/>
    <w:rsid w:val="72D16F00"/>
    <w:rsid w:val="72FF11CD"/>
    <w:rsid w:val="730032F6"/>
    <w:rsid w:val="7303024E"/>
    <w:rsid w:val="73413DC2"/>
    <w:rsid w:val="739F1AA3"/>
    <w:rsid w:val="73D97178"/>
    <w:rsid w:val="7409324E"/>
    <w:rsid w:val="740C563C"/>
    <w:rsid w:val="74BB35F2"/>
    <w:rsid w:val="74CB3A5F"/>
    <w:rsid w:val="752B15CB"/>
    <w:rsid w:val="75355FA6"/>
    <w:rsid w:val="75CB415E"/>
    <w:rsid w:val="75D401F7"/>
    <w:rsid w:val="75F24D50"/>
    <w:rsid w:val="76684159"/>
    <w:rsid w:val="769155A5"/>
    <w:rsid w:val="76A45E1F"/>
    <w:rsid w:val="76AE6010"/>
    <w:rsid w:val="771B7868"/>
    <w:rsid w:val="77331725"/>
    <w:rsid w:val="7745419D"/>
    <w:rsid w:val="77F959B0"/>
    <w:rsid w:val="78145E09"/>
    <w:rsid w:val="784A5775"/>
    <w:rsid w:val="797A7B41"/>
    <w:rsid w:val="79FA5A10"/>
    <w:rsid w:val="7A4E5540"/>
    <w:rsid w:val="7A5275FA"/>
    <w:rsid w:val="7AA22265"/>
    <w:rsid w:val="7B027314"/>
    <w:rsid w:val="7B09415C"/>
    <w:rsid w:val="7B354039"/>
    <w:rsid w:val="7B404416"/>
    <w:rsid w:val="7B467B0E"/>
    <w:rsid w:val="7B8B41B6"/>
    <w:rsid w:val="7B9867C4"/>
    <w:rsid w:val="7B9A4DB4"/>
    <w:rsid w:val="7BBA405C"/>
    <w:rsid w:val="7BDE3289"/>
    <w:rsid w:val="7C0416D9"/>
    <w:rsid w:val="7C8122B7"/>
    <w:rsid w:val="7D474AC8"/>
    <w:rsid w:val="7D5C7BD3"/>
    <w:rsid w:val="7DB05C71"/>
    <w:rsid w:val="7DE618B8"/>
    <w:rsid w:val="7E15369F"/>
    <w:rsid w:val="7EA270A7"/>
    <w:rsid w:val="7F116426"/>
    <w:rsid w:val="7F2F05CE"/>
    <w:rsid w:val="7FA32146"/>
    <w:rsid w:val="7FAA7590"/>
    <w:rsid w:val="7FB414D2"/>
    <w:rsid w:val="7FBE6D6E"/>
    <w:rsid w:val="7FDA2981"/>
    <w:rsid w:val="7FEF407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jc w:val="left"/>
      <w:textAlignment w:val="baseline"/>
    </w:pPr>
    <w:rPr>
      <w:rFonts w:ascii="Arial" w:hAnsi="Arial" w:eastAsia="Arial" w:cs="Arial"/>
      <w:snapToGrid w:val="0"/>
      <w:color w:val="000000"/>
      <w:kern w:val="0"/>
      <w:sz w:val="21"/>
      <w:szCs w:val="21"/>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4">
    <w:name w:val="Normal Indent"/>
    <w:basedOn w:val="1"/>
    <w:qFormat/>
    <w:uiPriority w:val="0"/>
    <w:pPr>
      <w:ind w:firstLine="420" w:firstLineChars="200"/>
    </w:pPr>
    <w:rPr>
      <w:kern w:val="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Title"/>
    <w:basedOn w:val="1"/>
    <w:next w:val="1"/>
    <w:qFormat/>
    <w:uiPriority w:val="0"/>
    <w:pPr>
      <w:jc w:val="center"/>
      <w:outlineLvl w:val="0"/>
    </w:pPr>
    <w:rPr>
      <w:rFonts w:ascii="Arial" w:hAnsi="Arial" w:cs="Arial"/>
      <w:bCs/>
      <w:szCs w:val="32"/>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2">
    <w:name w:val="page number"/>
    <w:basedOn w:val="11"/>
    <w:qFormat/>
    <w:uiPriority w:val="0"/>
  </w:style>
  <w:style w:type="table" w:customStyle="1" w:styleId="13">
    <w:name w:val="Table Normal"/>
    <w:semiHidden/>
    <w:unhideWhenUsed/>
    <w:qFormat/>
    <w:uiPriority w:val="0"/>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12</Pages>
  <Words>5747</Words>
  <Characters>5772</Characters>
  <TotalTime>36</TotalTime>
  <ScaleCrop>false</ScaleCrop>
  <LinksUpToDate>false</LinksUpToDate>
  <CharactersWithSpaces>6018</CharactersWithSpaces>
  <Application>WPS Office_11.8.2.8506_F1E327BC-269C-435d-A152-05C5408002CA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2022-03-19T02:52:00Z</dcterms:created>
  <dc:creator>LENOVO</dc:creator>
  <cp:lastModifiedBy>Zhang Ao</cp:lastModifiedBy>
  <cp:lastPrinted>2022-04-07T09:43:00Z</cp:lastPrinted>
  <dcterms:modified xsi:type="dcterms:W3CDTF">2023-03-23T09:21:27Z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3EFF907CA6AE4F5E8FEA7F9DFC672C01</vt:lpwstr>
  </property>
</Properties>
</file>