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高青县人力资源和社会保障局</w:t>
      </w:r>
    </w:p>
    <w:p>
      <w:pPr>
        <w:spacing w:line="560"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2021年政府信息公开工作年度报告</w:t>
      </w:r>
    </w:p>
    <w:p>
      <w:pPr>
        <w:spacing w:line="560" w:lineRule="exact"/>
        <w:ind w:firstLine="0"/>
        <w:jc w:val="center"/>
        <w:rPr>
          <w:rFonts w:ascii="方正小标宋简体" w:hAnsi="方正小标宋简体" w:eastAsia="方正小标宋简体" w:cs="方正小标宋简体"/>
          <w:sz w:val="44"/>
          <w:szCs w:val="44"/>
        </w:rPr>
      </w:pPr>
    </w:p>
    <w:p>
      <w:pPr>
        <w:spacing w:line="560" w:lineRule="exact"/>
        <w:ind w:firstLine="640" w:firstLineChars="200"/>
        <w:rPr>
          <w:rFonts w:ascii="仿宋_GB2312" w:hAnsi="仿宋_GB2312" w:eastAsia="仿宋_GB2312" w:cs="仿宋_GB2312"/>
        </w:rPr>
      </w:pPr>
      <w:r>
        <w:rPr>
          <w:rFonts w:hint="eastAsia" w:ascii="仿宋_GB2312" w:hAnsi="仿宋_GB2312" w:eastAsia="仿宋_GB2312" w:cs="仿宋_GB231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pPr>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rPr>
        <w:t>报告中所列数据统计期限自2021年1月1日始，至2021年12月31日止。报告电子版可在高青县人民政府门户网站（www.gaoqing.gov.cn）查阅和下载。如对报告内容有疑问，请与</w:t>
      </w:r>
      <w:r>
        <w:rPr>
          <w:rFonts w:hint="eastAsia" w:ascii="仿宋_GB2312" w:hAnsi="仿宋_GB2312" w:eastAsia="仿宋_GB2312" w:cs="仿宋_GB2312"/>
          <w:szCs w:val="32"/>
        </w:rPr>
        <w:t>高青县人力资源和社会保障局办公室联系（地址：高青县高苑东路9号；邮编：256300；电话：0533-6961247；传真：0533-6961247）。</w:t>
      </w:r>
    </w:p>
    <w:p>
      <w:pPr>
        <w:spacing w:line="560" w:lineRule="exact"/>
        <w:ind w:firstLine="640" w:firstLineChars="200"/>
        <w:rPr>
          <w:rFonts w:ascii="黑体" w:hAnsi="黑体" w:eastAsia="黑体"/>
          <w:szCs w:val="32"/>
        </w:rPr>
      </w:pPr>
      <w:r>
        <w:rPr>
          <w:rFonts w:hint="eastAsia" w:ascii="黑体" w:hAnsi="黑体" w:eastAsia="黑体"/>
          <w:szCs w:val="32"/>
        </w:rPr>
        <w:t>一、总体情况</w:t>
      </w:r>
    </w:p>
    <w:p>
      <w:pPr>
        <w:spacing w:line="560" w:lineRule="exact"/>
        <w:ind w:firstLine="640" w:firstLineChars="200"/>
        <w:jc w:val="left"/>
        <w:rPr>
          <w:rFonts w:ascii="楷体_GB2312" w:hAnsi="黑体" w:eastAsia="楷体_GB2312"/>
          <w:szCs w:val="32"/>
        </w:rPr>
      </w:pPr>
      <w:r>
        <w:rPr>
          <w:rFonts w:hint="eastAsia" w:ascii="楷体_GB2312" w:hAnsi="黑体" w:eastAsia="楷体_GB2312"/>
          <w:szCs w:val="32"/>
        </w:rPr>
        <w:t>（一）主动公开</w:t>
      </w:r>
    </w:p>
    <w:p>
      <w:pPr>
        <w:autoSpaceDE/>
        <w:autoSpaceDN/>
        <w:snapToGrid/>
        <w:spacing w:line="560" w:lineRule="exact"/>
        <w:ind w:firstLine="640" w:firstLineChars="200"/>
        <w:rPr>
          <w:rFonts w:ascii="仿宋_GB2312" w:hAnsi="仿宋_GB2312" w:eastAsia="仿宋_GB2312" w:cs="仿宋_GB2312"/>
          <w:szCs w:val="32"/>
          <w:shd w:val="clear" w:color="auto" w:fill="FFFFFF"/>
        </w:rPr>
      </w:pPr>
      <w:r>
        <w:rPr>
          <w:rFonts w:hint="eastAsia" w:ascii="仿宋_GB2312" w:eastAsia="仿宋_GB2312" w:hAnsiTheme="minorHAnsi" w:cstheme="minorBidi"/>
          <w:snapToGrid/>
          <w:kern w:val="2"/>
          <w:szCs w:val="32"/>
        </w:rPr>
        <w:t>认真落实政府信息公开相关规定要求，制定并下发《高青县人力资源和社会保障局2021年度政务公开工作实施方案》，保障推动信息公开工作有力有效开展。坚持解读材料与政策文件同步公开，规范政策解读，解读材料重点对文件的背景、起草依据、出台目的、主要内容等进行解读。2021年主动公开相关政府信息315条，涵盖就业创业、社会保障、人事人才、劳动维权等人社工作重点领域信息；通过政府信箱收到了70件群众留言，主要涉及工资拖欠、事业单位招聘、人才引进、技能补贴等方面，所有留言均在5个工作日答复完毕，群众对答复结果满意。</w:t>
      </w:r>
    </w:p>
    <w:p>
      <w:pPr>
        <w:autoSpaceDE/>
        <w:autoSpaceDN/>
        <w:snapToGrid/>
        <w:spacing w:line="560" w:lineRule="exact"/>
        <w:ind w:firstLine="640" w:firstLineChars="200"/>
        <w:rPr>
          <w:rFonts w:ascii="楷体_GB2312" w:hAnsi="黑体" w:eastAsia="楷体_GB2312"/>
          <w:szCs w:val="32"/>
        </w:rPr>
      </w:pPr>
      <w:r>
        <w:rPr>
          <w:rFonts w:hint="eastAsia" w:ascii="楷体_GB2312" w:hAnsi="黑体" w:eastAsia="楷体_GB2312"/>
          <w:szCs w:val="32"/>
        </w:rPr>
        <w:t>（二）依申请公开</w:t>
      </w:r>
    </w:p>
    <w:p>
      <w:pPr>
        <w:spacing w:line="560" w:lineRule="exact"/>
        <w:ind w:firstLine="640" w:firstLineChars="200"/>
      </w:pPr>
      <w:r>
        <w:rPr>
          <w:rFonts w:hint="eastAsia" w:ascii="仿宋_GB2312" w:eastAsia="仿宋_GB2312" w:hAnsiTheme="minorHAnsi" w:cstheme="minorBidi"/>
          <w:snapToGrid/>
          <w:kern w:val="2"/>
          <w:szCs w:val="32"/>
        </w:rPr>
        <w:t>2021年，共收到政府信息公开申请1件，申请内容为社会保障领域信息，办结政府信息公开申请1件。在办结的申请中：予以公开1件。</w:t>
      </w:r>
      <w:r>
        <w:rPr>
          <w:rFonts w:hint="eastAsia" w:ascii="仿宋_GB2312" w:eastAsia="仿宋_GB2312"/>
          <w:szCs w:val="32"/>
        </w:rPr>
        <w:t>未因政府信息公开被申请行政复议、提起行政诉讼。</w:t>
      </w:r>
    </w:p>
    <w:p>
      <w:pPr>
        <w:autoSpaceDE/>
        <w:autoSpaceDN/>
        <w:snapToGrid/>
        <w:spacing w:line="560" w:lineRule="exact"/>
        <w:ind w:firstLine="640" w:firstLineChars="200"/>
        <w:rPr>
          <w:rFonts w:ascii="楷体_GB2312" w:hAnsi="黑体" w:eastAsia="楷体_GB2312"/>
          <w:szCs w:val="32"/>
        </w:rPr>
      </w:pPr>
      <w:r>
        <w:rPr>
          <w:rFonts w:hint="eastAsia" w:ascii="楷体_GB2312" w:hAnsi="黑体" w:eastAsia="楷体_GB2312"/>
          <w:szCs w:val="32"/>
        </w:rPr>
        <w:t>（三）政府信息管理</w:t>
      </w:r>
    </w:p>
    <w:p>
      <w:pPr>
        <w:autoSpaceDE/>
        <w:autoSpaceDN/>
        <w:snapToGrid/>
        <w:spacing w:line="560" w:lineRule="exact"/>
      </w:pPr>
      <w:r>
        <w:rPr>
          <w:rFonts w:hint="eastAsia" w:ascii="仿宋_GB2312" w:eastAsia="仿宋_GB2312" w:hAnsiTheme="minorHAnsi" w:cstheme="minorBidi"/>
          <w:snapToGrid/>
          <w:kern w:val="2"/>
          <w:szCs w:val="32"/>
        </w:rPr>
        <w:t>建立和完善信息发布审查制度，制定《政务公开工作实施方案》，规范信息发布的范围和程序。实行政府信息动态调整制度，安排专人负责</w:t>
      </w:r>
      <w:r>
        <w:rPr>
          <w:rFonts w:hint="eastAsia" w:ascii="仿宋_GB2312" w:eastAsia="仿宋_GB2312" w:hAnsiTheme="minorHAnsi" w:cstheme="minorBidi"/>
          <w:snapToGrid/>
          <w:kern w:val="2"/>
          <w:szCs w:val="32"/>
          <w:lang w:eastAsia="zh-CN"/>
        </w:rPr>
        <w:t>政府</w:t>
      </w:r>
      <w:r>
        <w:rPr>
          <w:rFonts w:hint="eastAsia" w:ascii="仿宋_GB2312" w:eastAsia="仿宋_GB2312" w:hAnsiTheme="minorHAnsi" w:cstheme="minorBidi"/>
          <w:snapToGrid/>
          <w:kern w:val="2"/>
          <w:szCs w:val="32"/>
        </w:rPr>
        <w:t>信息公开工作,</w:t>
      </w:r>
      <w:r>
        <w:rPr>
          <w:rFonts w:hint="eastAsia" w:ascii="仿宋_GB2312" w:eastAsia="仿宋_GB2312" w:hAnsiTheme="minorHAnsi" w:cstheme="minorBidi"/>
          <w:snapToGrid/>
          <w:kern w:val="2"/>
          <w:szCs w:val="32"/>
          <w:lang w:eastAsia="zh-CN"/>
        </w:rPr>
        <w:t>定期</w:t>
      </w:r>
      <w:r>
        <w:rPr>
          <w:rFonts w:hint="eastAsia" w:ascii="仿宋_GB2312" w:eastAsia="仿宋_GB2312" w:hAnsiTheme="minorHAnsi" w:cstheme="minorBidi"/>
          <w:snapToGrid/>
          <w:kern w:val="2"/>
          <w:szCs w:val="32"/>
        </w:rPr>
        <w:t>学习政策知识，保持栏目和信息定期更新更新，及时清理失效文件。</w:t>
      </w:r>
    </w:p>
    <w:p>
      <w:pPr>
        <w:spacing w:line="560" w:lineRule="exact"/>
        <w:ind w:firstLine="640" w:firstLineChars="200"/>
        <w:jc w:val="left"/>
        <w:rPr>
          <w:rFonts w:ascii="楷体_GB2312" w:hAnsi="黑体" w:eastAsia="楷体_GB2312"/>
          <w:szCs w:val="32"/>
        </w:rPr>
      </w:pPr>
      <w:r>
        <w:rPr>
          <w:rFonts w:hint="eastAsia" w:ascii="楷体_GB2312" w:hAnsi="黑体" w:eastAsia="楷体_GB2312"/>
          <w:szCs w:val="32"/>
        </w:rPr>
        <w:t>（四）政府信息公开平台建设</w:t>
      </w:r>
    </w:p>
    <w:p>
      <w:pPr>
        <w:pStyle w:val="6"/>
        <w:autoSpaceDE/>
        <w:autoSpaceDN/>
        <w:snapToGrid/>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一是发挥高青县人民政府网站第一平台作用。</w:t>
      </w:r>
      <w:r>
        <w:rPr>
          <w:rFonts w:hint="eastAsia" w:ascii="仿宋_GB2312" w:hAnsi="仿宋_GB2312" w:eastAsia="仿宋_GB2312" w:cs="仿宋_GB2312"/>
          <w:b/>
          <w:bCs/>
          <w:sz w:val="32"/>
          <w:szCs w:val="32"/>
        </w:rPr>
        <w:t>二</w:t>
      </w:r>
      <w:r>
        <w:rPr>
          <w:rFonts w:hint="eastAsia" w:ascii="仿宋_GB2312" w:hAnsi="仿宋_GB2312" w:eastAsia="仿宋_GB2312" w:cs="仿宋_GB2312"/>
          <w:sz w:val="32"/>
          <w:szCs w:val="32"/>
        </w:rPr>
        <w:t>是建立“高青人社”微信公众号，不断拓宽信息公开渠道。</w:t>
      </w:r>
      <w:r>
        <w:rPr>
          <w:rFonts w:hint="eastAsia" w:ascii="仿宋_GB2312" w:hAnsi="仿宋_GB2312" w:eastAsia="仿宋_GB2312" w:cs="仿宋_GB2312"/>
          <w:b/>
          <w:bCs/>
          <w:sz w:val="32"/>
          <w:szCs w:val="32"/>
        </w:rPr>
        <w:t>三</w:t>
      </w:r>
      <w:r>
        <w:rPr>
          <w:rFonts w:hint="eastAsia" w:ascii="仿宋_GB2312" w:hAnsi="仿宋_GB2312" w:eastAsia="仿宋_GB2312" w:cs="仿宋_GB2312"/>
          <w:sz w:val="32"/>
          <w:szCs w:val="32"/>
        </w:rPr>
        <w:t>是设置局机关政务公开栏。公开张贴人社领域各类服务信息，不断扩大政务公开覆盖面。</w:t>
      </w:r>
    </w:p>
    <w:p>
      <w:pPr>
        <w:pStyle w:val="6"/>
        <w:autoSpaceDE/>
        <w:autoSpaceDN/>
        <w:snapToGrid/>
        <w:spacing w:before="0" w:beforeAutospacing="0" w:after="0" w:afterAutospacing="0" w:line="240" w:lineRule="auto"/>
        <w:ind w:firstLine="0"/>
        <w:jc w:val="center"/>
        <w:rPr>
          <w:rFonts w:ascii="Times New Roman" w:hAnsi="Times New Roman" w:eastAsia="仿宋_GB2312" w:cs="Times New Roman"/>
          <w:color w:val="FF0000"/>
          <w:sz w:val="32"/>
          <w:szCs w:val="32"/>
        </w:rPr>
      </w:pPr>
      <w:r>
        <w:rPr>
          <w:rFonts w:hint="eastAsia" w:ascii="Times New Roman" w:hAnsi="Times New Roman" w:eastAsia="仿宋_GB2312" w:cs="Times New Roman"/>
          <w:color w:val="FF0000"/>
          <w:sz w:val="32"/>
          <w:szCs w:val="32"/>
        </w:rPr>
        <w:drawing>
          <wp:inline distT="0" distB="0" distL="114300" distR="114300">
            <wp:extent cx="1863725" cy="1678940"/>
            <wp:effectExtent l="0" t="0" r="3175" b="16510"/>
            <wp:docPr id="3" name="图片 3" descr="164145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41452652"/>
                    <pic:cNvPicPr>
                      <a:picLocks noChangeAspect="1"/>
                    </pic:cNvPicPr>
                  </pic:nvPicPr>
                  <pic:blipFill>
                    <a:blip r:embed="rId6"/>
                    <a:stretch>
                      <a:fillRect/>
                    </a:stretch>
                  </pic:blipFill>
                  <pic:spPr>
                    <a:xfrm>
                      <a:off x="0" y="0"/>
                      <a:ext cx="1863725" cy="1678940"/>
                    </a:xfrm>
                    <a:prstGeom prst="rect">
                      <a:avLst/>
                    </a:prstGeom>
                  </pic:spPr>
                </pic:pic>
              </a:graphicData>
            </a:graphic>
          </wp:inline>
        </w:drawing>
      </w:r>
      <w:r>
        <w:rPr>
          <w:rFonts w:hint="eastAsia" w:ascii="Times New Roman" w:hAnsi="Times New Roman" w:eastAsia="仿宋_GB2312" w:cs="Times New Roman"/>
          <w:color w:val="FF0000"/>
          <w:sz w:val="32"/>
          <w:szCs w:val="32"/>
        </w:rPr>
        <w:drawing>
          <wp:inline distT="0" distB="0" distL="114300" distR="114300">
            <wp:extent cx="2085340" cy="1562100"/>
            <wp:effectExtent l="0" t="0" r="10160" b="0"/>
            <wp:docPr id="2" name="图片 2" descr="bd794386bec2febe93834df625ad7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d794386bec2febe93834df625ad71c"/>
                    <pic:cNvPicPr>
                      <a:picLocks noChangeAspect="1"/>
                    </pic:cNvPicPr>
                  </pic:nvPicPr>
                  <pic:blipFill>
                    <a:blip r:embed="rId7"/>
                    <a:stretch>
                      <a:fillRect/>
                    </a:stretch>
                  </pic:blipFill>
                  <pic:spPr>
                    <a:xfrm>
                      <a:off x="0" y="0"/>
                      <a:ext cx="2085340" cy="1562100"/>
                    </a:xfrm>
                    <a:prstGeom prst="rect">
                      <a:avLst/>
                    </a:prstGeom>
                  </pic:spPr>
                </pic:pic>
              </a:graphicData>
            </a:graphic>
          </wp:inline>
        </w:drawing>
      </w:r>
    </w:p>
    <w:p>
      <w:pPr>
        <w:spacing w:line="560" w:lineRule="exact"/>
        <w:ind w:firstLine="640" w:firstLineChars="200"/>
        <w:jc w:val="left"/>
        <w:rPr>
          <w:rFonts w:ascii="楷体_GB2312" w:hAnsi="黑体" w:eastAsia="楷体_GB2312"/>
          <w:szCs w:val="32"/>
        </w:rPr>
      </w:pPr>
      <w:r>
        <w:rPr>
          <w:rFonts w:hint="eastAsia" w:ascii="楷体_GB2312" w:hAnsi="黑体" w:eastAsia="楷体_GB2312"/>
          <w:szCs w:val="32"/>
        </w:rPr>
        <w:t>（五）监督保障</w:t>
      </w:r>
    </w:p>
    <w:p>
      <w:pPr>
        <w:spacing w:line="560" w:lineRule="exact"/>
        <w:ind w:firstLine="640" w:firstLineChars="200"/>
        <w:jc w:val="left"/>
        <w:rPr>
          <w:rFonts w:eastAsia="仿宋_GB2312"/>
          <w:snapToGrid/>
          <w:szCs w:val="32"/>
          <w:lang w:bidi="ar"/>
        </w:rPr>
      </w:pPr>
      <w:r>
        <w:rPr>
          <w:rFonts w:hint="eastAsia" w:eastAsia="仿宋_GB2312"/>
          <w:snapToGrid/>
          <w:szCs w:val="32"/>
          <w:lang w:bidi="ar"/>
        </w:rPr>
        <w:t>一是强化组织领导。</w:t>
      </w:r>
      <w:r>
        <w:rPr>
          <w:rFonts w:eastAsia="仿宋_GB2312"/>
          <w:snapToGrid/>
          <w:szCs w:val="32"/>
          <w:lang w:bidi="ar"/>
        </w:rPr>
        <w:t>根据人员变化情况和工作需要，</w:t>
      </w:r>
      <w:r>
        <w:rPr>
          <w:rFonts w:hint="eastAsia" w:eastAsia="仿宋_GB2312"/>
          <w:snapToGrid/>
          <w:szCs w:val="32"/>
          <w:lang w:bidi="ar"/>
        </w:rPr>
        <w:t>及时调整局政务公开领导小组。二是细化职责分工。明确由局办公室作承担政府信息和政务公开工作。三是深化业务培训。将政务公开纳入干部培训，每季度组织政务公开业务学习培训一次。</w:t>
      </w:r>
    </w:p>
    <w:p>
      <w:pPr>
        <w:pStyle w:val="6"/>
        <w:autoSpaceDE/>
        <w:autoSpaceDN/>
        <w:snapToGrid/>
        <w:spacing w:before="0" w:beforeAutospacing="0" w:after="0" w:afterAutospacing="0" w:line="240" w:lineRule="auto"/>
        <w:ind w:firstLine="0"/>
        <w:jc w:val="center"/>
        <w:rPr>
          <w:rFonts w:ascii="黑体" w:hAnsi="黑体" w:eastAsia="黑体"/>
          <w:szCs w:val="32"/>
        </w:rPr>
      </w:pPr>
      <w:r>
        <w:rPr>
          <w:rFonts w:ascii="Times New Roman" w:hAnsi="Times New Roman" w:eastAsia="仿宋_GB2312" w:cs="Times New Roman"/>
          <w:snapToGrid/>
          <w:sz w:val="32"/>
          <w:szCs w:val="32"/>
        </w:rPr>
        <w:drawing>
          <wp:inline distT="0" distB="0" distL="114300" distR="114300">
            <wp:extent cx="2807335" cy="1675130"/>
            <wp:effectExtent l="0" t="0" r="12065" b="1270"/>
            <wp:docPr id="1" name="图片 1" descr="会议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会议图片"/>
                    <pic:cNvPicPr>
                      <a:picLocks noChangeAspect="1"/>
                    </pic:cNvPicPr>
                  </pic:nvPicPr>
                  <pic:blipFill>
                    <a:blip r:embed="rId8"/>
                    <a:stretch>
                      <a:fillRect/>
                    </a:stretch>
                  </pic:blipFill>
                  <pic:spPr>
                    <a:xfrm>
                      <a:off x="0" y="0"/>
                      <a:ext cx="2807335" cy="1675130"/>
                    </a:xfrm>
                    <a:prstGeom prst="rect">
                      <a:avLst/>
                    </a:prstGeom>
                  </pic:spPr>
                </pic:pic>
              </a:graphicData>
            </a:graphic>
          </wp:inline>
        </w:drawing>
      </w:r>
    </w:p>
    <w:p>
      <w:pPr>
        <w:spacing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pPr>
              <w:spacing w:line="240" w:lineRule="auto"/>
              <w:ind w:firstLine="0"/>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2131" w:type="dxa"/>
            <w:vAlign w:val="center"/>
          </w:tcPr>
          <w:p>
            <w:pPr>
              <w:spacing w:line="240" w:lineRule="auto"/>
              <w:ind w:firstLine="0"/>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2131" w:type="dxa"/>
            <w:vAlign w:val="center"/>
          </w:tcPr>
          <w:p>
            <w:pPr>
              <w:spacing w:line="240" w:lineRule="auto"/>
              <w:ind w:firstLine="0"/>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pPr>
              <w:spacing w:line="240" w:lineRule="auto"/>
              <w:ind w:firstLine="0"/>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2131" w:type="dxa"/>
            <w:vAlign w:val="center"/>
          </w:tcPr>
          <w:p>
            <w:pPr>
              <w:spacing w:line="240" w:lineRule="auto"/>
              <w:ind w:firstLine="0"/>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2131" w:type="dxa"/>
            <w:vAlign w:val="center"/>
          </w:tcPr>
          <w:p>
            <w:pPr>
              <w:spacing w:line="240" w:lineRule="auto"/>
              <w:ind w:firstLine="0"/>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仿宋_GB2312" w:hAnsi="仿宋_GB2312" w:eastAsia="仿宋_GB2312" w:cs="仿宋_GB2312"/>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pPr>
              <w:spacing w:line="240" w:lineRule="auto"/>
              <w:ind w:firstLine="0"/>
              <w:jc w:val="center"/>
              <w:rPr>
                <w:rFonts w:ascii="黑体" w:hAnsi="黑体" w:eastAsia="黑体"/>
                <w:sz w:val="20"/>
              </w:rPr>
            </w:pPr>
            <w:r>
              <w:rPr>
                <w:rFonts w:hint="eastAsia" w:ascii="仿宋_GB2312" w:hAnsi="仿宋_GB2312" w:eastAsia="仿宋_GB2312" w:cs="仿宋_GB2312"/>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pPr>
              <w:spacing w:line="240" w:lineRule="auto"/>
              <w:ind w:firstLine="0"/>
              <w:jc w:val="center"/>
              <w:rPr>
                <w:rFonts w:ascii="黑体" w:hAnsi="黑体" w:eastAsia="黑体"/>
                <w:sz w:val="20"/>
              </w:rPr>
            </w:pPr>
            <w:r>
              <w:rPr>
                <w:rFonts w:hint="eastAsia" w:ascii="仿宋_GB2312" w:hAnsi="仿宋_GB2312" w:eastAsia="仿宋_GB2312" w:cs="仿宋_GB2312"/>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FF0000"/>
                <w:sz w:val="20"/>
              </w:rPr>
            </w:pPr>
            <w:r>
              <w:rPr>
                <w:rFonts w:hint="eastAsia" w:ascii="宋体" w:hAnsi="宋体" w:eastAsia="宋体" w:cs="宋体"/>
                <w:snapToGrid/>
                <w:color w:val="000000" w:themeColor="text1"/>
                <w:sz w:val="20"/>
                <w14:textFill>
                  <w14:solidFill>
                    <w14:schemeClr w14:val="tx1"/>
                  </w14:solidFill>
                </w14:textFill>
              </w:rPr>
              <w:t>行政事业性收费</w:t>
            </w:r>
          </w:p>
        </w:tc>
        <w:tc>
          <w:tcPr>
            <w:tcW w:w="6392" w:type="dxa"/>
            <w:gridSpan w:val="3"/>
            <w:vAlign w:val="center"/>
          </w:tcPr>
          <w:p>
            <w:pPr>
              <w:spacing w:line="240" w:lineRule="auto"/>
              <w:ind w:firstLine="0"/>
              <w:jc w:val="center"/>
              <w:rPr>
                <w:rFonts w:ascii="黑体" w:hAnsi="黑体" w:eastAsia="黑体"/>
                <w:color w:val="FF0000"/>
                <w:sz w:val="20"/>
              </w:rPr>
            </w:pPr>
            <w:r>
              <w:rPr>
                <w:rFonts w:hint="eastAsia" w:ascii="宋体" w:hAnsi="宋体" w:eastAsia="宋体" w:cs="宋体"/>
                <w:color w:val="000000" w:themeColor="text1"/>
                <w:sz w:val="20"/>
                <w14:textFill>
                  <w14:solidFill>
                    <w14:schemeClr w14:val="tx1"/>
                  </w14:solidFill>
                </w14:textFill>
              </w:rPr>
              <w:t>63.81</w:t>
            </w:r>
          </w:p>
        </w:tc>
      </w:tr>
    </w:tbl>
    <w:p>
      <w:pPr>
        <w:spacing w:line="240" w:lineRule="auto"/>
        <w:ind w:left="0" w:leftChars="0" w:firstLine="0" w:firstLineChars="0"/>
        <w:rPr>
          <w:rFonts w:ascii="黑体" w:hAnsi="黑体" w:eastAsia="黑体"/>
          <w:szCs w:val="32"/>
        </w:rPr>
      </w:pPr>
    </w:p>
    <w:p>
      <w:pPr>
        <w:spacing w:line="240" w:lineRule="auto"/>
        <w:ind w:firstLine="640" w:firstLineChars="200"/>
      </w:pPr>
      <w:r>
        <w:rPr>
          <w:rFonts w:hint="eastAsia" w:ascii="黑体" w:hAnsi="黑体" w:eastAsia="黑体"/>
          <w:szCs w:val="32"/>
        </w:rPr>
        <w:t>三、收到和处理政府信息公开申请情况</w:t>
      </w:r>
    </w:p>
    <w:tbl>
      <w:tblPr>
        <w:tblStyle w:val="7"/>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1</w:t>
            </w:r>
          </w:p>
        </w:tc>
      </w:tr>
      <w:tr>
        <w:tblPrEx>
          <w:tblCellMar>
            <w:top w:w="0" w:type="dxa"/>
            <w:left w:w="0" w:type="dxa"/>
            <w:bottom w:w="0" w:type="dxa"/>
            <w:right w:w="0" w:type="dxa"/>
          </w:tblCellMar>
        </w:tblPrEx>
        <w:trPr>
          <w:trHeight w:val="297" w:hRule="atLeast"/>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p>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p>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1</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Theme="minorEastAsia" w:hAnsiTheme="minorEastAsia" w:eastAsiaTheme="minorEastAsia" w:cstheme="minorEastAsia"/>
                <w:snapToGrid/>
                <w:sz w:val="21"/>
                <w:szCs w:val="21"/>
              </w:rPr>
            </w:pPr>
            <w:r>
              <w:rPr>
                <w:rFonts w:hint="eastAsia" w:asciiTheme="minorEastAsia" w:hAnsiTheme="minorEastAsia" w:eastAsiaTheme="minorEastAsia" w:cstheme="minorEastAsia"/>
                <w:snapToGrid/>
                <w:sz w:val="21"/>
                <w:szCs w:val="21"/>
              </w:rPr>
              <w:t>0</w:t>
            </w:r>
          </w:p>
        </w:tc>
      </w:tr>
    </w:tbl>
    <w:p>
      <w:pPr>
        <w:spacing w:line="560" w:lineRule="exact"/>
        <w:ind w:firstLine="0"/>
        <w:rPr>
          <w:rFonts w:ascii="黑体" w:hAnsi="黑体" w:eastAsia="黑体"/>
          <w:szCs w:val="32"/>
        </w:rPr>
      </w:pPr>
    </w:p>
    <w:p>
      <w:pPr>
        <w:pStyle w:val="2"/>
        <w:rPr>
          <w:rFonts w:ascii="黑体" w:hAnsi="黑体" w:eastAsia="黑体"/>
          <w:szCs w:val="32"/>
        </w:rPr>
      </w:pPr>
    </w:p>
    <w:p>
      <w:pPr>
        <w:spacing w:line="560" w:lineRule="exact"/>
        <w:ind w:firstLine="640" w:firstLineChars="200"/>
        <w:rPr>
          <w:rFonts w:hint="eastAsia" w:ascii="黑体" w:hAnsi="黑体" w:eastAsia="黑体"/>
          <w:szCs w:val="32"/>
        </w:rPr>
      </w:pPr>
      <w:bookmarkStart w:id="0" w:name="_GoBack"/>
      <w:bookmarkEnd w:id="0"/>
    </w:p>
    <w:p>
      <w:pPr>
        <w:spacing w:line="560" w:lineRule="exact"/>
        <w:ind w:firstLine="640" w:firstLineChars="200"/>
      </w:pPr>
      <w:r>
        <w:rPr>
          <w:rFonts w:hint="eastAsia" w:ascii="黑体" w:hAnsi="黑体" w:eastAsia="黑体"/>
          <w:szCs w:val="32"/>
        </w:rPr>
        <w:t>四、政府信息公开行政复议、行政诉讼情况</w:t>
      </w:r>
    </w:p>
    <w:tbl>
      <w:tblPr>
        <w:tblStyle w:val="7"/>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其他</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尚未</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其他</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尚未</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其他</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尚未</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560" w:lineRule="exact"/>
        <w:rPr>
          <w:rFonts w:ascii="黑体" w:hAnsi="黑体" w:eastAsia="黑体"/>
          <w:szCs w:val="32"/>
        </w:rPr>
      </w:pPr>
      <w:r>
        <w:rPr>
          <w:rFonts w:hint="eastAsia" w:ascii="黑体" w:hAnsi="黑体" w:eastAsia="黑体"/>
          <w:szCs w:val="32"/>
        </w:rPr>
        <w:t>五、存在的主要问题及改进情况</w:t>
      </w:r>
    </w:p>
    <w:p>
      <w:pPr>
        <w:spacing w:line="560" w:lineRule="exact"/>
        <w:ind w:firstLine="640" w:firstLineChars="200"/>
        <w:jc w:val="left"/>
        <w:rPr>
          <w:rFonts w:ascii="楷体_GB2312" w:hAnsi="黑体" w:eastAsia="楷体_GB2312"/>
          <w:szCs w:val="32"/>
        </w:rPr>
      </w:pPr>
      <w:r>
        <w:rPr>
          <w:rFonts w:hint="eastAsia" w:ascii="楷体_GB2312" w:hAnsi="黑体" w:eastAsia="楷体_GB2312"/>
          <w:szCs w:val="32"/>
        </w:rPr>
        <w:t>（一）存在问题</w:t>
      </w:r>
    </w:p>
    <w:p>
      <w:pPr>
        <w:pStyle w:val="6"/>
        <w:autoSpaceDE/>
        <w:autoSpaceDN/>
        <w:snapToGrid/>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一是信息公开意识仍需加强。个别科室信息公开意识有所欠缺，对应公开的内容理解不够透彻、把握不够精准，部分信息公开及时性不够到位，时效性不够明显。</w:t>
      </w:r>
    </w:p>
    <w:p>
      <w:pPr>
        <w:pStyle w:val="6"/>
        <w:autoSpaceDE/>
        <w:autoSpaceDN/>
        <w:snapToGrid/>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二是政策解读标准仍需提高。政策文件范围解读不够精准、不够深入，解读比例有待提升，解读形式需要进一步拓宽和丰富。</w:t>
      </w:r>
    </w:p>
    <w:p>
      <w:pPr>
        <w:pStyle w:val="6"/>
        <w:autoSpaceDE/>
        <w:autoSpaceDN/>
        <w:snapToGrid/>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三是公开标准化规范化水平仍需提升。个别科室对政务公开标准和规范了解不够细、不够深，重点领域政务公开需要进一步提升标准和加强规范。</w:t>
      </w:r>
    </w:p>
    <w:p>
      <w:pPr>
        <w:spacing w:line="560" w:lineRule="exact"/>
        <w:ind w:firstLine="640" w:firstLineChars="200"/>
        <w:jc w:val="left"/>
        <w:rPr>
          <w:rFonts w:ascii="楷体_GB2312" w:hAnsi="黑体" w:eastAsia="楷体_GB2312"/>
          <w:szCs w:val="32"/>
        </w:rPr>
      </w:pPr>
      <w:r>
        <w:rPr>
          <w:rFonts w:hint="eastAsia" w:ascii="楷体_GB2312" w:hAnsi="黑体" w:eastAsia="楷体_GB2312"/>
          <w:szCs w:val="32"/>
        </w:rPr>
        <w:t>（二）改进措施</w:t>
      </w:r>
    </w:p>
    <w:p>
      <w:pPr>
        <w:pStyle w:val="2"/>
        <w:spacing w:after="0" w:line="560" w:lineRule="exact"/>
        <w:rPr>
          <w:rFonts w:ascii="仿宋_GB2312" w:hAnsi="仿宋_GB2312" w:eastAsia="仿宋_GB2312" w:cs="仿宋_GB2312"/>
          <w:szCs w:val="32"/>
        </w:rPr>
      </w:pPr>
      <w:r>
        <w:rPr>
          <w:rFonts w:hint="eastAsia" w:ascii="仿宋_GB2312" w:hAnsi="仿宋_GB2312" w:eastAsia="仿宋_GB2312" w:cs="仿宋_GB2312"/>
          <w:szCs w:val="32"/>
        </w:rPr>
        <w:t>下一步，将聚焦就业、社保、劳动关系等群众关注的热点问题，着力提升标准化规范化，推动政务公开举措进一步拓宽。</w:t>
      </w:r>
    </w:p>
    <w:p>
      <w:pPr>
        <w:pStyle w:val="2"/>
        <w:spacing w:after="0" w:line="560" w:lineRule="exact"/>
        <w:rPr>
          <w:rFonts w:ascii="仿宋_GB2312" w:hAnsi="仿宋_GB2312" w:eastAsia="仿宋_GB2312" w:cs="仿宋_GB2312"/>
          <w:szCs w:val="32"/>
        </w:rPr>
      </w:pPr>
      <w:r>
        <w:rPr>
          <w:rFonts w:hint="eastAsia" w:ascii="仿宋_GB2312" w:hAnsi="仿宋_GB2312" w:eastAsia="仿宋_GB2312" w:cs="仿宋_GB2312"/>
          <w:szCs w:val="32"/>
        </w:rPr>
        <w:t>一是信息公开意识再加强。将政府信息公开纳入干部综合素质能力提升学习，通过会议共学、听课助学、检查督学、业余自学等方式，进一步强化工作人员的公开意识，提高业务能力，切实提升信息公开实效性。</w:t>
      </w:r>
    </w:p>
    <w:p>
      <w:pPr>
        <w:pStyle w:val="2"/>
        <w:spacing w:after="0" w:line="560" w:lineRule="exact"/>
        <w:rPr>
          <w:rFonts w:ascii="仿宋_GB2312" w:eastAsia="仿宋_GB2312"/>
          <w:szCs w:val="32"/>
        </w:rPr>
      </w:pPr>
      <w:r>
        <w:rPr>
          <w:rFonts w:hint="eastAsia" w:ascii="仿宋_GB2312" w:eastAsia="仿宋_GB2312"/>
          <w:szCs w:val="32"/>
        </w:rPr>
        <w:t>二是政策解读和宣传力度再加大。创新以图片、图表、视频等多种形式解读政策，提高政策解读比例，加大对政务公开的宣传力度，提高群众的参与性，提升政策解读精准性。</w:t>
      </w:r>
    </w:p>
    <w:p>
      <w:pPr>
        <w:pStyle w:val="2"/>
        <w:spacing w:after="0" w:line="560" w:lineRule="exact"/>
        <w:rPr>
          <w:rFonts w:ascii="仿宋_GB2312" w:eastAsia="仿宋_GB2312"/>
          <w:szCs w:val="32"/>
        </w:rPr>
      </w:pPr>
      <w:r>
        <w:rPr>
          <w:rFonts w:hint="eastAsia" w:ascii="仿宋_GB2312" w:eastAsia="仿宋_GB2312"/>
          <w:szCs w:val="32"/>
        </w:rPr>
        <w:t>三是公开标准化规范化水平再提升。坚持以群众实际需求为导向,重点稳岗就业、社会保险等重点领域政务公开，确保政府信息公开工作更好的服务于群众。</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spacing w:line="560" w:lineRule="exact"/>
        <w:ind w:firstLine="640" w:firstLineChars="200"/>
        <w:jc w:val="left"/>
        <w:rPr>
          <w:rFonts w:ascii="楷体_GB2312" w:hAnsi="黑体" w:eastAsia="楷体_GB2312"/>
          <w:szCs w:val="32"/>
        </w:rPr>
      </w:pPr>
      <w:r>
        <w:rPr>
          <w:rFonts w:hint="eastAsia" w:ascii="楷体_GB2312" w:hAnsi="黑体" w:eastAsia="楷体_GB2312"/>
          <w:szCs w:val="32"/>
        </w:rPr>
        <w:t>（一）收取信息处理费情况</w:t>
      </w:r>
    </w:p>
    <w:p>
      <w:pPr>
        <w:spacing w:line="560" w:lineRule="exact"/>
        <w:ind w:firstLine="640" w:firstLineChars="200"/>
        <w:jc w:val="left"/>
        <w:rPr>
          <w:rFonts w:ascii="仿宋_GB2312" w:eastAsia="仿宋_GB2312"/>
          <w:szCs w:val="32"/>
        </w:rPr>
      </w:pPr>
      <w:r>
        <w:rPr>
          <w:rFonts w:hint="eastAsia" w:ascii="仿宋_GB2312" w:eastAsia="仿宋_GB231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spacing w:line="560" w:lineRule="exact"/>
        <w:ind w:firstLine="640" w:firstLineChars="200"/>
        <w:jc w:val="left"/>
        <w:rPr>
          <w:rFonts w:ascii="楷体_GB2312" w:hAnsi="黑体" w:eastAsia="楷体_GB2312"/>
          <w:szCs w:val="32"/>
        </w:rPr>
      </w:pPr>
      <w:r>
        <w:rPr>
          <w:rFonts w:hint="eastAsia" w:ascii="楷体_GB2312" w:hAnsi="黑体" w:eastAsia="楷体_GB2312"/>
          <w:szCs w:val="32"/>
        </w:rPr>
        <w:t>（二）落实上级年度政务公开工作要点情况</w:t>
      </w:r>
    </w:p>
    <w:p>
      <w:pPr>
        <w:autoSpaceDE/>
        <w:autoSpaceDN/>
        <w:snapToGrid/>
        <w:spacing w:line="560" w:lineRule="exact"/>
        <w:ind w:firstLine="640" w:firstLineChars="200"/>
        <w:rPr>
          <w:rFonts w:ascii="仿宋_GB2312" w:eastAsia="仿宋_GB2312" w:hAnsiTheme="minorHAnsi" w:cstheme="minorBidi"/>
          <w:snapToGrid/>
          <w:kern w:val="2"/>
          <w:szCs w:val="32"/>
        </w:rPr>
      </w:pPr>
      <w:r>
        <w:rPr>
          <w:rFonts w:hint="eastAsia" w:ascii="仿宋_GB2312" w:eastAsia="仿宋_GB2312" w:hAnsiTheme="minorHAnsi" w:cstheme="minorBidi"/>
          <w:snapToGrid/>
          <w:kern w:val="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淄政办字〔2021〕39号）各项规定，制定了《高青县人力资源和社会保障局2021年政务公开工作实施方案》，重点做好稳岗就业、社会保险、劳动维权领域信息公开工作。社会保险方面，公开养老保险、工伤保险、失业保险的政策文件、申报指南，每季度公开参保人数、待遇支付和基金收支情况。稳岗就业方面，公开就业政策法规咨询、岗位信息、就职信息登记、市场工资指导价位、职业培训信息等内容，及时公开就业困难人员、高校毕业生、困难人员补贴发放情况。</w:t>
      </w:r>
    </w:p>
    <w:p>
      <w:pPr>
        <w:spacing w:line="560" w:lineRule="exact"/>
        <w:ind w:firstLine="640" w:firstLineChars="200"/>
        <w:jc w:val="left"/>
        <w:rPr>
          <w:rFonts w:ascii="楷体_GB2312" w:hAnsi="黑体" w:eastAsia="楷体_GB2312"/>
          <w:szCs w:val="32"/>
        </w:rPr>
      </w:pPr>
      <w:r>
        <w:rPr>
          <w:rFonts w:hint="eastAsia" w:ascii="楷体_GB2312" w:hAnsi="黑体" w:eastAsia="楷体_GB2312"/>
          <w:szCs w:val="32"/>
        </w:rPr>
        <w:t>（三）人大代表建议和政协委员提案办理结果公开情况</w:t>
      </w:r>
    </w:p>
    <w:p>
      <w:pPr>
        <w:autoSpaceDE/>
        <w:autoSpaceDN/>
        <w:snapToGrid/>
        <w:spacing w:line="560" w:lineRule="exact"/>
        <w:ind w:firstLine="640" w:firstLineChars="200"/>
      </w:pPr>
      <w:r>
        <w:rPr>
          <w:rFonts w:hint="eastAsia" w:ascii="仿宋_GB2312" w:eastAsia="仿宋_GB2312" w:hAnsiTheme="minorHAnsi" w:cstheme="minorBidi"/>
          <w:snapToGrid/>
          <w:kern w:val="2"/>
          <w:szCs w:val="32"/>
        </w:rPr>
        <w:t>2021年，本机关共承办县十七届人大五次会议建议2件，承办县政协十四届五次会议提案3件，均在县政府网站建议提案专题集中公开建议提案人、建议提案原文、建议提案办理结果等信息。</w:t>
      </w:r>
    </w:p>
    <w:p>
      <w:pPr>
        <w:spacing w:line="560" w:lineRule="exact"/>
        <w:ind w:firstLine="640" w:firstLineChars="200"/>
        <w:jc w:val="left"/>
        <w:rPr>
          <w:rFonts w:ascii="楷体_GB2312" w:hAnsi="黑体" w:eastAsia="楷体_GB2312"/>
          <w:szCs w:val="32"/>
        </w:rPr>
      </w:pPr>
      <w:r>
        <w:rPr>
          <w:rFonts w:hint="eastAsia" w:ascii="楷体_GB2312" w:hAnsi="黑体" w:eastAsia="楷体_GB2312"/>
          <w:szCs w:val="32"/>
        </w:rPr>
        <w:t>（四）政务公开工作创新情况</w:t>
      </w:r>
    </w:p>
    <w:p>
      <w:pPr>
        <w:autoSpaceDE/>
        <w:autoSpaceDN/>
        <w:snapToGrid/>
        <w:spacing w:line="560" w:lineRule="exact"/>
        <w:ind w:firstLine="640" w:firstLineChars="200"/>
        <w:rPr>
          <w:rFonts w:ascii="仿宋_GB2312" w:eastAsia="仿宋_GB2312" w:hAnsiTheme="minorHAnsi" w:cstheme="minorBidi"/>
          <w:snapToGrid/>
          <w:kern w:val="2"/>
          <w:szCs w:val="32"/>
        </w:rPr>
      </w:pPr>
      <w:r>
        <w:rPr>
          <w:rFonts w:hint="eastAsia" w:ascii="仿宋_GB2312" w:eastAsia="仿宋_GB2312" w:hAnsiTheme="minorHAnsi" w:cstheme="minorBidi"/>
          <w:snapToGrid/>
          <w:kern w:val="2"/>
          <w:szCs w:val="32"/>
        </w:rPr>
        <w:t>积极推动政策解读创新，开设微信公众号“高青人社”，每周定期下发工作周报、最新政策文件、人社日课等，并以视频、音频、图片和文字等通俗易懂的形式做好人社领域各类政策公开，真正做到“政策宣传无遗漏、群众知晓有渠道”。</w:t>
      </w:r>
    </w:p>
    <w:p>
      <w:pPr>
        <w:spacing w:line="560" w:lineRule="exact"/>
        <w:ind w:firstLine="640" w:firstLineChars="200"/>
        <w:jc w:val="left"/>
        <w:rPr>
          <w:rFonts w:ascii="楷体_GB2312" w:hAnsi="黑体" w:eastAsia="楷体_GB2312"/>
          <w:szCs w:val="32"/>
        </w:rPr>
      </w:pPr>
      <w:r>
        <w:rPr>
          <w:rFonts w:hint="eastAsia" w:ascii="楷体_GB2312" w:hAnsi="黑体" w:eastAsia="楷体_GB2312"/>
          <w:szCs w:val="32"/>
        </w:rPr>
        <w:t>（五）有关数据统计说明</w:t>
      </w:r>
    </w:p>
    <w:p>
      <w:pPr>
        <w:spacing w:line="560" w:lineRule="exact"/>
        <w:ind w:firstLine="640" w:firstLineChars="200"/>
        <w:rPr>
          <w:rFonts w:ascii="楷体_GB2312" w:hAnsi="黑体" w:eastAsia="楷体_GB2312"/>
          <w:sz w:val="30"/>
          <w:szCs w:val="30"/>
        </w:rPr>
      </w:pPr>
      <w:r>
        <w:rPr>
          <w:rFonts w:hint="eastAsia" w:ascii="仿宋_GB2312" w:eastAsia="仿宋_GB2312"/>
          <w:szCs w:val="32"/>
        </w:rPr>
        <w:t>报告中所列数据可能因四舍五入原因与数据直接相加之和存在尾数差异。</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24945"/>
    <w:rsid w:val="000D78F3"/>
    <w:rsid w:val="00117733"/>
    <w:rsid w:val="00121DCF"/>
    <w:rsid w:val="00211942"/>
    <w:rsid w:val="002E3543"/>
    <w:rsid w:val="00415AB1"/>
    <w:rsid w:val="00591E5D"/>
    <w:rsid w:val="005E44F2"/>
    <w:rsid w:val="00673AC7"/>
    <w:rsid w:val="00704FCD"/>
    <w:rsid w:val="00770888"/>
    <w:rsid w:val="008C4ED2"/>
    <w:rsid w:val="009B028C"/>
    <w:rsid w:val="00B90D2E"/>
    <w:rsid w:val="00BB0191"/>
    <w:rsid w:val="00C660DD"/>
    <w:rsid w:val="00C67940"/>
    <w:rsid w:val="00CA3CD5"/>
    <w:rsid w:val="00CC2BE7"/>
    <w:rsid w:val="00CD1D00"/>
    <w:rsid w:val="00CE05E3"/>
    <w:rsid w:val="00E90708"/>
    <w:rsid w:val="00EA0721"/>
    <w:rsid w:val="00EF5607"/>
    <w:rsid w:val="00FA216A"/>
    <w:rsid w:val="00FD5381"/>
    <w:rsid w:val="02906520"/>
    <w:rsid w:val="04503290"/>
    <w:rsid w:val="046C12B8"/>
    <w:rsid w:val="04EA3016"/>
    <w:rsid w:val="06B74BE4"/>
    <w:rsid w:val="07FE7EA4"/>
    <w:rsid w:val="091E185F"/>
    <w:rsid w:val="179958E3"/>
    <w:rsid w:val="1ACA13E7"/>
    <w:rsid w:val="1C4B1DB7"/>
    <w:rsid w:val="1C9A0D8C"/>
    <w:rsid w:val="1EB4768C"/>
    <w:rsid w:val="1ED75FF6"/>
    <w:rsid w:val="1FF67734"/>
    <w:rsid w:val="24517C77"/>
    <w:rsid w:val="28680C9C"/>
    <w:rsid w:val="30BE1C25"/>
    <w:rsid w:val="32DC7DB9"/>
    <w:rsid w:val="34B006CE"/>
    <w:rsid w:val="38B562BD"/>
    <w:rsid w:val="3BB0653C"/>
    <w:rsid w:val="3DEFBE69"/>
    <w:rsid w:val="46C27140"/>
    <w:rsid w:val="47CF705B"/>
    <w:rsid w:val="4F265010"/>
    <w:rsid w:val="548D019F"/>
    <w:rsid w:val="5CE5615F"/>
    <w:rsid w:val="5EDA729C"/>
    <w:rsid w:val="5F9C36DB"/>
    <w:rsid w:val="5FBF0BD1"/>
    <w:rsid w:val="5FFB608B"/>
    <w:rsid w:val="60E0372C"/>
    <w:rsid w:val="635CA53D"/>
    <w:rsid w:val="66173E6E"/>
    <w:rsid w:val="6E0659AC"/>
    <w:rsid w:val="6EFF5AAD"/>
    <w:rsid w:val="6F655DCD"/>
    <w:rsid w:val="6F77DD75"/>
    <w:rsid w:val="71AB178D"/>
    <w:rsid w:val="73593746"/>
    <w:rsid w:val="751F1C93"/>
    <w:rsid w:val="75DC64A3"/>
    <w:rsid w:val="783B3DB6"/>
    <w:rsid w:val="7A5D6510"/>
    <w:rsid w:val="7B5650CB"/>
    <w:rsid w:val="7B5A7192"/>
    <w:rsid w:val="7D8C2529"/>
    <w:rsid w:val="7F2E6AE2"/>
    <w:rsid w:val="7F7CF188"/>
    <w:rsid w:val="7FFD56C5"/>
    <w:rsid w:val="BB678291"/>
    <w:rsid w:val="C7CB4FC7"/>
    <w:rsid w:val="DBBD9172"/>
    <w:rsid w:val="EF7FA26E"/>
    <w:rsid w:val="F2FF1439"/>
    <w:rsid w:val="FDB9E4F9"/>
    <w:rsid w:val="FFFE3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Balloon Text"/>
    <w:basedOn w:val="1"/>
    <w:link w:val="13"/>
    <w:semiHidden/>
    <w:unhideWhenUsed/>
    <w:qFormat/>
    <w:uiPriority w:val="99"/>
    <w:pPr>
      <w:spacing w:line="240" w:lineRule="auto"/>
    </w:pPr>
    <w:rPr>
      <w:sz w:val="18"/>
      <w:szCs w:val="18"/>
    </w:rPr>
  </w:style>
  <w:style w:type="paragraph" w:styleId="4">
    <w:name w:val="footer"/>
    <w:basedOn w:val="1"/>
    <w:link w:val="12"/>
    <w:unhideWhenUsed/>
    <w:qFormat/>
    <w:uiPriority w:val="99"/>
    <w:pPr>
      <w:tabs>
        <w:tab w:val="center" w:pos="4153"/>
        <w:tab w:val="right" w:pos="8306"/>
      </w:tabs>
      <w:spacing w:line="240" w:lineRule="atLeast"/>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rPr>
  </w:style>
  <w:style w:type="character" w:customStyle="1" w:styleId="11">
    <w:name w:val="页眉 Char"/>
    <w:basedOn w:val="9"/>
    <w:link w:val="5"/>
    <w:qFormat/>
    <w:uiPriority w:val="99"/>
    <w:rPr>
      <w:rFonts w:ascii="Times New Roman" w:hAnsi="Times New Roman" w:eastAsia="方正仿宋_GBK" w:cs="Times New Roman"/>
      <w:snapToGrid w:val="0"/>
      <w:kern w:val="0"/>
      <w:sz w:val="18"/>
      <w:szCs w:val="18"/>
    </w:rPr>
  </w:style>
  <w:style w:type="character" w:customStyle="1" w:styleId="12">
    <w:name w:val="页脚 Char"/>
    <w:basedOn w:val="9"/>
    <w:link w:val="4"/>
    <w:qFormat/>
    <w:uiPriority w:val="99"/>
    <w:rPr>
      <w:rFonts w:ascii="Times New Roman" w:hAnsi="Times New Roman" w:eastAsia="方正仿宋_GBK" w:cs="Times New Roman"/>
      <w:snapToGrid w:val="0"/>
      <w:kern w:val="0"/>
      <w:sz w:val="18"/>
      <w:szCs w:val="18"/>
    </w:rPr>
  </w:style>
  <w:style w:type="character" w:customStyle="1" w:styleId="13">
    <w:name w:val="批注框文本 Char"/>
    <w:basedOn w:val="9"/>
    <w:link w:val="3"/>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9</Pages>
  <Words>553</Words>
  <Characters>3155</Characters>
  <Lines>26</Lines>
  <Paragraphs>7</Paragraphs>
  <TotalTime>47</TotalTime>
  <ScaleCrop>false</ScaleCrop>
  <LinksUpToDate>false</LinksUpToDate>
  <CharactersWithSpaces>3701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2022-01-02T17:04:00Z</dcterms:created>
  <dc:creator>lb</dc:creator>
  <cp:lastModifiedBy>塞纳河畔</cp:lastModifiedBy>
  <cp:lastPrinted>2022-01-10T17:33:00Z</cp:lastPrinted>
  <dcterms:modified xsi:type="dcterms:W3CDTF">2022-01-24T10:21:55Z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366DB74A4E764BB7BE51898CDA649048</vt:lpwstr>
  </property>
</Properties>
</file>