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7E66">
      <w:pPr>
        <w:autoSpaceDE/>
        <w:autoSpaceDN/>
        <w:snapToGrid/>
        <w:spacing w:line="560" w:lineRule="exact"/>
        <w:ind w:firstLine="0"/>
        <w:jc w:val="center"/>
        <w:rPr>
          <w:rFonts w:eastAsia="方正小标宋简体"/>
          <w:snapToGrid/>
          <w:kern w:val="2"/>
          <w:sz w:val="44"/>
          <w:szCs w:val="44"/>
        </w:rPr>
      </w:pPr>
      <w:r>
        <w:rPr>
          <w:rFonts w:eastAsia="方正小标宋简体"/>
          <w:snapToGrid/>
          <w:kern w:val="2"/>
          <w:sz w:val="44"/>
          <w:szCs w:val="44"/>
        </w:rPr>
        <w:t>高青县人民政府办公室</w:t>
      </w:r>
    </w:p>
    <w:p w14:paraId="4C14DF2E">
      <w:pPr>
        <w:autoSpaceDE/>
        <w:autoSpaceDN/>
        <w:snapToGrid/>
        <w:spacing w:line="560" w:lineRule="exact"/>
        <w:ind w:firstLine="0"/>
        <w:jc w:val="center"/>
        <w:rPr>
          <w:rFonts w:eastAsia="方正小标宋简体"/>
          <w:snapToGrid/>
          <w:kern w:val="2"/>
          <w:sz w:val="44"/>
          <w:szCs w:val="44"/>
        </w:rPr>
      </w:pPr>
      <w:r>
        <w:rPr>
          <w:rFonts w:hint="eastAsia" w:eastAsia="方正小标宋简体"/>
          <w:snapToGrid/>
          <w:kern w:val="2"/>
          <w:sz w:val="44"/>
          <w:szCs w:val="44"/>
          <w:lang w:eastAsia="zh-CN"/>
        </w:rPr>
        <w:t>2025</w:t>
      </w:r>
      <w:r>
        <w:rPr>
          <w:rFonts w:eastAsia="方正小标宋简体"/>
          <w:snapToGrid/>
          <w:kern w:val="2"/>
          <w:sz w:val="44"/>
          <w:szCs w:val="44"/>
        </w:rPr>
        <w:t>年政府信息公开工作年度报告</w:t>
      </w:r>
    </w:p>
    <w:p w14:paraId="3912AC54">
      <w:pPr>
        <w:spacing w:line="560" w:lineRule="exact"/>
        <w:ind w:firstLine="640" w:firstLineChars="200"/>
        <w:rPr>
          <w:rFonts w:eastAsia="仿宋_GB2312"/>
        </w:rPr>
      </w:pPr>
    </w:p>
    <w:p w14:paraId="5DBA3227">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12D7D4D8">
      <w:pPr>
        <w:autoSpaceDE/>
        <w:autoSpaceDN/>
        <w:snapToGrid/>
        <w:spacing w:line="560" w:lineRule="exact"/>
        <w:ind w:firstLine="640" w:firstLineChars="200"/>
        <w:rPr>
          <w:rFonts w:eastAsia="仿宋_GB2312"/>
          <w:szCs w:val="32"/>
        </w:rPr>
      </w:pPr>
      <w:r>
        <w:rPr>
          <w:rFonts w:hint="eastAsia" w:ascii="仿宋_GB2312" w:eastAsia="仿宋_GB2312"/>
        </w:rPr>
        <w:t>报告中所列数据统计期限自202</w:t>
      </w:r>
      <w:r>
        <w:rPr>
          <w:rFonts w:hint="eastAsia" w:ascii="仿宋_GB2312" w:eastAsia="仿宋_GB2312"/>
          <w:lang w:val="en-US" w:eastAsia="zh-CN"/>
        </w:rPr>
        <w:t>5</w:t>
      </w:r>
      <w:r>
        <w:rPr>
          <w:rFonts w:hint="eastAsia" w:ascii="仿宋_GB2312" w:eastAsia="仿宋_GB2312"/>
        </w:rPr>
        <w:t>年1月1日始，至202</w:t>
      </w:r>
      <w:r>
        <w:rPr>
          <w:rFonts w:hint="eastAsia" w:ascii="仿宋_GB2312" w:eastAsia="仿宋_GB2312"/>
          <w:lang w:val="en-US" w:eastAsia="zh-CN"/>
        </w:rPr>
        <w:t>5</w:t>
      </w:r>
      <w:r>
        <w:rPr>
          <w:rFonts w:hint="eastAsia" w:ascii="仿宋_GB2312" w:eastAsia="仿宋_GB2312"/>
        </w:rPr>
        <w:t>年12月31日止。报告电子版可在高青县人民政府门户网站（www.gaoqing.gov.cn）查阅和下载。如对报告内容有疑问，</w:t>
      </w:r>
      <w:r>
        <w:rPr>
          <w:rFonts w:eastAsia="仿宋_GB2312"/>
          <w:szCs w:val="32"/>
        </w:rPr>
        <w:t>请与高青县人民政府办公室政务公开科联系（地址：山东省淄博市高青县黄河路81号；邮编：256300；电话：0533-6967090；传真：0533-6967065；邮箱：</w:t>
      </w:r>
      <w:r>
        <w:fldChar w:fldCharType="begin"/>
      </w:r>
      <w:r>
        <w:instrText xml:space="preserve"> HYPERLINK "mailto:gqxzfbgs@zb.shandong.cn）。" </w:instrText>
      </w:r>
      <w:r>
        <w:fldChar w:fldCharType="separate"/>
      </w:r>
      <w:r>
        <w:rPr>
          <w:rFonts w:eastAsia="仿宋_GB2312"/>
          <w:szCs w:val="32"/>
        </w:rPr>
        <w:t>gqxzfbgs@zb.shandong.cn）。</w:t>
      </w:r>
      <w:r>
        <w:rPr>
          <w:rFonts w:eastAsia="仿宋_GB2312"/>
          <w:szCs w:val="32"/>
        </w:rPr>
        <w:fldChar w:fldCharType="end"/>
      </w:r>
    </w:p>
    <w:p w14:paraId="1673F997">
      <w:pPr>
        <w:spacing w:line="560" w:lineRule="exact"/>
        <w:ind w:firstLine="640" w:firstLineChars="200"/>
        <w:rPr>
          <w:rFonts w:eastAsia="黑体"/>
          <w:szCs w:val="32"/>
        </w:rPr>
      </w:pPr>
      <w:r>
        <w:rPr>
          <w:rFonts w:eastAsia="黑体"/>
          <w:szCs w:val="32"/>
        </w:rPr>
        <w:t>一、总体情况</w:t>
      </w:r>
    </w:p>
    <w:p w14:paraId="2EF008CB">
      <w:pPr>
        <w:autoSpaceDE/>
        <w:autoSpaceDN/>
        <w:snapToGrid/>
        <w:spacing w:line="560" w:lineRule="exact"/>
        <w:ind w:firstLine="640" w:firstLineChars="200"/>
        <w:rPr>
          <w:rFonts w:eastAsia="仿宋_GB2312"/>
          <w:szCs w:val="32"/>
        </w:rPr>
      </w:pPr>
      <w:r>
        <w:rPr>
          <w:rFonts w:eastAsia="仿宋_GB2312"/>
          <w:szCs w:val="32"/>
        </w:rPr>
        <w:t>202</w:t>
      </w:r>
      <w:r>
        <w:rPr>
          <w:rFonts w:hint="eastAsia" w:eastAsia="仿宋_GB2312"/>
          <w:szCs w:val="32"/>
          <w:lang w:val="en-US" w:eastAsia="zh-CN"/>
        </w:rPr>
        <w:t>5</w:t>
      </w:r>
      <w:r>
        <w:rPr>
          <w:rFonts w:eastAsia="仿宋_GB2312"/>
          <w:szCs w:val="32"/>
        </w:rPr>
        <w:t>年，高青县人民政府办公室坚持以习近平新时代中国特色社会主义思想为指导，</w:t>
      </w:r>
      <w:r>
        <w:rPr>
          <w:rFonts w:hint="eastAsia" w:eastAsia="仿宋_GB2312"/>
          <w:szCs w:val="32"/>
        </w:rPr>
        <w:t>依法全面履行政府信息公开职责</w:t>
      </w:r>
      <w:r>
        <w:rPr>
          <w:rFonts w:eastAsia="仿宋_GB2312"/>
          <w:szCs w:val="32"/>
        </w:rPr>
        <w:t>，</w:t>
      </w:r>
      <w:r>
        <w:rPr>
          <w:rFonts w:hint="eastAsia" w:eastAsia="仿宋_GB2312"/>
          <w:szCs w:val="32"/>
        </w:rPr>
        <w:t>持续优化公开机制，创新公开方式，拓展公开深度，打造更加透明、规范、高效的政务公开新格局</w:t>
      </w:r>
      <w:r>
        <w:rPr>
          <w:rFonts w:eastAsia="仿宋_GB2312"/>
          <w:szCs w:val="32"/>
        </w:rPr>
        <w:t>。</w:t>
      </w:r>
    </w:p>
    <w:p w14:paraId="714D69FE">
      <w:pPr>
        <w:spacing w:line="560" w:lineRule="exact"/>
        <w:ind w:firstLine="640" w:firstLineChars="200"/>
        <w:rPr>
          <w:rFonts w:eastAsia="楷体_GB2312"/>
          <w:szCs w:val="32"/>
        </w:rPr>
      </w:pPr>
      <w:r>
        <w:rPr>
          <w:rFonts w:eastAsia="楷体_GB2312"/>
          <w:szCs w:val="32"/>
        </w:rPr>
        <w:t>（一）主动公开</w:t>
      </w:r>
    </w:p>
    <w:p w14:paraId="2372DCD0">
      <w:pPr>
        <w:pStyle w:val="3"/>
        <w:spacing w:after="0" w:line="560" w:lineRule="exact"/>
        <w:rPr>
          <w:rFonts w:hint="eastAsia" w:eastAsia="仿宋_GB2312"/>
          <w:szCs w:val="32"/>
        </w:rPr>
      </w:pPr>
      <w:r>
        <w:rPr>
          <w:rFonts w:hint="eastAsia" w:eastAsia="仿宋_GB2312"/>
          <w:szCs w:val="32"/>
        </w:rPr>
        <w:t>2025年，围绕教育医疗、社会保障、食品安全等社会高度关注的领域，持续加大信息公开力度，全年累计主动公开各类信息750余条。其中发布政府文件5件、政府办公室文件5件。在政策解读方面，积极创新形式，共发布图文解读、短视频、动漫等媒体解读材料1</w:t>
      </w:r>
      <w:r>
        <w:rPr>
          <w:rFonts w:hint="eastAsia" w:eastAsia="仿宋_GB2312"/>
          <w:szCs w:val="32"/>
          <w:lang w:val="en-US" w:eastAsia="zh-CN"/>
        </w:rPr>
        <w:t>5</w:t>
      </w:r>
      <w:r>
        <w:rPr>
          <w:rFonts w:hint="eastAsia" w:eastAsia="仿宋_GB2312"/>
          <w:szCs w:val="32"/>
        </w:rPr>
        <w:t>件，占解读总量的</w:t>
      </w:r>
      <w:r>
        <w:rPr>
          <w:rFonts w:hint="eastAsia" w:eastAsia="仿宋_GB2312"/>
          <w:szCs w:val="32"/>
          <w:lang w:val="en-US" w:eastAsia="zh-CN"/>
        </w:rPr>
        <w:t>55</w:t>
      </w:r>
      <w:r>
        <w:rPr>
          <w:rFonts w:hint="eastAsia" w:eastAsia="仿宋_GB2312"/>
          <w:szCs w:val="32"/>
        </w:rPr>
        <w:t>%以上，以更直观、易懂的方式传递政策内涵，有效扩大政策覆盖面和公众知晓度。着力畅通政民互动渠道，邀请利益相关方、公众代表列席政府常务会议5次，就重大决策听取意见建议；围绕民生热点开展线上线下的意见征集与问卷调查6次，并及时向社会公开调查结果与采纳情况，积极回应社会关切。</w:t>
      </w:r>
    </w:p>
    <w:p w14:paraId="00ECF049">
      <w:pPr>
        <w:pStyle w:val="3"/>
        <w:spacing w:after="0" w:line="560" w:lineRule="exact"/>
        <w:rPr>
          <w:rFonts w:eastAsia="仿宋_GB2312"/>
          <w:szCs w:val="32"/>
        </w:rPr>
      </w:pPr>
      <w:r>
        <w:rPr>
          <w:rFonts w:eastAsia="楷体_GB2312"/>
          <w:szCs w:val="32"/>
        </w:rPr>
        <w:t>（二）依申请公开</w:t>
      </w:r>
    </w:p>
    <w:p w14:paraId="6ABB4716">
      <w:pPr>
        <w:pStyle w:val="3"/>
        <w:spacing w:after="0" w:line="560" w:lineRule="exact"/>
        <w:rPr>
          <w:rFonts w:hint="eastAsia" w:ascii="仿宋_GB2312" w:eastAsia="仿宋_GB2312"/>
          <w:sz w:val="32"/>
          <w:szCs w:val="32"/>
        </w:rPr>
      </w:pPr>
      <w:r>
        <w:rPr>
          <w:rFonts w:hint="eastAsia" w:ascii="仿宋_GB2312" w:eastAsia="仿宋_GB2312"/>
          <w:sz w:val="32"/>
          <w:szCs w:val="32"/>
          <w:lang w:val="en-US" w:eastAsia="zh-CN"/>
        </w:rPr>
        <w:t>优化依申请公开办理流程，线上线下多渠道受理，建立台账闭环管理，压缩办理时限。2025年共收到政府信息公开申请14件，比上年度增加6件，申请内容主要涉及土地征收领域。作出政府信息公开申请答复14件，其中予</w:t>
      </w:r>
      <w:r>
        <w:rPr>
          <w:rFonts w:hint="eastAsia" w:ascii="仿宋_GB2312" w:eastAsia="仿宋_GB2312"/>
          <w:sz w:val="32"/>
          <w:szCs w:val="32"/>
        </w:rPr>
        <w:t>以公开</w:t>
      </w:r>
      <w:r>
        <w:rPr>
          <w:rFonts w:hint="eastAsia" w:ascii="仿宋_GB2312" w:eastAsia="仿宋_GB2312"/>
          <w:sz w:val="32"/>
          <w:szCs w:val="32"/>
          <w:lang w:val="en-US" w:eastAsia="zh-CN"/>
        </w:rPr>
        <w:t>5</w:t>
      </w:r>
      <w:r>
        <w:rPr>
          <w:rFonts w:hint="eastAsia" w:ascii="仿宋_GB2312" w:eastAsia="仿宋_GB2312"/>
          <w:sz w:val="32"/>
          <w:szCs w:val="32"/>
        </w:rPr>
        <w:t>件、部分公开</w:t>
      </w:r>
      <w:r>
        <w:rPr>
          <w:rFonts w:hint="eastAsia" w:ascii="仿宋_GB2312" w:eastAsia="仿宋_GB2312"/>
          <w:sz w:val="32"/>
          <w:szCs w:val="32"/>
          <w:lang w:val="en-US" w:eastAsia="zh-CN"/>
        </w:rPr>
        <w:t>2</w:t>
      </w:r>
      <w:r>
        <w:rPr>
          <w:rFonts w:hint="eastAsia" w:ascii="仿宋_GB2312" w:eastAsia="仿宋_GB2312"/>
          <w:sz w:val="32"/>
          <w:szCs w:val="32"/>
        </w:rPr>
        <w:t>件、不予公开</w:t>
      </w:r>
      <w:r>
        <w:rPr>
          <w:rFonts w:hint="eastAsia" w:ascii="仿宋_GB2312" w:eastAsia="仿宋_GB2312"/>
          <w:sz w:val="32"/>
          <w:szCs w:val="32"/>
          <w:lang w:val="en-US" w:eastAsia="zh-CN"/>
        </w:rPr>
        <w:t>1</w:t>
      </w:r>
      <w:r>
        <w:rPr>
          <w:rFonts w:hint="eastAsia" w:ascii="仿宋_GB2312" w:eastAsia="仿宋_GB2312"/>
          <w:sz w:val="32"/>
          <w:szCs w:val="32"/>
        </w:rPr>
        <w:t>件、无法提供</w:t>
      </w:r>
      <w:r>
        <w:rPr>
          <w:rFonts w:hint="eastAsia" w:ascii="仿宋_GB2312" w:eastAsia="仿宋_GB2312"/>
          <w:sz w:val="32"/>
          <w:szCs w:val="32"/>
          <w:lang w:val="en-US" w:eastAsia="zh-CN"/>
        </w:rPr>
        <w:t>6</w:t>
      </w:r>
      <w:r>
        <w:rPr>
          <w:rFonts w:hint="eastAsia" w:ascii="仿宋_GB2312" w:eastAsia="仿宋_GB2312"/>
          <w:sz w:val="32"/>
          <w:szCs w:val="32"/>
        </w:rPr>
        <w:t>件。依申请公开政府信息未收取任何费用。未因政府信息公开被申请行政复议、提起行政诉讼。</w:t>
      </w:r>
    </w:p>
    <w:p w14:paraId="56AF36B5">
      <w:pPr>
        <w:pStyle w:val="3"/>
        <w:spacing w:after="0" w:line="240" w:lineRule="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839970" cy="2755265"/>
            <wp:effectExtent l="0" t="0" r="17780" b="6985"/>
            <wp:docPr id="1" name="图片 1" descr="年报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年报图片1"/>
                    <pic:cNvPicPr>
                      <a:picLocks noChangeAspect="1"/>
                    </pic:cNvPicPr>
                  </pic:nvPicPr>
                  <pic:blipFill>
                    <a:blip r:embed="rId6"/>
                    <a:stretch>
                      <a:fillRect/>
                    </a:stretch>
                  </pic:blipFill>
                  <pic:spPr>
                    <a:xfrm>
                      <a:off x="0" y="0"/>
                      <a:ext cx="4839970" cy="2755265"/>
                    </a:xfrm>
                    <a:prstGeom prst="rect">
                      <a:avLst/>
                    </a:prstGeom>
                  </pic:spPr>
                </pic:pic>
              </a:graphicData>
            </a:graphic>
          </wp:inline>
        </w:drawing>
      </w:r>
    </w:p>
    <w:p w14:paraId="0FF13B70">
      <w:pPr>
        <w:spacing w:line="560" w:lineRule="exact"/>
        <w:ind w:firstLine="640" w:firstLineChars="200"/>
        <w:rPr>
          <w:rFonts w:eastAsia="楷体_GB2312"/>
          <w:szCs w:val="32"/>
        </w:rPr>
      </w:pPr>
      <w:r>
        <w:rPr>
          <w:rFonts w:eastAsia="楷体_GB2312"/>
          <w:szCs w:val="32"/>
        </w:rPr>
        <w:t>（三）政府信息管理</w:t>
      </w:r>
    </w:p>
    <w:p w14:paraId="78CF5514">
      <w:pPr>
        <w:spacing w:line="560" w:lineRule="exact"/>
        <w:ind w:firstLine="640" w:firstLineChars="200"/>
        <w:rPr>
          <w:rFonts w:eastAsia="仿宋_GB2312"/>
          <w:szCs w:val="32"/>
        </w:rPr>
      </w:pPr>
      <w:r>
        <w:rPr>
          <w:rFonts w:hint="eastAsia" w:eastAsia="仿宋_GB2312"/>
          <w:szCs w:val="32"/>
        </w:rPr>
        <w:t>依据法律法规的立改废释情况，督促各单位开展主动公开事项目录及对应信息核查，及时完成</w:t>
      </w:r>
      <w:r>
        <w:rPr>
          <w:rFonts w:hint="eastAsia" w:eastAsia="仿宋_GB2312"/>
          <w:szCs w:val="32"/>
          <w:lang w:eastAsia="zh-CN"/>
        </w:rPr>
        <w:t>主动公开事项</w:t>
      </w:r>
      <w:r>
        <w:rPr>
          <w:rFonts w:hint="eastAsia" w:eastAsia="仿宋_GB2312"/>
          <w:szCs w:val="32"/>
        </w:rPr>
        <w:t>目录动态更新。</w:t>
      </w:r>
      <w:r>
        <w:rPr>
          <w:rFonts w:eastAsia="仿宋_GB2312"/>
          <w:szCs w:val="32"/>
        </w:rPr>
        <w:t>做好政策文件管理，新制发行政规范性文件</w:t>
      </w:r>
      <w:r>
        <w:rPr>
          <w:rFonts w:hint="eastAsia" w:eastAsia="仿宋_GB2312"/>
          <w:szCs w:val="32"/>
          <w:lang w:val="en-US" w:eastAsia="zh-CN"/>
        </w:rPr>
        <w:t>2</w:t>
      </w:r>
      <w:r>
        <w:rPr>
          <w:rFonts w:eastAsia="仿宋_GB2312"/>
          <w:szCs w:val="32"/>
        </w:rPr>
        <w:t>件。</w:t>
      </w:r>
      <w:r>
        <w:rPr>
          <w:rFonts w:hint="eastAsia" w:eastAsia="仿宋_GB2312"/>
          <w:szCs w:val="32"/>
        </w:rPr>
        <w:t>严格落实保密审查制度，坚持“先审查、后公开”原则，对拟公开信息逐项审核把关，确保内容准确、安全合规、格式规范，严防失泄密风险</w:t>
      </w:r>
      <w:r>
        <w:rPr>
          <w:rFonts w:eastAsia="仿宋_GB2312"/>
          <w:szCs w:val="32"/>
        </w:rPr>
        <w:t>。</w:t>
      </w:r>
    </w:p>
    <w:p w14:paraId="0D5F0749">
      <w:pPr>
        <w:spacing w:line="560" w:lineRule="exact"/>
        <w:ind w:firstLine="640" w:firstLineChars="200"/>
        <w:rPr>
          <w:rFonts w:eastAsia="仿宋_GB2312"/>
          <w:szCs w:val="32"/>
        </w:rPr>
      </w:pPr>
      <w:r>
        <w:rPr>
          <w:rFonts w:eastAsia="楷体_GB2312"/>
          <w:szCs w:val="32"/>
        </w:rPr>
        <w:t>（四）政府信息公开平台建设</w:t>
      </w:r>
    </w:p>
    <w:p w14:paraId="0E6EF7BF">
      <w:pPr>
        <w:spacing w:line="560" w:lineRule="exact"/>
        <w:ind w:firstLine="640" w:firstLineChars="200"/>
        <w:rPr>
          <w:rFonts w:hint="default" w:eastAsia="仿宋_GB2312"/>
          <w:szCs w:val="32"/>
          <w:lang w:val="en-US" w:eastAsia="zh-CN"/>
        </w:rPr>
      </w:pPr>
      <w:r>
        <w:rPr>
          <w:rFonts w:hint="eastAsia" w:eastAsia="仿宋_GB2312"/>
          <w:szCs w:val="32"/>
        </w:rPr>
        <w:t>抓实依申请公开平台日常运维与精细化管理，及时完善</w:t>
      </w:r>
      <w:r>
        <w:rPr>
          <w:rFonts w:hint="eastAsia" w:eastAsia="仿宋_GB2312"/>
          <w:szCs w:val="32"/>
          <w:lang w:eastAsia="zh-CN"/>
        </w:rPr>
        <w:t>平台</w:t>
      </w:r>
      <w:r>
        <w:rPr>
          <w:rFonts w:hint="eastAsia" w:eastAsia="仿宋_GB2312"/>
          <w:szCs w:val="32"/>
        </w:rPr>
        <w:t>基础信息</w:t>
      </w:r>
      <w:r>
        <w:rPr>
          <w:rFonts w:hint="eastAsia" w:eastAsia="仿宋_GB2312"/>
          <w:szCs w:val="32"/>
          <w:lang w:eastAsia="zh-CN"/>
        </w:rPr>
        <w:t>，</w:t>
      </w:r>
      <w:r>
        <w:rPr>
          <w:rFonts w:hint="eastAsia" w:eastAsia="仿宋_GB2312"/>
          <w:szCs w:val="32"/>
        </w:rPr>
        <w:t>保障平台运行顺畅、信息规范、服务高效</w:t>
      </w:r>
      <w:r>
        <w:rPr>
          <w:rFonts w:hint="eastAsia" w:eastAsia="仿宋_GB2312"/>
          <w:szCs w:val="32"/>
          <w:lang w:eastAsia="zh-CN"/>
        </w:rPr>
        <w:t>。在政府网站</w:t>
      </w:r>
      <w:r>
        <w:rPr>
          <w:rFonts w:hint="eastAsia" w:eastAsia="仿宋_GB2312"/>
          <w:szCs w:val="32"/>
        </w:rPr>
        <w:t>新开设政府开放</w:t>
      </w:r>
      <w:r>
        <w:rPr>
          <w:rFonts w:hint="eastAsia" w:eastAsia="仿宋_GB2312"/>
          <w:szCs w:val="32"/>
          <w:lang w:eastAsia="zh-CN"/>
        </w:rPr>
        <w:t>活动</w:t>
      </w:r>
      <w:r>
        <w:rPr>
          <w:rFonts w:hint="eastAsia" w:eastAsia="仿宋_GB2312"/>
          <w:szCs w:val="32"/>
        </w:rPr>
        <w:t>专题板块，集中公开活动</w:t>
      </w:r>
      <w:r>
        <w:rPr>
          <w:rFonts w:hint="eastAsia" w:eastAsia="仿宋_GB2312"/>
          <w:szCs w:val="32"/>
          <w:lang w:eastAsia="zh-CN"/>
        </w:rPr>
        <w:t>预告</w:t>
      </w:r>
      <w:r>
        <w:rPr>
          <w:rFonts w:hint="eastAsia" w:eastAsia="仿宋_GB2312"/>
          <w:szCs w:val="32"/>
        </w:rPr>
        <w:t>、</w:t>
      </w:r>
      <w:r>
        <w:rPr>
          <w:rFonts w:hint="eastAsia" w:eastAsia="仿宋_GB2312"/>
          <w:szCs w:val="32"/>
          <w:lang w:eastAsia="zh-CN"/>
        </w:rPr>
        <w:t>活动开展情况，累计发布信息</w:t>
      </w:r>
      <w:r>
        <w:rPr>
          <w:rFonts w:hint="eastAsia" w:eastAsia="仿宋_GB2312"/>
          <w:szCs w:val="32"/>
          <w:lang w:val="en-US" w:eastAsia="zh-CN"/>
        </w:rPr>
        <w:t>20余条</w:t>
      </w:r>
      <w:r>
        <w:rPr>
          <w:rFonts w:hint="eastAsia" w:eastAsia="仿宋_GB2312"/>
          <w:szCs w:val="32"/>
        </w:rPr>
        <w:t>。</w:t>
      </w:r>
      <w:r>
        <w:rPr>
          <w:rFonts w:hint="eastAsia" w:eastAsia="仿宋_GB2312"/>
          <w:szCs w:val="32"/>
          <w:lang w:eastAsia="zh-CN"/>
        </w:rPr>
        <w:t>高青政务微信公众号及时更新，累计发布原创信息44条、转载信息128条，并新推出“建言献策”互动栏目，进一步优化服务功能</w:t>
      </w:r>
      <w:r>
        <w:rPr>
          <w:rFonts w:hint="eastAsia" w:eastAsia="仿宋_GB2312"/>
          <w:szCs w:val="32"/>
          <w:lang w:val="en-US" w:eastAsia="zh-CN"/>
        </w:rPr>
        <w:t>。</w:t>
      </w:r>
    </w:p>
    <w:p w14:paraId="6E2B818A">
      <w:pPr>
        <w:spacing w:line="560" w:lineRule="exact"/>
        <w:ind w:firstLine="640" w:firstLineChars="200"/>
        <w:rPr>
          <w:rFonts w:eastAsia="楷体_GB2312"/>
          <w:szCs w:val="32"/>
        </w:rPr>
      </w:pPr>
      <w:r>
        <w:rPr>
          <w:rFonts w:eastAsia="楷体_GB2312"/>
          <w:szCs w:val="32"/>
        </w:rPr>
        <w:t>（五）监督保障</w:t>
      </w:r>
    </w:p>
    <w:p w14:paraId="2954A45C">
      <w:pPr>
        <w:spacing w:line="560" w:lineRule="exact"/>
        <w:ind w:firstLine="640" w:firstLineChars="200"/>
        <w:rPr>
          <w:rFonts w:eastAsia="楷体_GB2312"/>
          <w:szCs w:val="32"/>
        </w:rPr>
      </w:pPr>
      <w:r>
        <w:rPr>
          <w:rFonts w:hint="eastAsia" w:eastAsia="仿宋_GB2312"/>
          <w:szCs w:val="32"/>
        </w:rPr>
        <w:t>强化政府信息公开工作组织领导</w:t>
      </w:r>
      <w:r>
        <w:rPr>
          <w:rFonts w:eastAsia="仿宋_GB2312"/>
          <w:szCs w:val="32"/>
        </w:rPr>
        <w:t>，主要负责同志</w:t>
      </w:r>
      <w:r>
        <w:rPr>
          <w:rFonts w:hint="eastAsia" w:eastAsia="仿宋_GB2312"/>
          <w:szCs w:val="32"/>
        </w:rPr>
        <w:t>召开</w:t>
      </w:r>
      <w:r>
        <w:rPr>
          <w:rFonts w:hint="eastAsia" w:eastAsia="仿宋_GB2312"/>
          <w:szCs w:val="32"/>
          <w:lang w:val="en-US" w:eastAsia="zh-CN"/>
        </w:rPr>
        <w:t>1</w:t>
      </w:r>
      <w:r>
        <w:rPr>
          <w:rFonts w:eastAsia="仿宋_GB2312"/>
          <w:szCs w:val="32"/>
        </w:rPr>
        <w:t>次</w:t>
      </w:r>
      <w:r>
        <w:rPr>
          <w:rFonts w:hint="eastAsia" w:eastAsia="仿宋_GB2312"/>
          <w:szCs w:val="32"/>
        </w:rPr>
        <w:t>专题会议研究部署工作推进事宜，常态化开展监督指导与业务督导</w:t>
      </w:r>
      <w:r>
        <w:rPr>
          <w:rFonts w:hint="eastAsia" w:eastAsia="仿宋_GB2312"/>
          <w:szCs w:val="32"/>
          <w:lang w:eastAsia="zh-CN"/>
        </w:rPr>
        <w:t>，</w:t>
      </w:r>
      <w:r>
        <w:rPr>
          <w:rFonts w:eastAsia="仿宋_GB2312"/>
          <w:szCs w:val="32"/>
        </w:rPr>
        <w:t>配备专职人员3名，</w:t>
      </w:r>
      <w:r>
        <w:rPr>
          <w:rFonts w:hint="eastAsia" w:eastAsia="仿宋_GB2312"/>
          <w:szCs w:val="32"/>
          <w:lang w:eastAsia="zh-CN"/>
        </w:rPr>
        <w:t>全年</w:t>
      </w:r>
      <w:r>
        <w:rPr>
          <w:rFonts w:eastAsia="仿宋_GB2312"/>
          <w:szCs w:val="32"/>
        </w:rPr>
        <w:t>组织工作任务</w:t>
      </w:r>
      <w:r>
        <w:rPr>
          <w:rFonts w:hint="eastAsia" w:eastAsia="仿宋_GB2312"/>
          <w:szCs w:val="32"/>
          <w:lang w:eastAsia="zh-CN"/>
        </w:rPr>
        <w:t>“</w:t>
      </w:r>
      <w:r>
        <w:rPr>
          <w:rFonts w:eastAsia="仿宋_GB2312"/>
          <w:szCs w:val="32"/>
        </w:rPr>
        <w:t>回头看</w:t>
      </w:r>
      <w:r>
        <w:rPr>
          <w:rFonts w:hint="eastAsia" w:eastAsia="仿宋_GB2312"/>
          <w:szCs w:val="32"/>
          <w:lang w:eastAsia="zh-CN"/>
        </w:rPr>
        <w:t>”</w:t>
      </w:r>
      <w:r>
        <w:rPr>
          <w:rFonts w:hint="eastAsia" w:eastAsia="仿宋_GB2312"/>
          <w:szCs w:val="32"/>
          <w:lang w:val="en-US" w:eastAsia="zh-CN"/>
        </w:rPr>
        <w:t>4次</w:t>
      </w:r>
      <w:r>
        <w:rPr>
          <w:rFonts w:eastAsia="仿宋_GB2312"/>
          <w:szCs w:val="32"/>
        </w:rPr>
        <w:t>，组织全县各单位开展培训</w:t>
      </w:r>
      <w:r>
        <w:rPr>
          <w:rFonts w:hint="eastAsia" w:eastAsia="仿宋_GB2312"/>
          <w:szCs w:val="32"/>
          <w:lang w:val="en-US" w:eastAsia="zh-CN"/>
        </w:rPr>
        <w:t>4</w:t>
      </w:r>
      <w:r>
        <w:rPr>
          <w:rFonts w:eastAsia="仿宋_GB2312"/>
          <w:szCs w:val="32"/>
        </w:rPr>
        <w:t>次，</w:t>
      </w:r>
      <w:r>
        <w:rPr>
          <w:rFonts w:hint="eastAsia" w:eastAsia="仿宋_GB2312"/>
          <w:szCs w:val="32"/>
          <w:lang w:eastAsia="zh-CN"/>
        </w:rPr>
        <w:t>内容包括政务公开效能检测指标体系、政策解读、政府信息公开条例等</w:t>
      </w:r>
      <w:r>
        <w:rPr>
          <w:rFonts w:eastAsia="仿宋_GB2312"/>
          <w:szCs w:val="32"/>
        </w:rPr>
        <w:t>，提升政务公开队伍业务水平。</w:t>
      </w:r>
    </w:p>
    <w:p w14:paraId="6B3A7872">
      <w:pPr>
        <w:pStyle w:val="3"/>
        <w:spacing w:after="0" w:line="240" w:lineRule="auto"/>
        <w:rPr>
          <w:rFonts w:eastAsia="黑体"/>
          <w:szCs w:val="32"/>
        </w:rPr>
      </w:pPr>
    </w:p>
    <w:p w14:paraId="7AD2A557">
      <w:pPr>
        <w:spacing w:after="156" w:afterLines="50" w:line="240" w:lineRule="auto"/>
        <w:ind w:left="0" w:leftChars="0" w:firstLine="0" w:firstLineChars="0"/>
        <w:rPr>
          <w:rFonts w:eastAsia="黑体"/>
          <w:szCs w:val="32"/>
        </w:rPr>
      </w:pPr>
    </w:p>
    <w:p w14:paraId="69C17C65">
      <w:pPr>
        <w:spacing w:after="156" w:afterLines="50" w:line="240" w:lineRule="auto"/>
        <w:ind w:firstLine="640" w:firstLineChars="200"/>
        <w:rPr>
          <w:rFonts w:eastAsia="黑体"/>
          <w:szCs w:val="32"/>
        </w:rPr>
      </w:pPr>
      <w:r>
        <w:rPr>
          <w:rFonts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280F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0C0B8CE">
            <w:pPr>
              <w:spacing w:line="240" w:lineRule="auto"/>
              <w:ind w:firstLine="0"/>
              <w:jc w:val="center"/>
              <w:rPr>
                <w:rFonts w:eastAsia="黑体"/>
                <w:sz w:val="20"/>
              </w:rPr>
            </w:pPr>
            <w:r>
              <w:rPr>
                <w:rFonts w:eastAsia="宋体"/>
                <w:snapToGrid/>
                <w:color w:val="000000"/>
                <w:sz w:val="20"/>
              </w:rPr>
              <w:t>第二十条第（一）项</w:t>
            </w:r>
          </w:p>
        </w:tc>
      </w:tr>
      <w:tr w14:paraId="7DD9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AC29A0B">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0AEFC7FE">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0E13ECBB">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14:paraId="24BAF93F">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599A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D04645A">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14:paraId="4114DFA3">
            <w:pPr>
              <w:spacing w:line="240" w:lineRule="auto"/>
              <w:ind w:firstLine="0"/>
              <w:jc w:val="center"/>
              <w:rPr>
                <w:rFonts w:eastAsiaTheme="minorEastAsia"/>
                <w:sz w:val="24"/>
                <w:szCs w:val="24"/>
              </w:rPr>
            </w:pPr>
            <w:r>
              <w:rPr>
                <w:rFonts w:eastAsiaTheme="minorEastAsia"/>
                <w:sz w:val="24"/>
                <w:szCs w:val="24"/>
              </w:rPr>
              <w:t>0</w:t>
            </w:r>
          </w:p>
        </w:tc>
        <w:tc>
          <w:tcPr>
            <w:tcW w:w="2131" w:type="dxa"/>
            <w:vAlign w:val="center"/>
          </w:tcPr>
          <w:p w14:paraId="7D01DBFE">
            <w:pPr>
              <w:spacing w:line="240" w:lineRule="auto"/>
              <w:ind w:firstLine="0"/>
              <w:jc w:val="center"/>
              <w:rPr>
                <w:rFonts w:eastAsiaTheme="minorEastAsia"/>
                <w:sz w:val="24"/>
                <w:szCs w:val="24"/>
              </w:rPr>
            </w:pPr>
            <w:r>
              <w:rPr>
                <w:rFonts w:eastAsiaTheme="minorEastAsia"/>
                <w:sz w:val="24"/>
                <w:szCs w:val="24"/>
              </w:rPr>
              <w:t>0</w:t>
            </w:r>
          </w:p>
        </w:tc>
        <w:tc>
          <w:tcPr>
            <w:tcW w:w="2131" w:type="dxa"/>
            <w:vAlign w:val="center"/>
          </w:tcPr>
          <w:p w14:paraId="2BB90101">
            <w:pPr>
              <w:spacing w:line="240" w:lineRule="auto"/>
              <w:ind w:firstLine="0"/>
              <w:jc w:val="center"/>
              <w:rPr>
                <w:rFonts w:eastAsiaTheme="minorEastAsia"/>
                <w:sz w:val="24"/>
                <w:szCs w:val="24"/>
              </w:rPr>
            </w:pPr>
            <w:r>
              <w:rPr>
                <w:rFonts w:eastAsiaTheme="minorEastAsia"/>
                <w:sz w:val="24"/>
                <w:szCs w:val="24"/>
              </w:rPr>
              <w:t>0</w:t>
            </w:r>
          </w:p>
        </w:tc>
      </w:tr>
      <w:tr w14:paraId="3FA7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A8BA9E0">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11F11C6B">
            <w:pPr>
              <w:spacing w:line="240" w:lineRule="auto"/>
              <w:ind w:firstLine="0"/>
              <w:jc w:val="center"/>
              <w:rPr>
                <w:rFonts w:hint="eastAsia" w:eastAsiaTheme="minorEastAsia"/>
                <w:sz w:val="24"/>
                <w:szCs w:val="24"/>
                <w:lang w:eastAsia="zh-CN"/>
              </w:rPr>
            </w:pPr>
            <w:r>
              <w:rPr>
                <w:rFonts w:hint="eastAsia" w:eastAsiaTheme="minorEastAsia"/>
                <w:sz w:val="24"/>
                <w:szCs w:val="24"/>
                <w:lang w:val="en-US" w:eastAsia="zh-CN"/>
              </w:rPr>
              <w:t>2</w:t>
            </w:r>
          </w:p>
        </w:tc>
        <w:tc>
          <w:tcPr>
            <w:tcW w:w="2131" w:type="dxa"/>
            <w:vAlign w:val="center"/>
          </w:tcPr>
          <w:p w14:paraId="50180041">
            <w:pPr>
              <w:spacing w:line="240" w:lineRule="auto"/>
              <w:ind w:firstLine="0"/>
              <w:jc w:val="center"/>
              <w:rPr>
                <w:rFonts w:eastAsiaTheme="minorEastAsia"/>
                <w:sz w:val="24"/>
                <w:szCs w:val="24"/>
              </w:rPr>
            </w:pPr>
            <w:r>
              <w:rPr>
                <w:rFonts w:eastAsiaTheme="minorEastAsia"/>
                <w:sz w:val="24"/>
                <w:szCs w:val="24"/>
              </w:rPr>
              <w:t>0</w:t>
            </w:r>
          </w:p>
        </w:tc>
        <w:tc>
          <w:tcPr>
            <w:tcW w:w="2131" w:type="dxa"/>
            <w:vAlign w:val="center"/>
          </w:tcPr>
          <w:p w14:paraId="67A6CA47">
            <w:pPr>
              <w:spacing w:line="240" w:lineRule="auto"/>
              <w:ind w:firstLine="0"/>
              <w:jc w:val="center"/>
              <w:rPr>
                <w:rFonts w:hint="eastAsia" w:eastAsiaTheme="minorEastAsia"/>
                <w:sz w:val="24"/>
                <w:szCs w:val="24"/>
                <w:lang w:eastAsia="zh-CN"/>
              </w:rPr>
            </w:pPr>
            <w:r>
              <w:rPr>
                <w:rFonts w:hint="eastAsia" w:eastAsiaTheme="minorEastAsia"/>
                <w:sz w:val="24"/>
                <w:szCs w:val="24"/>
                <w:lang w:val="en-US" w:eastAsia="zh-CN"/>
              </w:rPr>
              <w:t>4</w:t>
            </w:r>
          </w:p>
        </w:tc>
      </w:tr>
      <w:tr w14:paraId="3568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B7DB19F">
            <w:pPr>
              <w:spacing w:line="240" w:lineRule="auto"/>
              <w:ind w:firstLine="0"/>
              <w:jc w:val="center"/>
              <w:rPr>
                <w:rFonts w:eastAsia="宋体"/>
                <w:snapToGrid/>
                <w:color w:val="000000"/>
                <w:sz w:val="20"/>
              </w:rPr>
            </w:pPr>
            <w:r>
              <w:rPr>
                <w:rFonts w:eastAsia="宋体"/>
                <w:snapToGrid/>
                <w:color w:val="000000"/>
                <w:sz w:val="20"/>
              </w:rPr>
              <w:t>第二十条第（五）项</w:t>
            </w:r>
          </w:p>
        </w:tc>
      </w:tr>
      <w:tr w14:paraId="3CA3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EEDA747">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78294B8F">
            <w:pPr>
              <w:spacing w:line="240" w:lineRule="auto"/>
              <w:ind w:firstLine="0"/>
              <w:jc w:val="center"/>
              <w:rPr>
                <w:rFonts w:eastAsia="黑体"/>
                <w:sz w:val="20"/>
              </w:rPr>
            </w:pPr>
            <w:r>
              <w:rPr>
                <w:rFonts w:eastAsia="宋体"/>
                <w:snapToGrid/>
                <w:color w:val="000000"/>
                <w:sz w:val="20"/>
              </w:rPr>
              <w:t>本年处理决定数量</w:t>
            </w:r>
          </w:p>
        </w:tc>
      </w:tr>
      <w:tr w14:paraId="048E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ECBA9D">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0363CAD6">
            <w:pPr>
              <w:spacing w:line="240" w:lineRule="auto"/>
              <w:ind w:firstLine="0"/>
              <w:jc w:val="center"/>
              <w:rPr>
                <w:rFonts w:eastAsiaTheme="minorEastAsia"/>
                <w:sz w:val="24"/>
                <w:szCs w:val="24"/>
              </w:rPr>
            </w:pPr>
            <w:r>
              <w:rPr>
                <w:rFonts w:eastAsiaTheme="minorEastAsia"/>
                <w:sz w:val="24"/>
                <w:szCs w:val="24"/>
              </w:rPr>
              <w:t>0</w:t>
            </w:r>
          </w:p>
        </w:tc>
      </w:tr>
      <w:tr w14:paraId="192D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22C521F">
            <w:pPr>
              <w:spacing w:line="240" w:lineRule="auto"/>
              <w:ind w:firstLine="0"/>
              <w:jc w:val="center"/>
              <w:rPr>
                <w:rFonts w:eastAsia="宋体"/>
                <w:snapToGrid/>
                <w:color w:val="000000"/>
                <w:sz w:val="20"/>
              </w:rPr>
            </w:pPr>
            <w:r>
              <w:rPr>
                <w:rFonts w:eastAsia="宋体"/>
                <w:snapToGrid/>
                <w:color w:val="000000"/>
                <w:sz w:val="20"/>
              </w:rPr>
              <w:t>第二十条第（六）项</w:t>
            </w:r>
          </w:p>
        </w:tc>
      </w:tr>
      <w:tr w14:paraId="5173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9FCA36E">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54B25EAB">
            <w:pPr>
              <w:spacing w:line="240" w:lineRule="auto"/>
              <w:ind w:firstLine="0"/>
              <w:jc w:val="center"/>
              <w:rPr>
                <w:rFonts w:eastAsia="黑体"/>
                <w:sz w:val="20"/>
              </w:rPr>
            </w:pPr>
            <w:r>
              <w:rPr>
                <w:rFonts w:eastAsia="宋体"/>
                <w:snapToGrid/>
                <w:color w:val="000000"/>
                <w:sz w:val="20"/>
              </w:rPr>
              <w:t>本年处理决定数量</w:t>
            </w:r>
          </w:p>
        </w:tc>
      </w:tr>
      <w:tr w14:paraId="3F2D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507EA0C">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42168D70">
            <w:pPr>
              <w:spacing w:line="240" w:lineRule="auto"/>
              <w:ind w:firstLine="0"/>
              <w:jc w:val="center"/>
              <w:rPr>
                <w:rFonts w:eastAsiaTheme="minorEastAsia"/>
                <w:sz w:val="24"/>
                <w:szCs w:val="24"/>
              </w:rPr>
            </w:pPr>
            <w:r>
              <w:rPr>
                <w:rFonts w:eastAsiaTheme="minorEastAsia"/>
                <w:sz w:val="24"/>
                <w:szCs w:val="24"/>
              </w:rPr>
              <w:t>0</w:t>
            </w:r>
          </w:p>
        </w:tc>
      </w:tr>
      <w:tr w14:paraId="795F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0C923C1">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28337C21">
            <w:pPr>
              <w:spacing w:line="240" w:lineRule="auto"/>
              <w:ind w:firstLine="0"/>
              <w:jc w:val="center"/>
              <w:rPr>
                <w:rFonts w:eastAsiaTheme="minorEastAsia"/>
                <w:sz w:val="24"/>
                <w:szCs w:val="24"/>
              </w:rPr>
            </w:pPr>
            <w:r>
              <w:rPr>
                <w:rFonts w:eastAsiaTheme="minorEastAsia"/>
                <w:sz w:val="24"/>
                <w:szCs w:val="24"/>
              </w:rPr>
              <w:t>0</w:t>
            </w:r>
          </w:p>
        </w:tc>
      </w:tr>
      <w:tr w14:paraId="0A72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79FFB86">
            <w:pPr>
              <w:spacing w:line="240" w:lineRule="auto"/>
              <w:ind w:firstLine="0"/>
              <w:jc w:val="center"/>
              <w:rPr>
                <w:rFonts w:eastAsia="宋体"/>
                <w:snapToGrid/>
                <w:color w:val="000000"/>
                <w:sz w:val="20"/>
              </w:rPr>
            </w:pPr>
            <w:r>
              <w:rPr>
                <w:rFonts w:eastAsia="宋体"/>
                <w:snapToGrid/>
                <w:color w:val="000000"/>
                <w:sz w:val="20"/>
              </w:rPr>
              <w:t>第二十条第（八）项</w:t>
            </w:r>
          </w:p>
        </w:tc>
      </w:tr>
      <w:tr w14:paraId="1584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599CA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30C965B4">
            <w:pPr>
              <w:spacing w:line="240" w:lineRule="auto"/>
              <w:ind w:firstLine="0"/>
              <w:jc w:val="center"/>
              <w:rPr>
                <w:rFonts w:eastAsia="黑体"/>
                <w:sz w:val="20"/>
              </w:rPr>
            </w:pPr>
            <w:r>
              <w:rPr>
                <w:rFonts w:eastAsia="宋体"/>
                <w:snapToGrid/>
                <w:color w:val="000000"/>
                <w:sz w:val="20"/>
              </w:rPr>
              <w:t>本年收费金额（单位：万元）</w:t>
            </w:r>
          </w:p>
        </w:tc>
      </w:tr>
      <w:tr w14:paraId="0B67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F3BFE1B">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22576B6C">
            <w:pPr>
              <w:spacing w:line="240" w:lineRule="auto"/>
              <w:ind w:firstLine="0"/>
              <w:jc w:val="center"/>
              <w:rPr>
                <w:rFonts w:eastAsiaTheme="minorEastAsia"/>
                <w:sz w:val="24"/>
                <w:szCs w:val="24"/>
              </w:rPr>
            </w:pPr>
            <w:r>
              <w:rPr>
                <w:rFonts w:eastAsiaTheme="minorEastAsia"/>
                <w:sz w:val="24"/>
                <w:szCs w:val="24"/>
              </w:rPr>
              <w:t>0</w:t>
            </w:r>
          </w:p>
        </w:tc>
      </w:tr>
    </w:tbl>
    <w:p w14:paraId="40839751">
      <w:pPr>
        <w:spacing w:line="240" w:lineRule="auto"/>
        <w:ind w:firstLine="0"/>
        <w:rPr>
          <w:rFonts w:eastAsia="黑体"/>
          <w:sz w:val="30"/>
          <w:szCs w:val="30"/>
        </w:rPr>
      </w:pPr>
    </w:p>
    <w:p w14:paraId="5959E189">
      <w:pPr>
        <w:spacing w:after="156" w:afterLines="50" w:line="240" w:lineRule="auto"/>
        <w:ind w:left="0" w:leftChars="0" w:firstLine="0" w:firstLineChars="0"/>
        <w:rPr>
          <w:rFonts w:eastAsia="黑体"/>
          <w:szCs w:val="32"/>
        </w:rPr>
      </w:pPr>
    </w:p>
    <w:p w14:paraId="5A3A2C8E">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CFE06D2">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6E0AA22D">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712C77F">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70950B69">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94269F3">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F4F76D3">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FDECD4E">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219C5EDA">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3E4457E0">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9C3CB70">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10B6EAA3">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47A1F6">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7AB4525C">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893730">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7319FFEB">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400FFBF">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7272F4">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6D39F1B">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76AA8282">
            <w:pPr>
              <w:widowControl/>
              <w:autoSpaceDE/>
              <w:autoSpaceDN/>
              <w:snapToGrid/>
              <w:spacing w:line="240" w:lineRule="auto"/>
              <w:ind w:firstLine="0"/>
              <w:jc w:val="left"/>
              <w:rPr>
                <w:rFonts w:eastAsia="宋体"/>
                <w:snapToGrid/>
                <w:sz w:val="24"/>
                <w:szCs w:val="24"/>
              </w:rPr>
            </w:pPr>
          </w:p>
        </w:tc>
      </w:tr>
      <w:tr w14:paraId="38ACCB28">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27388ED">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D0674D">
            <w:pPr>
              <w:widowControl/>
              <w:autoSpaceDE/>
              <w:autoSpaceDN/>
              <w:snapToGrid/>
              <w:spacing w:line="240" w:lineRule="auto"/>
              <w:ind w:firstLine="0"/>
              <w:jc w:val="center"/>
              <w:rPr>
                <w:rFonts w:hint="default" w:eastAsia="宋体"/>
                <w:snapToGrid/>
                <w:sz w:val="24"/>
                <w:szCs w:val="24"/>
                <w:lang w:val="en-US" w:eastAsia="zh-CN"/>
              </w:rPr>
            </w:pPr>
            <w:r>
              <w:rPr>
                <w:rFonts w:hint="eastAsia" w:eastAsia="宋体"/>
                <w:snapToGrid/>
                <w:sz w:val="24"/>
                <w:szCs w:val="24"/>
                <w:lang w:val="en-US" w:eastAsia="zh-CN"/>
              </w:rPr>
              <w:t>13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FDCC0E">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C4233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B5E3CE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23140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DB805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51E57D2">
            <w:pPr>
              <w:widowControl/>
              <w:autoSpaceDE/>
              <w:autoSpaceDN/>
              <w:snapToGrid/>
              <w:spacing w:line="240" w:lineRule="auto"/>
              <w:ind w:firstLine="0"/>
              <w:jc w:val="center"/>
              <w:rPr>
                <w:rFonts w:hint="default" w:eastAsia="宋体"/>
                <w:snapToGrid/>
                <w:sz w:val="24"/>
                <w:szCs w:val="24"/>
                <w:lang w:val="en-US" w:eastAsia="zh-CN"/>
              </w:rPr>
            </w:pPr>
            <w:r>
              <w:rPr>
                <w:rFonts w:hint="eastAsia" w:eastAsia="宋体"/>
                <w:snapToGrid/>
                <w:sz w:val="24"/>
                <w:szCs w:val="24"/>
                <w:lang w:val="en-US" w:eastAsia="zh-CN"/>
              </w:rPr>
              <w:t>14</w:t>
            </w:r>
          </w:p>
        </w:tc>
      </w:tr>
      <w:tr w14:paraId="0E452C9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02F0EBF">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789E348">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CBB0B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8AA65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4CF48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B25E7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93A30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A59DF9F">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0</w:t>
            </w:r>
          </w:p>
        </w:tc>
      </w:tr>
      <w:tr w14:paraId="6997D06B">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1ABD1E9A">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88A9F15">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6F941A7">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0755B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821D2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7E6E57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D7B9DD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4A78D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4441D93">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5</w:t>
            </w:r>
          </w:p>
        </w:tc>
      </w:tr>
      <w:tr w14:paraId="1029646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DEDA8B9">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5C8C957">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C71FAD">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C08B16">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747A3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7C9B6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49DA1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A25A5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5494E94">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2</w:t>
            </w:r>
          </w:p>
        </w:tc>
      </w:tr>
      <w:tr w14:paraId="6B8964C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DFC334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A6CA8F7">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1D94F3B">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8AEEF6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35F6F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1C7E7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001997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1DB4A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0A076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9755A0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442DC8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AD7E6C">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21DD91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A98BAE3">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40E14C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F0317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CDE3E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3E6303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C7EEDF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505AA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0AD38F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EC56A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54E22C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DBAB05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E73B82D">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E4E7A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686A39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206C3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D93EC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CDF7F5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8230F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EF00BD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72AFAB2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5CB4C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896A73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7F62400">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FBF434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07E15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ACA12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D93619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2BB26F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D4583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677F05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0AB9410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A8BFF3">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9F6346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786F195">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44987BF">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EAC73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1C6A4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D6305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D6DD2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A1A0A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17F467A">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r>
      <w:tr w14:paraId="486ABB3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4E36C5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6824F8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9ED449">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AA7BF8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4CA20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19CB7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7E22C5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B5464E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CE222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4A5C79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08F6AD2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461A21">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2F3FAA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32E675E">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E478B8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A3699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75672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734FC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03BCC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29D1C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F27D9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677ECB1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7ACD1B">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C34E08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4A1ED14">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98243D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84315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9F0C7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50DA72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F8BEE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EEEEB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CAA26F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902EE8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BE4D11B">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8509186">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4ADB57">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C38CAB">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6</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669DD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26D68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14141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089C7D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15EBA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86BB6F7">
            <w:pPr>
              <w:widowControl/>
              <w:autoSpaceDE/>
              <w:autoSpaceDN/>
              <w:snapToGrid/>
              <w:spacing w:line="240" w:lineRule="auto"/>
              <w:ind w:firstLine="0"/>
              <w:jc w:val="center"/>
              <w:rPr>
                <w:rFonts w:hint="eastAsia" w:eastAsia="宋体"/>
                <w:snapToGrid/>
                <w:sz w:val="24"/>
                <w:szCs w:val="24"/>
                <w:lang w:val="en-US" w:eastAsia="zh-CN"/>
              </w:rPr>
            </w:pPr>
            <w:r>
              <w:rPr>
                <w:rFonts w:hint="eastAsia" w:eastAsia="宋体"/>
                <w:snapToGrid/>
                <w:sz w:val="24"/>
                <w:szCs w:val="24"/>
                <w:lang w:val="en-US" w:eastAsia="zh-CN"/>
              </w:rPr>
              <w:t>6</w:t>
            </w:r>
          </w:p>
        </w:tc>
      </w:tr>
      <w:tr w14:paraId="44A2CFB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A1B3649">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9F31A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2CE4359">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E264633">
            <w:pPr>
              <w:widowControl/>
              <w:autoSpaceDE/>
              <w:autoSpaceDN/>
              <w:snapToGrid/>
              <w:spacing w:line="240" w:lineRule="auto"/>
              <w:ind w:firstLine="0"/>
              <w:jc w:val="center"/>
              <w:rPr>
                <w:rFonts w:hint="eastAsia" w:eastAsia="宋体"/>
                <w:snapToGrid/>
                <w:sz w:val="24"/>
                <w:szCs w:val="24"/>
                <w:lang w:val="en-US" w:eastAsia="zh-CN"/>
              </w:rPr>
            </w:pPr>
            <w:r>
              <w:rPr>
                <w:rFonts w:hint="eastAsia" w:eastAsia="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3F619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5AA838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8D71C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5CE26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9183F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3C3ABB2">
            <w:pPr>
              <w:widowControl/>
              <w:autoSpaceDE/>
              <w:autoSpaceDN/>
              <w:snapToGrid/>
              <w:spacing w:line="240" w:lineRule="auto"/>
              <w:ind w:firstLine="0"/>
              <w:jc w:val="center"/>
              <w:rPr>
                <w:rFonts w:hint="eastAsia" w:eastAsia="宋体"/>
                <w:snapToGrid/>
                <w:sz w:val="24"/>
                <w:szCs w:val="24"/>
                <w:lang w:val="en-US" w:eastAsia="zh-CN"/>
              </w:rPr>
            </w:pPr>
            <w:r>
              <w:rPr>
                <w:rFonts w:hint="eastAsia" w:eastAsia="宋体"/>
                <w:snapToGrid/>
                <w:sz w:val="24"/>
                <w:szCs w:val="24"/>
                <w:lang w:val="en-US" w:eastAsia="zh-CN"/>
              </w:rPr>
              <w:t>0</w:t>
            </w:r>
          </w:p>
        </w:tc>
      </w:tr>
      <w:tr w14:paraId="565B4ED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35C67FE">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97C046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29028A1">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EB7FA3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8A7AF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8CDB3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E4386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E00EF8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7D44D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5293E0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4EB555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D04B2B">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187D2A1">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476C309">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A7308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2F789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752C5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07903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6DDF4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31A4A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65FBE0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4369D20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CDD0BA">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EA34BC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84F869">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876690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7E638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0C35E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1FC438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C16594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A105A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C64900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6CB21D0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7403F7E">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B790A4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220F086">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683D4D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5BCD0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94EB5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88311F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6D762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667E1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86638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011EF47B">
        <w:trPr>
          <w:jc w:val="center"/>
        </w:trPr>
        <w:tc>
          <w:tcPr>
            <w:tcW w:w="0" w:type="auto"/>
            <w:vMerge w:val="continue"/>
            <w:tcBorders>
              <w:top w:val="nil"/>
              <w:left w:val="single" w:color="auto" w:sz="8" w:space="0"/>
              <w:bottom w:val="inset" w:color="auto" w:sz="8" w:space="0"/>
              <w:right w:val="single" w:color="auto" w:sz="8" w:space="0"/>
            </w:tcBorders>
            <w:vAlign w:val="center"/>
          </w:tcPr>
          <w:p w14:paraId="6DCB9334">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50F0C4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5AB2957">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6FF349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E60CA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B2896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482C57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CE2DD8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FBC38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B7F284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322A4D63">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32C6B817">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38829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41CFD8E5">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051012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744EA3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E5F9A3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69825A4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23E8A4D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7007F4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1FAE942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9F98DF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03E73C6">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5D6C0F7D">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B95F152">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06CF07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8C9E8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02A2A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EEE92D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7471E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4E52E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9DCA7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498669A9">
        <w:trPr>
          <w:jc w:val="center"/>
        </w:trPr>
        <w:tc>
          <w:tcPr>
            <w:tcW w:w="0" w:type="auto"/>
            <w:vMerge w:val="continue"/>
            <w:tcBorders>
              <w:top w:val="nil"/>
              <w:left w:val="single" w:color="auto" w:sz="8" w:space="0"/>
              <w:bottom w:val="inset" w:color="auto" w:sz="8" w:space="0"/>
              <w:right w:val="single" w:color="auto" w:sz="8" w:space="0"/>
            </w:tcBorders>
            <w:vAlign w:val="center"/>
          </w:tcPr>
          <w:p w14:paraId="51BBF6B2">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4F5D1A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B10508C">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EACA2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15373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D415D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0C955B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467514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0B0D1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3C49F1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516E0E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7C1796">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23C932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35763E2">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615A8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69554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7B8A4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255311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12E77D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AE005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CF42C6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7D1B98B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2AD55D">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2E3BF51">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FF47616">
            <w:pPr>
              <w:widowControl/>
              <w:autoSpaceDE/>
              <w:autoSpaceDN/>
              <w:snapToGrid/>
              <w:spacing w:line="240" w:lineRule="auto"/>
              <w:ind w:firstLine="0"/>
              <w:jc w:val="center"/>
              <w:rPr>
                <w:rFonts w:hint="default" w:eastAsia="宋体"/>
                <w:snapToGrid/>
                <w:sz w:val="24"/>
                <w:szCs w:val="24"/>
                <w:lang w:val="en-US" w:eastAsia="zh-CN"/>
              </w:rPr>
            </w:pPr>
            <w:r>
              <w:rPr>
                <w:rFonts w:hint="eastAsia" w:eastAsia="宋体"/>
                <w:snapToGrid/>
                <w:sz w:val="24"/>
                <w:szCs w:val="24"/>
                <w:lang w:val="en-US" w:eastAsia="zh-CN"/>
              </w:rPr>
              <w:t>13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2AD537">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43DC8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F0E1C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E28CF8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FAA2A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6B250C">
            <w:pPr>
              <w:widowControl/>
              <w:autoSpaceDE/>
              <w:autoSpaceDN/>
              <w:snapToGrid/>
              <w:spacing w:line="240" w:lineRule="auto"/>
              <w:ind w:firstLine="0"/>
              <w:jc w:val="center"/>
              <w:rPr>
                <w:rFonts w:hint="default" w:eastAsia="宋体"/>
                <w:snapToGrid/>
                <w:sz w:val="24"/>
                <w:szCs w:val="24"/>
                <w:lang w:val="en-US" w:eastAsia="zh-CN"/>
              </w:rPr>
            </w:pPr>
            <w:r>
              <w:rPr>
                <w:rFonts w:hint="eastAsia" w:eastAsia="宋体"/>
                <w:snapToGrid/>
                <w:sz w:val="24"/>
                <w:szCs w:val="24"/>
                <w:lang w:val="en-US" w:eastAsia="zh-CN"/>
              </w:rPr>
              <w:t>14</w:t>
            </w:r>
          </w:p>
        </w:tc>
      </w:tr>
      <w:tr w14:paraId="752919FD">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6737A98">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D6688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C328C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35AE8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C47A14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A5AD3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00C8D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67EED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14:paraId="0860ED8C">
      <w:pPr>
        <w:spacing w:line="240" w:lineRule="auto"/>
        <w:ind w:firstLine="0"/>
        <w:rPr>
          <w:rFonts w:eastAsia="黑体"/>
          <w:sz w:val="30"/>
          <w:szCs w:val="30"/>
        </w:rPr>
      </w:pPr>
    </w:p>
    <w:p w14:paraId="3BC1E516">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61672A5">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84EFCE">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38C99C">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7173BDE5">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59DFE7">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691E93">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2CD0DE">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EDB6FA">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807A43">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2ACC08">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9DEDB6">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039854E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F980F4E">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356C1C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255249B">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521F2EA">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CF18BA0">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9D01DE">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77AB11">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7FA18">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5B96C7">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294913">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92599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555D6A">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25D0BB">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F1F168">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58171B">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14:paraId="5BC4543B">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C7BEF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135A8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DB90B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32882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8B73B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7AA04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262FE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F434F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DE719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D5B28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613CE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66B41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5025C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5D80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26BB5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14:paraId="051D403A">
      <w:pPr>
        <w:spacing w:line="560" w:lineRule="exact"/>
        <w:ind w:firstLine="640" w:firstLineChars="200"/>
        <w:rPr>
          <w:rFonts w:eastAsia="黑体"/>
          <w:szCs w:val="32"/>
        </w:rPr>
      </w:pPr>
      <w:r>
        <w:rPr>
          <w:rFonts w:eastAsia="黑体"/>
          <w:szCs w:val="32"/>
        </w:rPr>
        <w:t>五、存在的主要问题及改进情况</w:t>
      </w:r>
    </w:p>
    <w:p w14:paraId="79A65285">
      <w:pPr>
        <w:spacing w:line="560" w:lineRule="exact"/>
        <w:ind w:firstLine="640" w:firstLineChars="200"/>
        <w:rPr>
          <w:rFonts w:eastAsia="楷体_GB2312"/>
          <w:szCs w:val="32"/>
        </w:rPr>
      </w:pPr>
      <w:r>
        <w:rPr>
          <w:rFonts w:eastAsia="楷体_GB2312"/>
          <w:szCs w:val="32"/>
        </w:rPr>
        <w:t>（一）存在问题</w:t>
      </w:r>
    </w:p>
    <w:p w14:paraId="043E138B">
      <w:pPr>
        <w:spacing w:line="560" w:lineRule="exact"/>
        <w:ind w:firstLine="640" w:firstLineChars="200"/>
        <w:rPr>
          <w:rFonts w:hint="eastAsia" w:eastAsia="仿宋_GB2312"/>
          <w:szCs w:val="32"/>
        </w:rPr>
      </w:pPr>
      <w:r>
        <w:rPr>
          <w:rFonts w:eastAsia="仿宋_GB2312"/>
          <w:szCs w:val="32"/>
        </w:rPr>
        <w:t>一是</w:t>
      </w:r>
      <w:r>
        <w:rPr>
          <w:rFonts w:hint="eastAsia" w:eastAsia="仿宋_GB2312"/>
          <w:szCs w:val="32"/>
        </w:rPr>
        <w:t>平台运维与管理薄弱：政务公开平台信息分类不清晰、检索功能不完善，专题专栏更新滞后，线上线下渠道融合度低。</w:t>
      </w:r>
    </w:p>
    <w:p w14:paraId="2F63C2D8">
      <w:pPr>
        <w:spacing w:line="560" w:lineRule="exact"/>
        <w:ind w:firstLine="640" w:firstLineChars="200"/>
        <w:rPr>
          <w:rFonts w:hint="eastAsia" w:eastAsia="仿宋_GB2312"/>
          <w:szCs w:val="32"/>
        </w:rPr>
      </w:pPr>
      <w:r>
        <w:rPr>
          <w:rFonts w:eastAsia="仿宋_GB2312"/>
          <w:szCs w:val="32"/>
        </w:rPr>
        <w:t>二是</w:t>
      </w:r>
      <w:r>
        <w:rPr>
          <w:rFonts w:hint="eastAsia" w:eastAsia="仿宋_GB2312"/>
          <w:szCs w:val="32"/>
        </w:rPr>
        <w:t>监督考核与整改不到位：日常监督频次不足，考核指标不够细化，通报整改“后半篇文章”落实不力，部分问题反复出现。</w:t>
      </w:r>
    </w:p>
    <w:p w14:paraId="42FB9A3F">
      <w:pPr>
        <w:spacing w:line="560" w:lineRule="exact"/>
        <w:ind w:firstLine="640" w:firstLineChars="200"/>
        <w:rPr>
          <w:rFonts w:eastAsia="楷体_GB2312"/>
          <w:szCs w:val="32"/>
        </w:rPr>
      </w:pPr>
      <w:r>
        <w:rPr>
          <w:rFonts w:eastAsia="楷体_GB2312"/>
          <w:szCs w:val="32"/>
        </w:rPr>
        <w:t>（二）改进情况</w:t>
      </w:r>
    </w:p>
    <w:p w14:paraId="39725FCD">
      <w:pPr>
        <w:autoSpaceDE/>
        <w:autoSpaceDN/>
        <w:snapToGrid/>
        <w:spacing w:line="560" w:lineRule="exact"/>
        <w:ind w:firstLine="640" w:firstLineChars="200"/>
        <w:rPr>
          <w:rFonts w:hint="eastAsia" w:eastAsia="仿宋_GB2312"/>
          <w:szCs w:val="32"/>
        </w:rPr>
      </w:pPr>
      <w:r>
        <w:rPr>
          <w:rFonts w:eastAsia="仿宋_GB2312"/>
          <w:szCs w:val="32"/>
        </w:rPr>
        <w:t>一是</w:t>
      </w:r>
      <w:r>
        <w:rPr>
          <w:rFonts w:hint="eastAsia" w:eastAsia="仿宋_GB2312"/>
          <w:szCs w:val="32"/>
        </w:rPr>
        <w:t>强化平台运维与融合：完善平台功能，优化信息分类与检索服务，</w:t>
      </w:r>
      <w:r>
        <w:rPr>
          <w:rFonts w:hint="eastAsia" w:eastAsia="仿宋_GB2312"/>
          <w:szCs w:val="32"/>
          <w:lang w:eastAsia="zh-CN"/>
        </w:rPr>
        <w:t>动态</w:t>
      </w:r>
      <w:r>
        <w:rPr>
          <w:rFonts w:hint="eastAsia" w:eastAsia="仿宋_GB2312"/>
          <w:szCs w:val="32"/>
        </w:rPr>
        <w:t>维护专题专栏；打通线上线下渠道，依托政务服务大厅、新媒体平台拓宽公开途径，提升群众获取信息便捷度。</w:t>
      </w:r>
    </w:p>
    <w:p w14:paraId="64120FFC">
      <w:pPr>
        <w:autoSpaceDE/>
        <w:autoSpaceDN/>
        <w:snapToGrid/>
        <w:spacing w:line="560" w:lineRule="exact"/>
        <w:ind w:firstLine="640" w:firstLineChars="200"/>
        <w:rPr>
          <w:rFonts w:eastAsia="仿宋_GB2312"/>
          <w:szCs w:val="32"/>
        </w:rPr>
      </w:pPr>
      <w:r>
        <w:rPr>
          <w:rFonts w:eastAsia="仿宋_GB2312"/>
          <w:szCs w:val="32"/>
        </w:rPr>
        <w:t>二是</w:t>
      </w:r>
      <w:r>
        <w:rPr>
          <w:rFonts w:hint="eastAsia" w:eastAsia="仿宋_GB2312"/>
          <w:szCs w:val="32"/>
        </w:rPr>
        <w:t>健全监督考核与整改闭环：加大日常监督检查频次，细化考核指标；对</w:t>
      </w:r>
      <w:r>
        <w:rPr>
          <w:rFonts w:hint="eastAsia" w:eastAsia="仿宋_GB2312"/>
          <w:szCs w:val="32"/>
          <w:lang w:eastAsia="zh-CN"/>
        </w:rPr>
        <w:t>高频</w:t>
      </w:r>
      <w:r>
        <w:rPr>
          <w:rFonts w:hint="eastAsia" w:eastAsia="仿宋_GB2312"/>
          <w:szCs w:val="32"/>
        </w:rPr>
        <w:t>问题建立台账，限期整改、跟踪问效，形成</w:t>
      </w:r>
      <w:r>
        <w:rPr>
          <w:rFonts w:hint="eastAsia" w:eastAsia="仿宋_GB2312"/>
          <w:szCs w:val="32"/>
          <w:lang w:eastAsia="zh-CN"/>
        </w:rPr>
        <w:t>工作</w:t>
      </w:r>
      <w:r>
        <w:rPr>
          <w:rFonts w:hint="eastAsia" w:eastAsia="仿宋_GB2312"/>
          <w:szCs w:val="32"/>
        </w:rPr>
        <w:t>闭环。</w:t>
      </w:r>
    </w:p>
    <w:p w14:paraId="2499E482">
      <w:pPr>
        <w:autoSpaceDE/>
        <w:autoSpaceDN/>
        <w:snapToGrid/>
        <w:spacing w:line="560" w:lineRule="exact"/>
        <w:ind w:firstLine="640" w:firstLineChars="200"/>
        <w:rPr>
          <w:rFonts w:eastAsia="黑体"/>
          <w:szCs w:val="32"/>
        </w:rPr>
      </w:pPr>
      <w:r>
        <w:rPr>
          <w:rFonts w:eastAsia="黑体"/>
          <w:szCs w:val="32"/>
        </w:rPr>
        <w:t>六、其他需要报告的事项</w:t>
      </w:r>
    </w:p>
    <w:p w14:paraId="1D4F9F35">
      <w:pPr>
        <w:spacing w:line="560" w:lineRule="exact"/>
        <w:ind w:firstLine="640" w:firstLineChars="200"/>
        <w:rPr>
          <w:rFonts w:eastAsia="楷体_GB2312"/>
          <w:szCs w:val="32"/>
        </w:rPr>
      </w:pPr>
      <w:r>
        <w:rPr>
          <w:rFonts w:eastAsia="楷体_GB2312"/>
          <w:szCs w:val="32"/>
        </w:rPr>
        <w:t>（一）政府信息公开信息处理费收取情况</w:t>
      </w:r>
    </w:p>
    <w:p w14:paraId="1C7F8A91">
      <w:pPr>
        <w:spacing w:line="560" w:lineRule="exact"/>
        <w:ind w:firstLine="640" w:firstLineChars="200"/>
        <w:rPr>
          <w:rFonts w:eastAsia="仿宋_GB2312"/>
          <w:szCs w:val="32"/>
        </w:rPr>
      </w:pPr>
      <w:r>
        <w:rPr>
          <w:rFonts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w:t>
      </w:r>
      <w:r>
        <w:rPr>
          <w:rFonts w:hint="eastAsia" w:eastAsia="仿宋_GB2312"/>
          <w:szCs w:val="32"/>
          <w:lang w:eastAsia="zh-CN"/>
        </w:rPr>
        <w:t>2025</w:t>
      </w:r>
      <w:r>
        <w:rPr>
          <w:rFonts w:eastAsia="仿宋_GB2312"/>
          <w:szCs w:val="32"/>
        </w:rPr>
        <w:t>年本机关在办理政府信息公开申请过程中未收取信息处理费。</w:t>
      </w:r>
    </w:p>
    <w:p w14:paraId="42A7533D">
      <w:pPr>
        <w:spacing w:line="560" w:lineRule="exact"/>
        <w:ind w:firstLine="640" w:firstLineChars="200"/>
        <w:rPr>
          <w:rFonts w:eastAsia="楷体_GB2312"/>
          <w:szCs w:val="32"/>
        </w:rPr>
      </w:pPr>
      <w:r>
        <w:rPr>
          <w:rFonts w:eastAsia="楷体_GB2312"/>
          <w:szCs w:val="32"/>
        </w:rPr>
        <w:t>（二）落实上级年度政务公开工作要点情况</w:t>
      </w:r>
    </w:p>
    <w:p w14:paraId="036DC0E8">
      <w:pPr>
        <w:spacing w:line="560" w:lineRule="exact"/>
        <w:ind w:firstLine="640" w:firstLineChars="200"/>
        <w:rPr>
          <w:rFonts w:hint="eastAsia" w:eastAsia="仿宋_GB2312"/>
          <w:szCs w:val="32"/>
        </w:rPr>
      </w:pPr>
      <w:r>
        <w:rPr>
          <w:rFonts w:eastAsia="仿宋_GB2312"/>
          <w:szCs w:val="32"/>
        </w:rPr>
        <w:t>按照《</w:t>
      </w:r>
      <w:r>
        <w:rPr>
          <w:rFonts w:hint="eastAsia" w:eastAsia="仿宋_GB2312"/>
          <w:szCs w:val="32"/>
          <w:lang w:eastAsia="zh-CN"/>
        </w:rPr>
        <w:t>2025</w:t>
      </w:r>
      <w:r>
        <w:rPr>
          <w:rFonts w:eastAsia="仿宋_GB2312"/>
          <w:szCs w:val="32"/>
        </w:rPr>
        <w:t>年高青县政务公开工作方案》（高政办字〔</w:t>
      </w:r>
      <w:r>
        <w:rPr>
          <w:rFonts w:hint="eastAsia" w:eastAsia="仿宋_GB2312"/>
          <w:szCs w:val="32"/>
          <w:lang w:eastAsia="zh-CN"/>
        </w:rPr>
        <w:t>2025</w:t>
      </w:r>
      <w:r>
        <w:rPr>
          <w:rFonts w:eastAsia="仿宋_GB2312"/>
          <w:szCs w:val="32"/>
        </w:rPr>
        <w:t>〕</w:t>
      </w:r>
      <w:r>
        <w:rPr>
          <w:rFonts w:hint="eastAsia" w:eastAsia="仿宋_GB2312"/>
          <w:szCs w:val="32"/>
          <w:lang w:val="en-US" w:eastAsia="zh-CN"/>
        </w:rPr>
        <w:t>9</w:t>
      </w:r>
      <w:r>
        <w:rPr>
          <w:rFonts w:eastAsia="仿宋_GB2312"/>
          <w:szCs w:val="32"/>
        </w:rPr>
        <w:t>号）要求，</w:t>
      </w:r>
      <w:r>
        <w:rPr>
          <w:rFonts w:hint="eastAsia" w:eastAsia="仿宋_GB2312"/>
          <w:szCs w:val="32"/>
        </w:rPr>
        <w:t>持续优化政策信息供给，加大</w:t>
      </w:r>
      <w:r>
        <w:rPr>
          <w:rFonts w:hint="eastAsia" w:eastAsia="仿宋_GB2312"/>
          <w:szCs w:val="32"/>
          <w:lang w:eastAsia="zh-CN"/>
        </w:rPr>
        <w:t>政策解读</w:t>
      </w:r>
      <w:r>
        <w:rPr>
          <w:rFonts w:hint="eastAsia" w:eastAsia="仿宋_GB2312"/>
          <w:szCs w:val="32"/>
        </w:rPr>
        <w:t>力度，加强对各单位信息公开工作的指导监督，推动公开流程标准化、规范化，不断筑牢政务公开工作根基。一是规范解读流程推动政策落实，坚持政策性文件与解读材料同步组织、同步审签、同步部署，根据政策影响范围和受众特点，综合运用图片图表、卡通动漫、音频视频等群众易于接受的形式开展解读</w:t>
      </w:r>
      <w:r>
        <w:rPr>
          <w:rFonts w:hint="eastAsia" w:eastAsia="仿宋_GB2312"/>
          <w:szCs w:val="32"/>
          <w:lang w:eastAsia="zh-CN"/>
        </w:rPr>
        <w:t>。</w:t>
      </w:r>
      <w:r>
        <w:rPr>
          <w:rFonts w:eastAsia="仿宋_GB2312"/>
          <w:szCs w:val="32"/>
        </w:rPr>
        <w:t>二是</w:t>
      </w:r>
      <w:r>
        <w:rPr>
          <w:rFonts w:hint="eastAsia" w:eastAsia="仿宋_GB2312"/>
          <w:szCs w:val="32"/>
        </w:rPr>
        <w:t>高效办理“依申请公开”，建立“日报备+月调度”动态监管机制，加强疑难件联合会商和高频申请事项主动公开力度，全面提高办理质效，2025年累计指导各单位办理政府信息公开申请</w:t>
      </w:r>
      <w:r>
        <w:rPr>
          <w:rFonts w:hint="eastAsia" w:eastAsia="仿宋_GB2312"/>
          <w:szCs w:val="32"/>
          <w:lang w:val="en-US" w:eastAsia="zh-CN"/>
        </w:rPr>
        <w:t>140</w:t>
      </w:r>
      <w:r>
        <w:rPr>
          <w:rFonts w:hint="eastAsia" w:eastAsia="仿宋_GB2312"/>
          <w:szCs w:val="32"/>
        </w:rPr>
        <w:t>余件。</w:t>
      </w:r>
    </w:p>
    <w:p w14:paraId="55700A3F">
      <w:pPr>
        <w:spacing w:line="560" w:lineRule="exact"/>
        <w:ind w:firstLine="640" w:firstLineChars="200"/>
        <w:rPr>
          <w:rFonts w:eastAsia="楷体_GB2312"/>
          <w:szCs w:val="32"/>
        </w:rPr>
      </w:pPr>
      <w:r>
        <w:rPr>
          <w:rFonts w:eastAsia="楷体_GB2312"/>
          <w:szCs w:val="32"/>
        </w:rPr>
        <w:t>（三）人大代表建议和政协提案办理结果公开情况</w:t>
      </w:r>
    </w:p>
    <w:p w14:paraId="75B8CC98">
      <w:pPr>
        <w:spacing w:line="560" w:lineRule="exact"/>
        <w:ind w:firstLine="640" w:firstLineChars="200"/>
        <w:rPr>
          <w:rFonts w:eastAsia="仿宋_GB2312"/>
          <w:szCs w:val="32"/>
        </w:rPr>
      </w:pPr>
      <w:r>
        <w:rPr>
          <w:rFonts w:hint="eastAsia" w:eastAsia="仿宋_GB2312"/>
          <w:szCs w:val="32"/>
          <w:lang w:eastAsia="zh-CN"/>
        </w:rPr>
        <w:t>2025</w:t>
      </w:r>
      <w:r>
        <w:rPr>
          <w:rFonts w:eastAsia="仿宋_GB2312"/>
          <w:szCs w:val="32"/>
        </w:rPr>
        <w:t>年未承办县十八届人大</w:t>
      </w:r>
      <w:r>
        <w:rPr>
          <w:rFonts w:hint="eastAsia" w:eastAsia="仿宋_GB2312"/>
          <w:szCs w:val="32"/>
          <w:lang w:eastAsia="zh-CN"/>
        </w:rPr>
        <w:t>四</w:t>
      </w:r>
      <w:r>
        <w:rPr>
          <w:rFonts w:eastAsia="仿宋_GB2312"/>
          <w:szCs w:val="32"/>
        </w:rPr>
        <w:t>次会议建议、县政协十五届</w:t>
      </w:r>
      <w:r>
        <w:rPr>
          <w:rFonts w:hint="eastAsia" w:eastAsia="仿宋_GB2312"/>
          <w:szCs w:val="32"/>
          <w:lang w:eastAsia="zh-CN"/>
        </w:rPr>
        <w:t>四</w:t>
      </w:r>
      <w:bookmarkStart w:id="0" w:name="_GoBack"/>
      <w:bookmarkEnd w:id="0"/>
      <w:r>
        <w:rPr>
          <w:rFonts w:eastAsia="仿宋_GB2312"/>
          <w:szCs w:val="32"/>
        </w:rPr>
        <w:t>次会议提案。</w:t>
      </w:r>
    </w:p>
    <w:p w14:paraId="328F19BE">
      <w:pPr>
        <w:spacing w:line="560" w:lineRule="exact"/>
        <w:ind w:firstLine="640" w:firstLineChars="200"/>
        <w:rPr>
          <w:rFonts w:eastAsia="楷体_GB2312"/>
          <w:szCs w:val="32"/>
          <w:highlight w:val="yellow"/>
        </w:rPr>
      </w:pPr>
      <w:r>
        <w:rPr>
          <w:rFonts w:eastAsia="楷体_GB2312"/>
          <w:szCs w:val="32"/>
        </w:rPr>
        <w:t>（四）政务公开工作创新情况</w:t>
      </w:r>
    </w:p>
    <w:p w14:paraId="6D183240">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建立</w:t>
      </w:r>
      <w:r>
        <w:rPr>
          <w:rFonts w:ascii="Times New Roman" w:hAnsi="Times New Roman" w:eastAsia="仿宋_GB2312" w:cs="Times New Roman"/>
          <w:sz w:val="32"/>
          <w:szCs w:val="32"/>
        </w:rPr>
        <w:t>“任务交办—跟踪督办—办结销号”工作机制，</w:t>
      </w:r>
      <w:r>
        <w:rPr>
          <w:rFonts w:hint="eastAsia" w:ascii="Times New Roman" w:hAnsi="Times New Roman" w:eastAsia="仿宋_GB2312" w:cs="Times New Roman"/>
          <w:sz w:val="32"/>
          <w:szCs w:val="32"/>
        </w:rPr>
        <w:t>以常态化任务清单压实公开责任，</w:t>
      </w:r>
      <w:r>
        <w:rPr>
          <w:rFonts w:ascii="Times New Roman" w:hAnsi="Times New Roman" w:eastAsia="仿宋_GB2312" w:cs="Times New Roman"/>
          <w:sz w:val="32"/>
          <w:szCs w:val="32"/>
        </w:rPr>
        <w:t>采取巡回检查、定期通报等方式对法定事项公开情况实施全程跟踪督办，</w:t>
      </w:r>
      <w:r>
        <w:rPr>
          <w:rFonts w:hint="eastAsia" w:ascii="Times New Roman" w:hAnsi="Times New Roman" w:eastAsia="仿宋_GB2312" w:cs="Times New Roman"/>
          <w:sz w:val="32"/>
          <w:szCs w:val="32"/>
        </w:rPr>
        <w:t>通过量化清单和办结销号提升信息公开的时效性和规范性，推动政务公开“</w:t>
      </w:r>
      <w:r>
        <w:rPr>
          <w:rFonts w:ascii="Times New Roman" w:hAnsi="Times New Roman" w:eastAsia="仿宋_GB2312" w:cs="Times New Roman"/>
          <w:sz w:val="32"/>
          <w:szCs w:val="32"/>
        </w:rPr>
        <w:t>由年底集中突击向常态化公开</w:t>
      </w:r>
      <w:r>
        <w:rPr>
          <w:rFonts w:hint="eastAsia" w:ascii="Times New Roman" w:hAnsi="Times New Roman" w:eastAsia="仿宋_GB2312" w:cs="Times New Roman"/>
          <w:sz w:val="32"/>
          <w:szCs w:val="32"/>
        </w:rPr>
        <w:t>转变、由被动考核向主动公开转变、由单人负责向全员参与转变”。</w:t>
      </w:r>
    </w:p>
    <w:p w14:paraId="3D51DADD">
      <w:pPr>
        <w:spacing w:line="560" w:lineRule="exact"/>
        <w:ind w:firstLine="640" w:firstLineChars="200"/>
        <w:rPr>
          <w:rFonts w:eastAsia="楷体_GB2312"/>
          <w:szCs w:val="32"/>
        </w:rPr>
      </w:pPr>
      <w:r>
        <w:rPr>
          <w:rFonts w:eastAsia="楷体_GB2312"/>
          <w:szCs w:val="32"/>
        </w:rPr>
        <w:t>（五）有关数据统计说明</w:t>
      </w:r>
    </w:p>
    <w:p w14:paraId="5B192795">
      <w:pPr>
        <w:spacing w:line="560" w:lineRule="exact"/>
        <w:ind w:firstLine="640" w:firstLineChars="200"/>
        <w:rPr>
          <w:rFonts w:eastAsia="仿宋_GB2312"/>
          <w:szCs w:val="32"/>
        </w:rPr>
      </w:pPr>
      <w:r>
        <w:rPr>
          <w:rFonts w:eastAsia="仿宋_GB2312"/>
          <w:szCs w:val="32"/>
        </w:rPr>
        <w:t>1.</w:t>
      </w:r>
      <w:r>
        <w:rPr>
          <w:rFonts w:hint="eastAsia" w:eastAsia="仿宋_GB2312"/>
          <w:szCs w:val="32"/>
        </w:rPr>
        <w:t xml:space="preserve"> </w:t>
      </w:r>
      <w:r>
        <w:rPr>
          <w:rFonts w:eastAsia="仿宋_GB2312"/>
          <w:szCs w:val="32"/>
        </w:rPr>
        <w:t>报告中所列数据可能因四舍五入原因与数据直接相加之和存在尾数差异。</w:t>
      </w:r>
    </w:p>
    <w:p w14:paraId="4D139149">
      <w:pPr>
        <w:spacing w:line="560" w:lineRule="exact"/>
        <w:ind w:firstLine="640" w:firstLineChars="200"/>
        <w:rPr>
          <w:rFonts w:eastAsia="仿宋_GB2312"/>
          <w:szCs w:val="32"/>
        </w:rPr>
      </w:pPr>
      <w:r>
        <w:rPr>
          <w:rFonts w:eastAsia="仿宋_GB2312"/>
          <w:szCs w:val="32"/>
        </w:rPr>
        <w:t>2.</w:t>
      </w:r>
      <w:r>
        <w:rPr>
          <w:rFonts w:hint="eastAsia" w:eastAsia="仿宋_GB2312"/>
          <w:szCs w:val="32"/>
        </w:rPr>
        <w:t xml:space="preserve"> </w:t>
      </w:r>
      <w:r>
        <w:rPr>
          <w:rFonts w:eastAsia="仿宋_GB2312"/>
          <w:szCs w:val="32"/>
        </w:rPr>
        <w:t>行政许可数量、行政处罚和行政强制数量，包括已公开和依法未公开的全部处理决定。</w:t>
      </w:r>
    </w:p>
    <w:p w14:paraId="4A6846B3">
      <w:pPr>
        <w:spacing w:line="560" w:lineRule="exact"/>
        <w:ind w:firstLine="640" w:firstLineChars="200"/>
        <w:rPr>
          <w:rFonts w:eastAsia="仿宋_GB2312"/>
          <w:szCs w:val="32"/>
        </w:rPr>
      </w:pPr>
      <w:r>
        <w:rPr>
          <w:rFonts w:eastAsia="仿宋_GB2312"/>
          <w:szCs w:val="32"/>
        </w:rPr>
        <w:t>3.</w:t>
      </w:r>
      <w:r>
        <w:rPr>
          <w:rFonts w:hint="eastAsia" w:eastAsia="仿宋_GB2312"/>
          <w:szCs w:val="32"/>
        </w:rPr>
        <w:t xml:space="preserve"> </w:t>
      </w:r>
      <w:r>
        <w:rPr>
          <w:rFonts w:eastAsia="仿宋_GB2312"/>
          <w:szCs w:val="32"/>
        </w:rPr>
        <w:t>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modern"/>
    <w:pitch w:val="default"/>
    <w:sig w:usb0="00000000" w:usb1="00000000" w:usb2="00000009" w:usb3="00000000" w:csb0="0000019F" w:csb1="00000000"/>
  </w:font>
  <w:font w:name="Liberation Sans Narrow">
    <w:panose1 w:val="020B0606020202030204"/>
    <w:charset w:val="00"/>
    <w:family w:val="auto"/>
    <w:pitch w:val="default"/>
    <w:sig w:usb0="A00002AF" w:usb1="500078FB" w:usb2="00000000" w:usb3="00000000" w:csb0="600000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03B86"/>
    <w:rsid w:val="00012183"/>
    <w:rsid w:val="00015EFF"/>
    <w:rsid w:val="00024945"/>
    <w:rsid w:val="00037C60"/>
    <w:rsid w:val="0004555F"/>
    <w:rsid w:val="000A0618"/>
    <w:rsid w:val="000D271D"/>
    <w:rsid w:val="000D7701"/>
    <w:rsid w:val="00117733"/>
    <w:rsid w:val="00121DCF"/>
    <w:rsid w:val="00122CAB"/>
    <w:rsid w:val="00127325"/>
    <w:rsid w:val="0013202F"/>
    <w:rsid w:val="001335B0"/>
    <w:rsid w:val="00143A08"/>
    <w:rsid w:val="00154B99"/>
    <w:rsid w:val="00160524"/>
    <w:rsid w:val="001636F8"/>
    <w:rsid w:val="001657FB"/>
    <w:rsid w:val="00170E63"/>
    <w:rsid w:val="00175F29"/>
    <w:rsid w:val="001B67E0"/>
    <w:rsid w:val="001D19EA"/>
    <w:rsid w:val="00211942"/>
    <w:rsid w:val="00233CEE"/>
    <w:rsid w:val="00265AD8"/>
    <w:rsid w:val="00274600"/>
    <w:rsid w:val="002C4AAF"/>
    <w:rsid w:val="002C6912"/>
    <w:rsid w:val="002E3543"/>
    <w:rsid w:val="003073F0"/>
    <w:rsid w:val="00316104"/>
    <w:rsid w:val="003452EE"/>
    <w:rsid w:val="00365539"/>
    <w:rsid w:val="003735A0"/>
    <w:rsid w:val="00392F69"/>
    <w:rsid w:val="003A6C60"/>
    <w:rsid w:val="003C30AD"/>
    <w:rsid w:val="003C6CDE"/>
    <w:rsid w:val="003F0763"/>
    <w:rsid w:val="00400B20"/>
    <w:rsid w:val="00404989"/>
    <w:rsid w:val="00415AB1"/>
    <w:rsid w:val="004170AB"/>
    <w:rsid w:val="0045001D"/>
    <w:rsid w:val="00477DB4"/>
    <w:rsid w:val="004819AE"/>
    <w:rsid w:val="00484B01"/>
    <w:rsid w:val="004912D4"/>
    <w:rsid w:val="004C1BB7"/>
    <w:rsid w:val="004D4F2B"/>
    <w:rsid w:val="004E1BDE"/>
    <w:rsid w:val="004E6566"/>
    <w:rsid w:val="00510D2B"/>
    <w:rsid w:val="00560315"/>
    <w:rsid w:val="00580C31"/>
    <w:rsid w:val="0059121E"/>
    <w:rsid w:val="00591E5D"/>
    <w:rsid w:val="005F77B9"/>
    <w:rsid w:val="00610E85"/>
    <w:rsid w:val="00620FF9"/>
    <w:rsid w:val="00640F97"/>
    <w:rsid w:val="00672560"/>
    <w:rsid w:val="00673AC7"/>
    <w:rsid w:val="00683E5C"/>
    <w:rsid w:val="006920B6"/>
    <w:rsid w:val="006B5F06"/>
    <w:rsid w:val="006B6344"/>
    <w:rsid w:val="006D0E26"/>
    <w:rsid w:val="006D337E"/>
    <w:rsid w:val="006D4C9A"/>
    <w:rsid w:val="00704FCD"/>
    <w:rsid w:val="00707EED"/>
    <w:rsid w:val="007361FC"/>
    <w:rsid w:val="00747B2D"/>
    <w:rsid w:val="00750309"/>
    <w:rsid w:val="007744B1"/>
    <w:rsid w:val="00777F87"/>
    <w:rsid w:val="00795F37"/>
    <w:rsid w:val="007A3D79"/>
    <w:rsid w:val="007B36BC"/>
    <w:rsid w:val="007D0906"/>
    <w:rsid w:val="00834B9C"/>
    <w:rsid w:val="00845538"/>
    <w:rsid w:val="00863521"/>
    <w:rsid w:val="008674E0"/>
    <w:rsid w:val="008816CA"/>
    <w:rsid w:val="008923AB"/>
    <w:rsid w:val="00894C09"/>
    <w:rsid w:val="008A529B"/>
    <w:rsid w:val="008A55E3"/>
    <w:rsid w:val="008C4ED2"/>
    <w:rsid w:val="008C523D"/>
    <w:rsid w:val="008E4CB6"/>
    <w:rsid w:val="0092465F"/>
    <w:rsid w:val="009346CA"/>
    <w:rsid w:val="009519DB"/>
    <w:rsid w:val="00951E23"/>
    <w:rsid w:val="00991E29"/>
    <w:rsid w:val="009A1914"/>
    <w:rsid w:val="009B028C"/>
    <w:rsid w:val="009D01B6"/>
    <w:rsid w:val="00A43B8A"/>
    <w:rsid w:val="00A6709B"/>
    <w:rsid w:val="00A932B5"/>
    <w:rsid w:val="00A95414"/>
    <w:rsid w:val="00AA18F8"/>
    <w:rsid w:val="00AC79E0"/>
    <w:rsid w:val="00AE27F5"/>
    <w:rsid w:val="00AE50FA"/>
    <w:rsid w:val="00AE69AF"/>
    <w:rsid w:val="00B461A7"/>
    <w:rsid w:val="00B71464"/>
    <w:rsid w:val="00B83AEE"/>
    <w:rsid w:val="00B91E9A"/>
    <w:rsid w:val="00B9278D"/>
    <w:rsid w:val="00BA0351"/>
    <w:rsid w:val="00BC7145"/>
    <w:rsid w:val="00C16711"/>
    <w:rsid w:val="00C22585"/>
    <w:rsid w:val="00C30117"/>
    <w:rsid w:val="00C46420"/>
    <w:rsid w:val="00C665D7"/>
    <w:rsid w:val="00C67940"/>
    <w:rsid w:val="00C72F77"/>
    <w:rsid w:val="00C757A4"/>
    <w:rsid w:val="00CA6C71"/>
    <w:rsid w:val="00CC2BE7"/>
    <w:rsid w:val="00CD1D00"/>
    <w:rsid w:val="00CF7F2D"/>
    <w:rsid w:val="00D32C44"/>
    <w:rsid w:val="00D40D96"/>
    <w:rsid w:val="00DB30F2"/>
    <w:rsid w:val="00E11DA0"/>
    <w:rsid w:val="00E14393"/>
    <w:rsid w:val="00E15A85"/>
    <w:rsid w:val="00E20476"/>
    <w:rsid w:val="00E21A4E"/>
    <w:rsid w:val="00E36E1C"/>
    <w:rsid w:val="00E646ED"/>
    <w:rsid w:val="00E66DAA"/>
    <w:rsid w:val="00E80BE9"/>
    <w:rsid w:val="00E86A04"/>
    <w:rsid w:val="00E86BC9"/>
    <w:rsid w:val="00E9410E"/>
    <w:rsid w:val="00E94325"/>
    <w:rsid w:val="00E94D01"/>
    <w:rsid w:val="00EA0721"/>
    <w:rsid w:val="00EA150A"/>
    <w:rsid w:val="00ED022F"/>
    <w:rsid w:val="00EE2274"/>
    <w:rsid w:val="00EE6727"/>
    <w:rsid w:val="00EF5607"/>
    <w:rsid w:val="00F22B60"/>
    <w:rsid w:val="00F36008"/>
    <w:rsid w:val="00F40F99"/>
    <w:rsid w:val="00F45A38"/>
    <w:rsid w:val="00F52A04"/>
    <w:rsid w:val="00F568F2"/>
    <w:rsid w:val="00F7103B"/>
    <w:rsid w:val="00F82034"/>
    <w:rsid w:val="00FA216A"/>
    <w:rsid w:val="00FD0FAA"/>
    <w:rsid w:val="00FD5381"/>
    <w:rsid w:val="00FE23FA"/>
    <w:rsid w:val="00FE2D96"/>
    <w:rsid w:val="00FE7A59"/>
    <w:rsid w:val="00FF0D27"/>
    <w:rsid w:val="00FF2E9D"/>
    <w:rsid w:val="02753054"/>
    <w:rsid w:val="0414147C"/>
    <w:rsid w:val="04DE4ECF"/>
    <w:rsid w:val="088A64CF"/>
    <w:rsid w:val="0A936C9B"/>
    <w:rsid w:val="0F1152E7"/>
    <w:rsid w:val="12C10955"/>
    <w:rsid w:val="13870317"/>
    <w:rsid w:val="154B7B1C"/>
    <w:rsid w:val="15A93381"/>
    <w:rsid w:val="16094541"/>
    <w:rsid w:val="16B34B25"/>
    <w:rsid w:val="17240D19"/>
    <w:rsid w:val="1B294AAA"/>
    <w:rsid w:val="1BE121C7"/>
    <w:rsid w:val="1D4B621F"/>
    <w:rsid w:val="1DDC1359"/>
    <w:rsid w:val="1E6D5B08"/>
    <w:rsid w:val="1E8502F1"/>
    <w:rsid w:val="1FA62C30"/>
    <w:rsid w:val="201900EE"/>
    <w:rsid w:val="209F347C"/>
    <w:rsid w:val="254847E5"/>
    <w:rsid w:val="25F424D7"/>
    <w:rsid w:val="279FE199"/>
    <w:rsid w:val="29726700"/>
    <w:rsid w:val="2A09364C"/>
    <w:rsid w:val="2C6C7279"/>
    <w:rsid w:val="2DDA46A3"/>
    <w:rsid w:val="2F6454EE"/>
    <w:rsid w:val="3114767B"/>
    <w:rsid w:val="31912DF9"/>
    <w:rsid w:val="31A83080"/>
    <w:rsid w:val="33DF28A0"/>
    <w:rsid w:val="34674CF0"/>
    <w:rsid w:val="34D97170"/>
    <w:rsid w:val="35713388"/>
    <w:rsid w:val="36AA4AF9"/>
    <w:rsid w:val="37875A5B"/>
    <w:rsid w:val="37EE0820"/>
    <w:rsid w:val="3AB0C613"/>
    <w:rsid w:val="3C2D2D1E"/>
    <w:rsid w:val="3D7434CF"/>
    <w:rsid w:val="3E932024"/>
    <w:rsid w:val="3F6B4C76"/>
    <w:rsid w:val="3F924C20"/>
    <w:rsid w:val="40C524CC"/>
    <w:rsid w:val="40EE6039"/>
    <w:rsid w:val="40EF14BF"/>
    <w:rsid w:val="41230348"/>
    <w:rsid w:val="41C83828"/>
    <w:rsid w:val="422E75D1"/>
    <w:rsid w:val="428B4190"/>
    <w:rsid w:val="446474E5"/>
    <w:rsid w:val="48925115"/>
    <w:rsid w:val="49995C78"/>
    <w:rsid w:val="4C5F726F"/>
    <w:rsid w:val="4D53059D"/>
    <w:rsid w:val="4DED6E28"/>
    <w:rsid w:val="4EFE44E2"/>
    <w:rsid w:val="4F0E4A13"/>
    <w:rsid w:val="4F50502B"/>
    <w:rsid w:val="501D6863"/>
    <w:rsid w:val="509D35F2"/>
    <w:rsid w:val="51A25EE6"/>
    <w:rsid w:val="524B48D6"/>
    <w:rsid w:val="52B91E49"/>
    <w:rsid w:val="54304C97"/>
    <w:rsid w:val="55ED02A1"/>
    <w:rsid w:val="56280290"/>
    <w:rsid w:val="562A6D00"/>
    <w:rsid w:val="56401727"/>
    <w:rsid w:val="58093C26"/>
    <w:rsid w:val="5A9F7293"/>
    <w:rsid w:val="5D6F6A48"/>
    <w:rsid w:val="5EE93E64"/>
    <w:rsid w:val="5F176BA2"/>
    <w:rsid w:val="5F4F1B8D"/>
    <w:rsid w:val="5F7E470D"/>
    <w:rsid w:val="62223F30"/>
    <w:rsid w:val="64103319"/>
    <w:rsid w:val="65021D7B"/>
    <w:rsid w:val="672432B5"/>
    <w:rsid w:val="67451A69"/>
    <w:rsid w:val="67A05FCC"/>
    <w:rsid w:val="686F5712"/>
    <w:rsid w:val="693E31B9"/>
    <w:rsid w:val="6A167F75"/>
    <w:rsid w:val="6B3C655C"/>
    <w:rsid w:val="6BE831A7"/>
    <w:rsid w:val="6BF16A36"/>
    <w:rsid w:val="6D7F2B59"/>
    <w:rsid w:val="71E789C9"/>
    <w:rsid w:val="739B53E3"/>
    <w:rsid w:val="7447614D"/>
    <w:rsid w:val="74DD9D00"/>
    <w:rsid w:val="750C5B8F"/>
    <w:rsid w:val="75D734B1"/>
    <w:rsid w:val="75E033DC"/>
    <w:rsid w:val="771025E0"/>
    <w:rsid w:val="77154E88"/>
    <w:rsid w:val="775A3CB8"/>
    <w:rsid w:val="798E78AA"/>
    <w:rsid w:val="79FC1DEB"/>
    <w:rsid w:val="7A18638B"/>
    <w:rsid w:val="7E891395"/>
    <w:rsid w:val="7F8EDF5F"/>
    <w:rsid w:val="AE9F2E0D"/>
    <w:rsid w:val="D0AD493D"/>
    <w:rsid w:val="DFEA18D9"/>
    <w:rsid w:val="E3EB70A6"/>
    <w:rsid w:val="E7CE8CA5"/>
    <w:rsid w:val="EEE51EFB"/>
    <w:rsid w:val="EFF1F0C7"/>
    <w:rsid w:val="EFFAF198"/>
    <w:rsid w:val="F37F05DE"/>
    <w:rsid w:val="FDED1811"/>
    <w:rsid w:val="FEDB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Balloon Text"/>
    <w:basedOn w:val="1"/>
    <w:link w:val="22"/>
    <w:autoRedefine/>
    <w:semiHidden/>
    <w:unhideWhenUsed/>
    <w:qFormat/>
    <w:uiPriority w:val="99"/>
    <w:pPr>
      <w:spacing w:line="240" w:lineRule="auto"/>
    </w:pPr>
    <w:rPr>
      <w:sz w:val="18"/>
      <w:szCs w:val="18"/>
    </w:rPr>
  </w:style>
  <w:style w:type="paragraph" w:styleId="5">
    <w:name w:val="footer"/>
    <w:basedOn w:val="1"/>
    <w:link w:val="19"/>
    <w:unhideWhenUsed/>
    <w:qFormat/>
    <w:uiPriority w:val="99"/>
    <w:pPr>
      <w:tabs>
        <w:tab w:val="center" w:pos="4153"/>
        <w:tab w:val="right" w:pos="8306"/>
      </w:tabs>
      <w:spacing w:line="240" w:lineRule="atLeast"/>
      <w:jc w:val="left"/>
    </w:pPr>
    <w:rPr>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semiHidden/>
    <w:unhideWhenUsed/>
    <w:qFormat/>
    <w:uiPriority w:val="99"/>
    <w:pPr>
      <w:jc w:val="left"/>
    </w:pPr>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333333"/>
      <w:u w:val="none"/>
    </w:rPr>
  </w:style>
  <w:style w:type="character" w:styleId="13">
    <w:name w:val="HTML Definition"/>
    <w:basedOn w:val="10"/>
    <w:autoRedefine/>
    <w:semiHidden/>
    <w:unhideWhenUsed/>
    <w:qFormat/>
    <w:uiPriority w:val="99"/>
    <w:rPr>
      <w:i/>
      <w:iCs/>
    </w:rPr>
  </w:style>
  <w:style w:type="character" w:styleId="14">
    <w:name w:val="Hyperlink"/>
    <w:basedOn w:val="10"/>
    <w:semiHidden/>
    <w:unhideWhenUsed/>
    <w:qFormat/>
    <w:uiPriority w:val="99"/>
    <w:rPr>
      <w:color w:val="333333"/>
      <w:u w:val="none"/>
    </w:rPr>
  </w:style>
  <w:style w:type="character" w:styleId="15">
    <w:name w:val="HTML Code"/>
    <w:basedOn w:val="10"/>
    <w:autoRedefine/>
    <w:semiHidden/>
    <w:unhideWhenUsed/>
    <w:qFormat/>
    <w:uiPriority w:val="99"/>
    <w:rPr>
      <w:rFonts w:hint="default" w:ascii="Consolas" w:hAnsi="Consolas" w:eastAsia="Consolas" w:cs="Consolas"/>
      <w:color w:val="C7254E"/>
      <w:sz w:val="21"/>
      <w:szCs w:val="21"/>
      <w:shd w:val="clear" w:color="auto" w:fill="F9F2F4"/>
    </w:rPr>
  </w:style>
  <w:style w:type="character" w:styleId="16">
    <w:name w:val="HTML Keyboard"/>
    <w:basedOn w:val="10"/>
    <w:semiHidden/>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10"/>
    <w:semiHidden/>
    <w:unhideWhenUsed/>
    <w:qFormat/>
    <w:uiPriority w:val="99"/>
    <w:rPr>
      <w:rFonts w:ascii="Consolas" w:hAnsi="Consolas" w:eastAsia="Consolas" w:cs="Consolas"/>
      <w:sz w:val="21"/>
      <w:szCs w:val="21"/>
    </w:rPr>
  </w:style>
  <w:style w:type="character" w:customStyle="1" w:styleId="18">
    <w:name w:val="页眉 Char"/>
    <w:basedOn w:val="10"/>
    <w:link w:val="6"/>
    <w:autoRedefine/>
    <w:qFormat/>
    <w:uiPriority w:val="99"/>
    <w:rPr>
      <w:rFonts w:ascii="Times New Roman" w:hAnsi="Times New Roman" w:eastAsia="方正仿宋_GBK" w:cs="Times New Roman"/>
      <w:snapToGrid w:val="0"/>
      <w:kern w:val="0"/>
      <w:sz w:val="18"/>
      <w:szCs w:val="18"/>
    </w:rPr>
  </w:style>
  <w:style w:type="character" w:customStyle="1" w:styleId="19">
    <w:name w:val="页脚 Char"/>
    <w:basedOn w:val="10"/>
    <w:link w:val="5"/>
    <w:autoRedefine/>
    <w:qFormat/>
    <w:uiPriority w:val="99"/>
    <w:rPr>
      <w:rFonts w:ascii="Times New Roman" w:hAnsi="Times New Roman" w:eastAsia="方正仿宋_GBK" w:cs="Times New Roman"/>
      <w:snapToGrid w:val="0"/>
      <w:kern w:val="0"/>
      <w:sz w:val="18"/>
      <w:szCs w:val="18"/>
    </w:rPr>
  </w:style>
  <w:style w:type="character" w:customStyle="1" w:styleId="20">
    <w:name w:val="hover6"/>
    <w:basedOn w:val="10"/>
    <w:autoRedefine/>
    <w:qFormat/>
    <w:uiPriority w:val="0"/>
    <w:rPr>
      <w:color w:val="355E92"/>
    </w:rPr>
  </w:style>
  <w:style w:type="character" w:customStyle="1" w:styleId="21">
    <w:name w:val="bsharetext"/>
    <w:basedOn w:val="10"/>
    <w:autoRedefine/>
    <w:qFormat/>
    <w:uiPriority w:val="0"/>
  </w:style>
  <w:style w:type="character" w:customStyle="1" w:styleId="22">
    <w:name w:val="批注框文本 Char"/>
    <w:basedOn w:val="10"/>
    <w:link w:val="4"/>
    <w:autoRedefine/>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648</Words>
  <Characters>3699</Characters>
  <Lines>30</Lines>
  <Paragraphs>8</Paragraphs>
  <TotalTime>937</TotalTime>
  <ScaleCrop>false</ScaleCrop>
  <LinksUpToDate>false</LinksUpToDate>
  <CharactersWithSpaces>4339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2022-01-03T09:04:00Z</dcterms:created>
  <dc:creator>lb</dc:creator>
  <cp:lastModifiedBy>user</cp:lastModifiedBy>
  <dcterms:modified xsi:type="dcterms:W3CDTF">2026-01-27T14:48:35Z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DACA03F549D241A1951014AF5584A788</vt:lpwstr>
  </property>
</Properties>
</file>