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ind w:left="0" w:leftChars="0" w:firstLine="0" w:firstLineChars="0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高政发〔2020〕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9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eastAsia="zh-CN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eastAsia="zh-CN"/>
        </w:rPr>
        <w:t>关于印发高青县</w:t>
      </w: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  <w:t>2020年国民经济和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  <w:t>社会发展计划的通知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各镇人民政府，各街道办事处，经济开发区管委会，县政府各部门，各有关单位：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《高青县2020年国民经济和社会发展计划》业经高青县第十七届人民代表大会第四次会议批准，现印发给你们，请认真组织实施。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6" w:firstLineChars="170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高青县人民政府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446" w:firstLineChars="1702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2020年5月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>
      <w:pPr>
        <w:pStyle w:val="2"/>
        <w:rPr>
          <w:rFonts w:hint="eastAsia" w:eastAsia="仿宋_GB2312"/>
          <w:lang w:val="en-US" w:eastAsia="zh-CN"/>
        </w:rPr>
      </w:pPr>
      <w:r>
        <w:rPr>
          <w:rFonts w:hint="eastAsia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sz w:val="44"/>
          <w:szCs w:val="44"/>
        </w:rPr>
      </w:pPr>
      <w:r>
        <w:rPr>
          <w:rFonts w:hint="default" w:ascii="Times New Roman" w:hAnsi="Times New Roman" w:cs="Times New Roman" w:eastAsiaTheme="minorEastAsia"/>
          <w:b/>
          <w:bCs/>
          <w:sz w:val="44"/>
          <w:szCs w:val="44"/>
          <w:lang w:val="en-US" w:eastAsia="zh-CN"/>
        </w:rPr>
        <w:t>高青县2020年国民经济和社会发展计划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一、2019年国民经济和社会发展计划执行情况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2019年，在县委的坚强领导和县人大的监督指导下，全县上下以习近平新时代中国特色社会主义思想为指导，认真贯彻落实党的十九大及二中、三中、四中全会精神和省、市重大决策部署，围绕高质量发展目标任务，突出“产业兴县、新型工业化强县”发展思路，加快推进新旧动能转换、乡村振兴、“三大攻坚战”“六稳”等各项重点工作，积极应对经济运行新挑战，县域经济保持稳定健康发展态势。2019年，全县地区生产总值增长1.1%；一般公共预算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收入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增长0.64%，扣除新增减税降费因素影响增长6.3%；城镇和农村居民人均可支配收入分别增长7.5%、9.5%。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  <w:t>（一）新旧动能转换全面起势，产业转型升级步伐加快。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出台了支持骨干企业和创新成长型企业发展的金6条，新增规上工业企业22家，工业企业纳税同比增长11.7%。一是新兴产业发展开创新局面。企业科技创新能力持续增强，年内新增省市级创新平台1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家、高新技术企业7家。黄三角药谷产业园纳入市级产业发展规划，已有11家企业入驻，立新制药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达到试生产条件，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科汇药业、侨森医疗等项目加快推进，健康医药产业初具规模。高青化工产业园获得省级化工园区认定，飞源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化工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年产8万吨绿色制冷剂项目部分投产，飞源气体与南大光电合作建设含氟电子特种气体生产基地，含氟新材料产业集群化发展进入快车道；华元新材料、兰杜生物、兴鲁科技等一批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项目落地开工；隆华新材料进入IPO上市辅导期，黄河新材料项目建成投产。盘活利用闲置厂房，引进的晨旭半导体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自动化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设备制造项目建成试生产，宝乘电子芯片封装生产线升级项目建成投产，电子信息产业主营业务收入增长35%。透平新能源汽轮机叶片、美生热能高端装备制造等项目部分投产，先进装备制造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产业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规模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不断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壮大。黄三角物联网产业园T3+大数据中心项目顺利推进，华为县域智慧城市峰会在我县成功召开，我县被列为2020年省级新型智慧城市建设预试点。二是传统产业实现优化升级。实施市级重点技改项目30个，累计完成投资17亿元。国井集团实施了国井智慧车间改造，如意纺织部分新设备投入生产，渤海活塞完成机器换人设备20台套，宏业纺织智慧工厂项目正在加快建设，传统产业智慧化、智能化发展水平得到提升。依法依规关闭24家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落后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化工企业，化工产业转型升级扎实推进。三是现代服务业迈出新步伐。扎实推进服务业重点项目建设，10个市级服务业重点项目完成投资21.9亿元。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黄三角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物联网产业园入选省级数字经济园区，京东云高青会客厅投入运营。天鹅湖温泉慢城被国际慢联正式授牌，成为黄河流域第一个国际慢城，成功举办黄河文化旅游节；安澜湾、翡骊汤泉、水上乐园等项目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成为新的消费增长点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，陈庄西周遗址博物馆建成开馆。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（二）乡村振兴战略深入实施，现代农业体系加快构建。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现代农业发展提质增效。发挥农业龙头带动作用，“龙头企业+基地+农户”的产业链条正在形成，一二三产融合发展的“新六产”模式清晰可见。依托得益乳业成功创建省级现代农业产业园，建成4处标准化示范牧场，全县奶牛存栏达3.3万头，鲜奶产量居全省前三；出台了扶持黑牛产业做大做强的10条措施，新天地黑牛与盒马鲜生达成合作，完成养殖区、屠宰精深加工车间改造提升，全县黑牛存栏达2.5万头；正茂农业产业园项目落地开工，致力打造集农产品深加工、仓储、冷链物流于一体的区域性现代农业综合园区。中化MAP技术服务中心完善服务体系，为小麦、玉米生产提供全流程社会化服务。全县农业龙头企业、农民专业合作社、家庭农场等新型经营主体达到1600余家。二是美丽乡村建设扎实推进。实施了“四好农村路”三年集中攻坚行动，开展13个示范村、196个整治村的“十村示范百村整治”工程，全面启动实施农村生活污水治理工程，持续推进农村“七改”工程，清洁供暖、户户通、安全饮水工程按计划完成，农村人居环境进一步改善。扎实开展“城乡环境大整治精细管理大提升”行动，强力实施“七大会战”，顺利通过国家卫生县城复审。三是黄河滩区居民迁建工程顺利实施。一期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3个社区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42栋住宅楼全面建成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，达到入住条件，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其中常家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社区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完成分房到户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二期工程13栋住宅楼完成主体建设；黄河滩区居民迁建产业规划编制完成。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kern w:val="2"/>
          <w:sz w:val="32"/>
          <w:szCs w:val="32"/>
        </w:rPr>
        <w:t>（三）重点项目建设有力推进，发展后劲明显增强</w:t>
      </w:r>
      <w:r>
        <w:rPr>
          <w:rFonts w:hint="default" w:ascii="Times New Roman" w:hAnsi="Times New Roman" w:eastAsia="楷体" w:cs="Times New Roman"/>
          <w:b w:val="0"/>
          <w:bCs w:val="0"/>
          <w:kern w:val="2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一是重点项目建设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eastAsia="zh-CN"/>
        </w:rPr>
        <w:t>扎实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推进。坚持项目为纲，实行重点工程项目指挥部机制和“五个一”调度推进机制，2019年共实施县级重点项目109个， 28个市重大项目全部按计划开工，完成投资55.3亿元。兰杜生物纤维素醚、兴鲁科技、正茂农业等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b w:val="0"/>
          <w:bCs w:val="0"/>
          <w:kern w:val="2"/>
          <w:sz w:val="32"/>
          <w:szCs w:val="32"/>
        </w:rPr>
        <w:t>个项目入选省新旧动能转换优选项目，中化MAP50万亩优质原粮基地项目列入省重大活动签约项目。二是“双招双引”再创佳绩。出台《落实“七项真功夫”精准突破“双招双引”18条措施》，成立“双招双引”工作委员会和6个工作专班，新签约项目17个，其中过5亿元项目9个，山东赫达纤维素醚、华科药业高端特色原料药等一批重大产业项目计划年内动工，项目质量明显提升。实施“人才回引”工程，积极吸引高青籍在外人才回乡工作；新引进3名国家重点人才来高青创业，实现国家级人才引进零的突破。三是对上争取支持取得新成果。入选省财政金融政策融合支持乡村振兴试点县、省新型智慧城市建设试点县，青城镇和常家镇蓑衣樊村等1镇6村通过全省首批乡村振兴“十百千”示范创建工程认定，成功获授省级粮改饲示范县。全年争取上级支持项目280余个，到位无偿资金约12亿元，同比增长12.3%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after="0" w:afterLines="0" w:line="560" w:lineRule="exact"/>
        <w:ind w:left="0" w:leftChars="0"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napToGrid/>
          <w:color w:val="auto"/>
          <w:kern w:val="2"/>
          <w:sz w:val="32"/>
          <w:szCs w:val="32"/>
        </w:rPr>
        <w:t>（四）重点领域整治力度不断加大，发展环境持续优化。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</w:rPr>
        <w:t>一是积极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保持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</w:rPr>
        <w:t>优良自然生态。抓好中央、省生态环保督察及“回头看”涉及我县44个反馈问题整改，扎实开展燃气锅炉低氮燃烧改造、涉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eastAsia="zh-CN"/>
        </w:rPr>
        <w:t>VOCs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</w:rPr>
        <w:t>企业深度治理和无组织排放排查整治，加强移动污染源管控，深入实施危固废排查整治，危险废物规范化处置率达到100%。全面落实河长制、湖长制，加强涉水企业提标改造、农业面源污染治理，水环境质量稳固提升。二是持续打造优良金融生态。加大不良贷款处置力度，严厉打击恶意逃废银行债务、非法集资、互联网金融诈骗等行为，不良贷款率控制在3%以内。加快搭建融资平台，积极筹建产业发展基金、企业应急转贷基金。三是加快构建优良营商环境。持续加强机关作风效能建设，全面落实关心关爱企业家10条措施，深入实施工业投资项目“1+N”审批制度改革，不断深化“一窗受理”改革，推行重点项目手续办理“帮办”“代办”制度，进一步提高行政审批效率，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color w:val="auto"/>
          <w:kern w:val="2"/>
          <w:sz w:val="32"/>
          <w:szCs w:val="32"/>
          <w:lang w:val="en-US" w:eastAsia="zh-CN"/>
        </w:rPr>
        <w:t>我县在2019年度营商环境评价工作中获得全省第二、全市第一的好成绩。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（五）基础设施短板加快补齐，发展平台进一步提升。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一是实施了一批重大交通项目。长深高速高青至广饶段、县道刘杨路升级改造等工程竣工通车，济南至高青高速开工建设，上海路北延（赵班路改建）工程完成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开工准备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小清河复航等工程按计划推进。新汽车站正式启用，20辆新能源公交车投入运营。二是城区基础设施不断完善。国井大道南延及桥梁工程、长江路东延（一期）、扳倒井路西延、济水路、芦姑路等工程建成通车。完成城区9处易涝点改造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4.9公里雨污分流工程，全长2340米的长江路地下综合管廊（一期）工程完成主体施工。三是园区承载力不断增强。经济开发区创建为省级生态园区，金洋路、田横路、扳倒井路完成提升改造，一级消防站建成投用。化工产业园实施扩园提升工程，总长度7.7公里的支脉河路、纵三路、田溢路建成通车，配套管网工程同步完成，特勤消防站投入使用，能源中心项目完成立项手续。电子信息产业园加快整体规划设计，改造10000平方米标准化厂房，为晨旭半导体等企业入驻提供条件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（六）民生保障水平进一步增强，社会事业全面发展。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一是脱贫攻坚成果进一步巩固。全县建档立卡贫困人口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7962户14868人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稳定脱贫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建成扶贫“爱心超市”11处，在全市率先实现全域覆盖。116个省定扶贫工作重点村“五通十有”全面达标。二是教育质量进一步提升。全面实施“名校长、名师、名班主任”培育工程，2019年高考普通文理本科上线1150人，实现“七连增”。高青燕园学校、千乘湖小学、特殊教育学校、黑里寨中心小学建成招生，新职业中专一期工程建成使用。三是医疗服务水平再上新台阶。我县列入全国紧密型县域医共体建设试点县，被评为全国中医药工作先进县，县人民医院成为山大二院合作医院，入选国家全面提升县级医院综合能力医院名单；县妇幼保健院列入全省现代医院管理制度试点单位；在全市率先建成“互联网+医疗健康”信息平台，构建远程彩超、远程门诊等四大远程会诊系统。四是社会保障体系加快完善。文昌阁敬老院建成使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城市和农村特困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供养标准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不断提高，对特殊困难群体应保尽保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。深化社会救助领域放管服改革，将低保、特困供养等审批权全面下放到镇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街道。五是文化体育事业蓬勃发展。公共图书馆、档案馆新馆按照国家一级标准建成并对外开放。第九届全民健身运动会圆满结束，成功举办2019年美丽中国·全国门球大赛（高青站）、第四届天鹅湖国际慢城全国马拉松赛等重大赛事。六是就业创业保障有力。全年城镇新增就业3200余人，城镇登记失业率维持在3%以下，成功举办高青县首届大学生创业创新大赛，县双创园被评为“2019年度山东省小型微型企业创业创新示范基地”。七是社会秩序稳定。安全生产监管和市场管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能力持续提升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，双拥共建活动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深入推进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，妇女儿童和老年人、残疾人工作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有序开展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，扫黑除恶专项斗争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向纵深发展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社会治安防控水平进一步提高。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今年以来，面对突如其来的新冠肺炎疫情，全县上下团结一心、众志成城，按照党中央和省、市工作部署，统筹推进新冠肺炎疫情防控和经济社会发展工作，积极做好防疫物资应急保障供应，严格落实各项防控措施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保障了人民群众生命健康安全，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建立“一企一专班”“ 一项目一专班”工作机制，加大地方政府专项债券、新增中央投资项目策划和争取力度，全力服务保障企业复工复产和重点项目复工开工。一季度，全县23个市重大项目中，10个续建项目全面复工，13个新建项目开工6个，复工开工率70%；企业复工复产率99.4%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地区生产总值同比增长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-4.9%，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固定资产投资同比增长23.9%，工业用电量同比增长12.38%，一般公共预算收入同比增长4.19%，学校开学复课等工作有序推进，经济社会秩序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良好稳定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一年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面对复杂严峻的宏观经济形势，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全县经济社会发展取得了新的成就，发展基础在夯实，发展潜力在增强，发展活力在释放，发展质量在提升。但也存在一些突出问题和短板弱项，主要是：经济运行中不稳定因素仍然较多，保持经济稳定快速增长任务繁重；新旧动能转换力度不够强劲，带动作用明显的大项目、好项目数量偏少；园区功能配套不齐全，产业集聚度不高，缺乏支柱型龙头企业；企业创新能力不强，人才、科技、资金等要素保障不够有力；农业大而不强，现代化水平不高，附加值较低；财政收支平衡压力大，民生保障短板较多。对此，我们将高度重视，积极采取措施加以解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二、2020年经济社会发展工作思路和主要预期目标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2020年是决胜全面建成小康社会和“十三五”规划收官之年，做好经济社会发展各项工作，意义十分重大。我们要坚持以习近平新时代中国特色社会主义思想为指导，全面贯彻落实党的十九大和十九届二中、三中、四中全会精神及各级经济工作会议部署，紧扣全面建成小康社会目标任务，紧抓黄河流域生态保护和高质量发展重大机遇，坚持稳中求进工作总基调，践行新发展理念，按照市委、市政府“六大赋能行动”和“十二大攻坚行动”要求，大力推进新旧动能转换，加快产业兴县、新型工业化强县建设，突出平台思维、生态思维和市场化、法治化、专业化理念，聚力产业培育、双招双引、乡村振兴、重大基础设施建设等重点工作，统筹做好农业做大做强、工业集群发展、文旅农旅融合发展“三篇文章”，坚决打赢三大攻坚战，大抓落实、狠抓落实，加快实现富民强县新跨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结合省市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目标要求，综合分析我县发展基础和潜力，提出2020年全县经济社会发展主要预期目标为：地区生产总值增长6.5%以上，一般公共预算收入增长3%以上，固定资产投资增长20%以上，社会消费品零售总额增长8%以上，城镇和农村居民人均可支配收入增长7%以上，各项约束性指标均控制在省市下达目标之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三、2020年经济社会发展的重点及措施建议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（一）强力推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进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新旧动能转换，大力优化产业结构。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按照“紧盯前沿、打造生态、沿链聚合、集群发展”产业组织理念，着力做好“优存量”“扩增量”两篇文章。一是着力培育壮大新兴产业。贯彻市委推动产业“提高度、拉长度、增厚度”要求，推动主导产业集聚集群发展。抓住黄三角药谷列入市级产业规划的契机，加快培育壮大健康医药产业集群，推动立新制药、科汇药业、侨森医疗等项目尽快投产达效，华科药业高端特色原料药及制剂项目尽快开工建设，华谊集团京华高端外用药及特色新材料项目尽快落地实施。发挥省级化工产业园区优势，加快发展含氟新材料、光电材料等新材料产业，加快形成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高端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绿色化工、新材料产业集群，推动含氟电子特种气体、华元硼酸、兴鲁新材料、齐阳光电等项目建成投产，中泰天盟环保制冷剂、赫达纤维素醚等签约项目尽快开工建设。尽快完成电子信息产业园高水平设计，支持宝乘电子、晨旭半导体等企业扩大延链招商，实施诚冠5G低介质电子基布项目，推动电子信息产业集聚发展。依托渤海活塞、透平新能源、美生热能等设备制造企业，加快规模扩张、技术升级和产业链延伸，发展壮大先进装备制造产业。二是加快传统产业升级改造。以“两化融合”为方向，以智能化为重点，推进国井集团智慧改造、隆华新材料36万吨高端聚醚扩建、飞源化工12万吨无水氟化氢及废盐酸综合利用、渤海活塞高端装备智能化改造、宏业服装智能工厂建设等40个重点技术改造项目建设，推动白酒、化工、纺织服装等传统行业提档升级。继续实施“腾笼换鸟”战略，加快清理淘汰落后产能和“僵尸”企业，为新兴产业项目腾出发展空间。三是强化科技创新平台支撑。突出企业创新主体作用，加强与高校及高等科研院所的合作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积极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创建工程实验室、技术研发中心、产业研究院等科研平台，推动科技成果转换，提升企业核心竞争力。力争新增高新技术企业3家，新增省市级工程实验室4家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企业技术中心3家。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（二）狠抓重点项目建设和“双招双引”工作，努力扩大有效投资。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加强重点项目建设。继续实行重大工程项目指挥部推进机制和县级领导挂包机制，加强“五个一”协调调度，践行“一线工作法”，坚持要素资源向重大项目集中。全力推进总投资418亿元的108个县重点项目建设，突出抓好齐力环保、华科药业、诚冠电子基布、飞源不饱和聚酯树脂等23个市重大项目建设。围绕地方政府专项债券、新增中央投资、中央预算内投资、新基建、补短板强弱项等政策导向，加强项目策划储备争取，努力形成项目建设接续有力的良好格局，有力支撑投资平稳增长。二是加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双招双引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力度。围绕我县主导产业，实施“六个一”平台招引新机制，大力实施平台招商、以商招商、产业链招商，精准招引大项目、好项目、特色项目，助推产业园区提档升级和特色产业集群发展。深入落实“淄博人才金政37条”，积极引进高端智力和各类专业实用人才。积极做好人才公寓、专家公寓建设，为引进人才提供硬件支持。三是强化要素保障。加强土地内部挖潜，有序推进合村并居和新型城镇化建设，坚定不移地推进“腾笼换鸟”，盘活闲置低效用地，探索开展“亩产效益”评价和企业评级评价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用好能耗指标省市级统筹政策，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集中要素资源向园区和优质产业项目投放，为重大产业项目落地实施创造条件。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（三）深入实施乡村振兴战略，努力提升农业农村发展水平。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优化现代农业布局。结合城乡融合发展和新型城镇化建设，加快推进土地流转和适度规模经营，支持发展各类新型农业经济。依托得益乳业在县域西部建设得益田园牧业小镇，加快推进观光牧业、饲草种植、乳制品加工等项目建设，全力争创国家级现代农业产业园区。依托新天地黑牛在县域东部建设黑牛特色小镇，打造省级高档肉牛特色优势产业区。依托正茂农业产业园在县域中部建设农业科研、农产品加工、仓储交易和冷链物流中心，打造地标农产品线上线下区域交易中心。依托中化MAP，加快实施50万亩品质原粮基地县建设项目，提高粮食生产组织化程度，打造淄博北部粮仓。二是打造文旅农旅融合新业态。完善全域旅游规划布局，依托得益田园农牧小镇、新天地黑牛小镇等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和地标农产品采摘园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，重点建设20处农旅精品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体验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园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，打造高青特色农业观光体验品牌。放大黄河、温泉、湿地等生态资源优势，做活“水”文章，深入挖掘早齐文化、田横文化等历史文化资源，加快天鹅湖温泉慢城旅游度假区建设，打造黄河百里生态绿色长廊，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叫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响“温泉慢城、黄河高青”的文旅品牌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三是建设美丽乡村示范区。加大城乡环境整治力度，做好旱厕改造、户户通、清洁取暖、美丽乡村连片创建等工作，完成109个行政村的农村生活污水治理。完善城镇规划体系，每个镇（街道）打造1处涵盖10个村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左右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的乡村振兴示范区，实施古村落保护开发试点，发挥美丽乡村建设示范效应。深入推进农村人居环境整治三年行动计划，建立长效机制，切实保持整治成果。加快农村土地产权制度改革。四是全面完成黄河滩区迁建任务。年内17个村1443户5275人全部搬迁入住新社区，年底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基本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完成旧村复垦工作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（四）加快重大基础设施建设，增创区域发展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新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优势。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一是积极主动融入区域发展。紧抓黄河流域生态保护和高质量发展上升为国家战略的重大机遇，提高站位，放宽视野，积极参与黄河流域高质量发展体系，谋求与周边城市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融合互动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构建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区域发展新格局。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精心编制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“十四五”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发展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规划，策划实施一批重大基础设施项目、产业项目，推进我县加快融入黄河流域、省会城市群、济淄一体化等区域发展布局。二是加快推进重大交通基础设施互联互通。全力做好滨淄莱高铁过境设站的争取工作；积极争取跨黄河大桥、跨小清河大桥及相关交通干线列入上级规划盘子；加快济南至高青高速、上海路北延（赵班路改建）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小清河复航及港口工程建设，加快高青至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商河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高速公路、S309田高线改线、S316寿高线西延等工程的前期手续办理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实施G233克黄线中修工程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三是完善城区基础设施配套。优化老城区路网体系，完成田镇大街东延、东邹路南延、扳倒井路西延等工程；加快推进老城区雨污分流工程建设；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启动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实施田镇四街改造。加快南部城区路网建设，完成济水路西延等工程。布局建设一批群众性文体、健身活动场所。四是改造提升水利基础设施。着眼全域水系贯通和实现农田“旱能浇、涝能排”目标，实施全县农田水利基础设施整体改造提升工程。投资2.2亿元，治理骨干河道146公里，改造沉沙条渠、干支渠69公里，建设小型蓄水工程4座。实施小清河防洪综合治理及北支新河、杜姚沟河道治理等工程，提升河道防洪排涝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（五）树立平台思维生态思维，进一步优化发展环境。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加快园区承载力建设。围绕“一区四园”发展布局，深入推进园区体制机制改革，推动人才、资金、能耗、土地等资源要素向园区集中，建设一批标准化厂房、人才公寓，创新研发平台，提升公共服务供给水平。经济开发区大力实施机制创新，快速提升公共服务能力，高标准规划建设黄三角药谷、先进装备制造产业园，打造绿色生态高效园区。化工产业园尽快实施扩园提升，加快能源中心建设和污水处理厂改造，完善路网、管网、水网工程，提升基础设施配套水平。电子信息产业园加快规划设计和标准化厂房建设，重点推进诚冠电子5G低介质电子基布、宝乘电子IGBT大功率规模芯片封测等项目建设。二是加强金融生态建设。用好政府专项债券、财金融合、国际金融贷款等政策工具，增加有效投入。继续深化政银企合作，扩大信贷规模。支持企业建立现代企业制度，积极推进隆华新材料IPO上市进程。加快推动与上海盈科资本合作的股权投资基金、与嘉实资本合作的产业引导股权投资基金、与青岛泰珩合作发起的应急转贷基金等基金组建，做强投融资平台，努力破解企业融资难题。三是持续优化营商环境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大力推进优化营商环境“一号改革工程”，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深入落实关心关爱企业家十条措施，努力营造“亲”“清”政商关系。加快实施制度创新和流程再造，推行容缺受理、帮办代办服务，持续推进“一次办好”改革和工业投资项目“1+N”审批制度改革，深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度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推广“拿地即开工”审批模式，着力构建更加便捷高效的项目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建设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审批服务体系，全面提升审批效率和服务效能，打造营商环境新高地。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（六）繁荣发展社会事业，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持续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改善和保障民生。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是聚力打赢脱贫攻坚战。加强贫困户动态管理，建立返贫预警监测机制，及时采取干预和帮扶措施，强化产业、就业、医疗、住房、教育、社会保障等政策保障，进一步巩固提升脱贫攻坚成果。二是加大环境保护力度。坚持刑责治污、全员环保“两手抓”，以钉钉子精神推进生态环境质量持续改善，抓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VOCs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深度治理、氮氧化物治理提升、涉颗粒物企业综合整治、黄河流域高青段水质提升等工程，持续推进危险废物、废弃坑塘排查整治，加快化工产业园危险废物集中处置项目建设，力争全年空气良好率达到80%，各项环境指标持续改善。三是提升教育发展水平。完成全国义务教育优质均衡发展县创建任务，加快城镇居住区配套幼儿园建设和校园配套设施升级改造，建成智慧教育管理公共服务平台。四是优化医疗卫生服务。进一步完善公共卫生服务体系和重大疫情防控体制机制，做好突发公共卫生事件预防处置，坚决打赢疫情防控阻击战。加快县医院南部新区项目建设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实施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县精神卫生中心搬迁改造工程。全面深化县域医共体建设，巩固加强与山大二院、市中心医院的合作。实施镇、村两级医疗机构标准化提升工程，力争基层就诊率达到65%，县内就诊率达到90%。五是增强完善社会保障能力。贯彻落实《山东省养老服务条例》，构建以居家为基础、社区为依托、机构为补充、医养结合的养老服务体系。严格落实各项社会福利政策，提高残疾人、老年人的生活护理水平。统筹完善社会救助体系，推动城乡低保应保尽保，开展特殊困难家庭人员救助工作，兜牢生活保障底线。六是积极推进就业创业。继续实施一系列稳就业政策，拓宽适龄人口就业渠道。以创业大赛等活动为平台，充分发挥创业扶持资金、创业担保贷款的作用，激发全社会创业活力。全年城镇新增就业2100人以上，登记失业率控制在4%以内。七是加强社会综合治理。加快社会信用体系建设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加强文明创建，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强化法治建设。严格落实安全生产、环境保护、社会稳定、风险防控等各项制度，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增强应急管理能力，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确保社会和谐稳定。推进军民融合发展，做好妇女儿童、退役军人服务保障等工作，加快发展文化、科技、体育、传媒等各项事业。扎实开展第七次人口普查工作。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140" w:firstLineChars="50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379730</wp:posOffset>
                </wp:positionV>
                <wp:extent cx="561594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005840" y="9512300"/>
                          <a:ext cx="5615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29.9pt;height:0pt;width:442.2pt;z-index:251658240;mso-width-relative:page;mso-height-relative:page;" filled="f" stroked="t" coordsize="21600,21600" o:gfxdata="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lrxfV2AAAAAgBAAAPAAAAAAAAAAEAIAAA&#10;ACIAAABkcnMvZG93bnJldi54bWxQSwECFAAUAAAACACHTuJAp1lRRtMBAABwAwAADgAAAAAAAAAB&#10;ACAAAAAnAQAAZHJzL2Uyb0RvYy54bWxQSwUGAAAAAAYABgBZAQAAbAUAAAAA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-35560</wp:posOffset>
                </wp:positionH>
                <wp:positionV relativeFrom="paragraph">
                  <wp:posOffset>41910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8pt;margin-top:3.3pt;height:0pt;width:442.2pt;z-index:251659264;mso-width-relative:page;mso-height-relative:page;" filled="f" stroked="t" coordsize="21600,21600" o:gfxdata="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L8oZyvWAAAABgEAAA8AAAAAAAAAAQAgAAAAIgAAAGRycy9kb3du&#10;cmV2LnhtbFBLAQIUABQAAAAIAIdO4kD3RZpNyAEAAGQDAAAOAAAAAAAAAAEAIAAAACUBAABkcnMv&#10;ZTJvRG9jLnhtbFBLBQYAAAAABgAGAFkBAABfBQAAAAA=&#10;">
                <v:fill on="f" focussize="0,0"/>
                <v:stroke weight="1pt" color="#000000 [3213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高青县人民政府办公室      </w:t>
      </w:r>
      <w:r>
        <w:rPr>
          <w:rFonts w:hint="eastAsia" w:ascii="Times New Roman" w:hAnsi="Times New Roman" w:cs="Times New Roman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lang w:val="en-US" w:eastAsia="zh-CN"/>
        </w:rPr>
        <w:t xml:space="preserve">   2020年5月  日印发</w:t>
      </w:r>
    </w:p>
    <w:sectPr>
      <w:footerReference r:id="rId3" w:type="default"/>
      <w:pgSz w:w="11906" w:h="16838"/>
      <w:pgMar w:top="2098" w:right="1587" w:bottom="1871" w:left="1587" w:header="851" w:footer="1247" w:gutter="0"/>
      <w:pgNumType w:fmt="decimal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Theme="minorEastAsia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15C60"/>
    <w:rsid w:val="14FA6BBA"/>
    <w:rsid w:val="1DF817F3"/>
    <w:rsid w:val="225145FE"/>
    <w:rsid w:val="25B96972"/>
    <w:rsid w:val="2E85562A"/>
    <w:rsid w:val="2FBD4AB3"/>
    <w:rsid w:val="3100186F"/>
    <w:rsid w:val="3862399A"/>
    <w:rsid w:val="3CA6679B"/>
    <w:rsid w:val="44C92BBC"/>
    <w:rsid w:val="6331202B"/>
    <w:rsid w:val="66E22093"/>
    <w:rsid w:val="6D197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 w:afterLines="0" w:line="240" w:lineRule="auto"/>
      <w:ind w:left="420" w:leftChars="200" w:firstLine="420" w:firstLineChars="200"/>
    </w:pPr>
    <w:rPr>
      <w:rFonts w:eastAsia="仿宋_GB2312"/>
      <w:snapToGrid w:val="0"/>
      <w:color w:val="000000"/>
      <w:kern w:val="0"/>
      <w:sz w:val="28"/>
      <w:szCs w:val="20"/>
    </w:rPr>
  </w:style>
  <w:style w:type="paragraph" w:styleId="3">
    <w:name w:val="Body Text Indent"/>
    <w:basedOn w:val="1"/>
    <w:next w:val="1"/>
    <w:qFormat/>
    <w:uiPriority w:val="0"/>
    <w:pPr>
      <w:spacing w:line="240" w:lineRule="atLeast"/>
      <w:ind w:firstLine="640" w:firstLineChars="200"/>
    </w:pPr>
    <w:rPr>
      <w:rFonts w:eastAsia="仿宋_GB2312"/>
      <w:sz w:val="32"/>
      <w:szCs w:val="24"/>
      <w:lang w:val="en-US" w:eastAsia="zh-CN" w:bidi="ar-SA"/>
    </w:rPr>
  </w:style>
  <w:style w:type="paragraph" w:styleId="4">
    <w:name w:val="Body Text"/>
    <w:basedOn w:val="1"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9065</Words>
  <Characters>9327</Characters>
  <Lines>0</Lines>
  <Paragraphs>0</Paragraphs>
  <TotalTime>2</TotalTime>
  <ScaleCrop>false</ScaleCrop>
  <LinksUpToDate>false</LinksUpToDate>
  <CharactersWithSpaces>9356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走过……</cp:lastModifiedBy>
  <cp:lastPrinted>2018-04-10T03:24:00Z</cp:lastPrinted>
  <dcterms:modified xsi:type="dcterms:W3CDTF">2020-06-04T02:48:04Z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