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sz w:val="44"/>
          <w:szCs w:val="44"/>
        </w:rPr>
      </w:pP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高政办字〔2020〕32号</w:t>
      </w: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default" w:ascii="Times New Roman" w:hAnsi="Times New Roman" w:cs="Times New Roman" w:eastAsiaTheme="majorEastAsia"/>
          <w:b/>
          <w:sz w:val="44"/>
          <w:szCs w:val="44"/>
        </w:rPr>
      </w:pPr>
    </w:p>
    <w:p>
      <w:pPr>
        <w:spacing w:line="560" w:lineRule="exact"/>
        <w:jc w:val="center"/>
        <w:rPr>
          <w:rFonts w:hint="default" w:asciiTheme="majorEastAsia" w:hAnsiTheme="majorEastAsia" w:eastAsiaTheme="majorEastAsia" w:cstheme="majorEastAsia"/>
          <w:b/>
          <w:bCs/>
          <w:sz w:val="44"/>
          <w:szCs w:val="44"/>
        </w:rPr>
      </w:pPr>
      <w:bookmarkStart w:id="0" w:name="_GoBack"/>
      <w:r>
        <w:rPr>
          <w:rFonts w:hint="default" w:asciiTheme="majorEastAsia" w:hAnsiTheme="majorEastAsia" w:eastAsiaTheme="majorEastAsia" w:cstheme="majorEastAsia"/>
          <w:b/>
          <w:bCs/>
          <w:sz w:val="44"/>
          <w:szCs w:val="44"/>
        </w:rPr>
        <w:t>高青县人民政府办公室</w:t>
      </w:r>
    </w:p>
    <w:p>
      <w:pPr>
        <w:spacing w:line="560" w:lineRule="exact"/>
        <w:jc w:val="center"/>
        <w:rPr>
          <w:rFonts w:hint="default" w:asciiTheme="majorEastAsia" w:hAnsiTheme="majorEastAsia" w:eastAsiaTheme="majorEastAsia" w:cstheme="majorEastAsia"/>
          <w:b/>
          <w:bCs/>
          <w:sz w:val="44"/>
          <w:szCs w:val="44"/>
        </w:rPr>
      </w:pPr>
      <w:r>
        <w:rPr>
          <w:rFonts w:hint="default" w:asciiTheme="majorEastAsia" w:hAnsiTheme="majorEastAsia" w:eastAsiaTheme="majorEastAsia" w:cstheme="majorEastAsia"/>
          <w:b/>
          <w:bCs/>
          <w:sz w:val="44"/>
          <w:szCs w:val="44"/>
        </w:rPr>
        <w:t>关于印发高青县2020年政务公开工作要点的通      知</w:t>
      </w:r>
      <w:bookmarkEnd w:id="0"/>
    </w:p>
    <w:p>
      <w:pPr>
        <w:spacing w:line="560" w:lineRule="exact"/>
        <w:jc w:val="center"/>
        <w:rPr>
          <w:rFonts w:hint="default" w:ascii="Times New Roman" w:hAnsi="Times New Roman" w:cs="Times New Roman" w:eastAsiaTheme="majorEastAsia"/>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各镇人民政府，各街道办事处，经济开发区管委会，县政府有关部门，有关单位：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《高青县2020年政务公开工作要点》已经县政府同意，现印发给你们，请认真贯彻落实。</w:t>
      </w: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高青县人民政府办公室</w:t>
      </w:r>
    </w:p>
    <w:p>
      <w:pPr>
        <w:spacing w:line="56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2020年7月31日</w:t>
      </w:r>
    </w:p>
    <w:p>
      <w:pPr>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（此件公开发布）</w:t>
      </w:r>
    </w:p>
    <w:p>
      <w:pPr>
        <w:spacing w:line="56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高青县2020年政务公开工作要点</w:t>
      </w:r>
    </w:p>
    <w:p>
      <w:pPr>
        <w:tabs>
          <w:tab w:val="left" w:pos="2364"/>
        </w:tabs>
        <w:spacing w:line="560" w:lineRule="exact"/>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高青县政务公开工作的总体要求是：以习近平新时代中国特色社会主义思想为指导，全面完成国家、省、市政务公开年度工作要点部署的各项任务，突出做好政务公开标准化规范化工作，规范政府信息全链条管理，强化公开、解读、发布、互动全流程联动，打造政府网站、政务新媒体、政府公报等全渠道平台，全面提升政务公开质量和实效，促进法治政府、创新政府、廉洁政府和服务型政府建设。</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一、加强行政权力运行公开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（一）加强行政权力配置信息公开。</w:t>
      </w:r>
      <w:r>
        <w:rPr>
          <w:rFonts w:hint="default" w:ascii="Times New Roman" w:hAnsi="Times New Roman" w:eastAsia="仿宋_GB2312" w:cs="Times New Roman"/>
          <w:sz w:val="32"/>
          <w:szCs w:val="32"/>
        </w:rPr>
        <w:t>各镇办、各部门要全面梳理本单位依法行使的行政权力和依法承担的公共服务职责，更新完善权责清单，并按要求公开。要依法公开本单位机构设置、工作职能、领导分工等信息，在此基础上编写本单位机构职能目录并通过政府网站等渠道向社会公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（二）加强政府信息全过程管理。</w:t>
      </w:r>
      <w:r>
        <w:rPr>
          <w:rFonts w:hint="default" w:ascii="Times New Roman" w:hAnsi="Times New Roman" w:eastAsia="仿宋_GB2312" w:cs="Times New Roman"/>
          <w:sz w:val="32"/>
          <w:szCs w:val="32"/>
        </w:rPr>
        <w:t>拟定公文时要提出信息公开建议属性，依申请公开和不予公开的政府信息要说明法定事由。定期对不予公开的政府信息进行评估，对因情势变化可以公开的及时予以公开，对失效、废止的政府信息定期清理，及时公开清理结果。县司法局要定期清理和公开规范性文件，按要求公开规范性文件备案目录、制发主体清单、清理结果，并在已经发布的文件上明确标注文件的有效性或效力起止时间；要完善规范性文件制发程序，及时公开规范性文件的意见征集、结果反馈、文件解读材料。</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（三）推进决策公开。</w:t>
      </w:r>
      <w:r>
        <w:rPr>
          <w:rFonts w:hint="default" w:ascii="Times New Roman" w:hAnsi="Times New Roman" w:eastAsia="仿宋_GB2312" w:cs="Times New Roman"/>
          <w:sz w:val="32"/>
          <w:szCs w:val="32"/>
        </w:rPr>
        <w:t>对研究确定的重大行政决策事项，应当纳入年度重大行政决策目录，并向社会公开。纳入重大行政决策目录的事项，法定的承办单位要及时公开决策草案、意见征集、结果反馈、公众参与、专家咨询论证、社会稳定风险评估等情况；重大行政决策实施后，要对重大行政决策实施情况进行信息追踪和搜集，全面评价决策执行效果，承办单位应将决策执行情况的评价结果向社会公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（四）推进管理和服务公开。</w:t>
      </w:r>
      <w:r>
        <w:rPr>
          <w:rFonts w:hint="default" w:ascii="Times New Roman" w:hAnsi="Times New Roman" w:eastAsia="仿宋_GB2312" w:cs="Times New Roman"/>
          <w:sz w:val="32"/>
          <w:szCs w:val="32"/>
        </w:rPr>
        <w:t>深化“双随机、一公开”监管、“互联网+监管”和“信用监管”等监管信息公开，公开随机抽查事项清单、随机抽查结果，以及行政许可、行政处罚、行政强制的依据、条件、程序及办理结果。县级行政执法主体要做好行政执法事前、事后公开，全面公开行政机关执法职责、执法依据、执法对象、执法结论等信息。县财政局要做好国资监管和国企改革信息、减税降费等领域信息公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（五）推进执行和结果公开。</w:t>
      </w:r>
      <w:r>
        <w:rPr>
          <w:rFonts w:hint="default" w:ascii="Times New Roman" w:hAnsi="Times New Roman" w:eastAsia="仿宋_GB2312" w:cs="Times New Roman"/>
          <w:sz w:val="32"/>
          <w:szCs w:val="32"/>
        </w:rPr>
        <w:t>各镇办、各部门要定期公开政府工作报告、年度重点工作、民生实事项目的执行措施、实施步骤、责任分工、监督方式等，并根据工作推进情况及时公开工作进展、取得成效、后续举措等。要做好督查发现问题及整改落实情况公开。及时公开人大代表建议和政协委员提案办理结果。县审计局要公开审计发现问题及整改落实情况，并根据要求公开专项审计报告。</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二、围绕中心工作和重点领域加强信息公开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（一）围绕中心工作加强信息公开。</w:t>
      </w:r>
      <w:r>
        <w:rPr>
          <w:rFonts w:hint="default" w:ascii="Times New Roman" w:hAnsi="Times New Roman" w:eastAsia="仿宋_GB2312" w:cs="Times New Roman"/>
          <w:sz w:val="32"/>
          <w:szCs w:val="32"/>
        </w:rPr>
        <w:t>推进多渠道公开“六大赋能行动”“十二大攻坚行动”“一号改革工程”进展及落实情况。各镇办、各部门要主动公开2020年重点任务的工作进展、取得成效、后续举措和落实情况。继续推进财政预决算、公共资源配置、重大建设项目批准和实施、社会公益事业建设等领域的政府信息公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（二）围绕突发事件应对加强公共卫生信息公开。</w:t>
      </w:r>
      <w:r>
        <w:rPr>
          <w:rFonts w:hint="default" w:ascii="Times New Roman" w:hAnsi="Times New Roman" w:eastAsia="仿宋_GB2312" w:cs="Times New Roman"/>
          <w:sz w:val="32"/>
          <w:szCs w:val="32"/>
        </w:rPr>
        <w:t>县卫健局要坚持做好疫情防控常态化下疫情信息发布工作，让群众实时了解最新疫情动态和应对处置工作进展；要加强公共卫生知识日常普及工作，特别是对公众在新冠肺炎疫情防控过程中养成的好习惯好做法，通过科普作品等形式加强宣传推广，提高公众对传染病的防治意识和应对能力。县应急局要牵头做好突发公共事件应急预案的主动公开工作，公开应急演练、预警信息及应对情况。县教体局、人社局要牵头做好复工复学信息公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（三）围绕优化营商环境加强信息公开。</w:t>
      </w:r>
      <w:r>
        <w:rPr>
          <w:rFonts w:hint="default" w:ascii="Times New Roman" w:hAnsi="Times New Roman" w:eastAsia="仿宋_GB2312" w:cs="Times New Roman"/>
          <w:sz w:val="32"/>
          <w:szCs w:val="32"/>
        </w:rPr>
        <w:t xml:space="preserve">全面优化办事流程，通过互联网等技术手段让办事人动态掌握办事进展，最大限度实现网络化、透明化办事。做好政务服务“一网通办”、政务服务大厅“一窗受理”、民生服务“一链办理”、重点高频民生事项“掌上办”等方面的信息公开。县行政审批服务局要牵头在政府网站、媒体等同步发布涉企政策，公开惠企政策申请条件、申报材料清单、办理流程、承办部门、联系方式、起止时间等信息。 </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三、聚焦政策解读加强信息公开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（一）健全解读回应机制。</w:t>
      </w:r>
      <w:r>
        <w:rPr>
          <w:rFonts w:hint="default" w:ascii="Times New Roman" w:hAnsi="Times New Roman" w:eastAsia="仿宋_GB2312" w:cs="Times New Roman"/>
          <w:sz w:val="32"/>
          <w:szCs w:val="32"/>
        </w:rPr>
        <w:t>坚持政策解读材料与政策文件同步组织、同步审签、同步部署，制发规范性文件和县政府、县政府办公室名义印发的对外公开的文件，必须同步配发政策解读材料。要创新政策解读形式，对涉及群众切身利益、影响市场预期的重要政策，通过数字化、图标图解、音频、视频、动漫等形式予以展现。</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（二）围绕“六稳”“六保”加强政策解读。</w:t>
      </w:r>
      <w:r>
        <w:rPr>
          <w:rFonts w:hint="default" w:ascii="Times New Roman" w:hAnsi="Times New Roman" w:eastAsia="仿宋_GB2312" w:cs="Times New Roman"/>
          <w:sz w:val="32"/>
          <w:szCs w:val="32"/>
        </w:rPr>
        <w:t>全面阐释稳就业、稳金融、稳外贸、稳外资、稳投资、稳预期各项政策举措及其效果，实时发布保居民就业、保基本民生、保市场主体、保粮食能源安全、保产业链供应链稳定、保基层运转等相关政策信息。着重解读政策的背景、决策依据、出台目的、重要举措等，针对市场和社会关切事项，更详细、更及时地做好政策执行情况及宏观数据解读，正向引导社会预期。落实政务舆情回应责任，增强回应的主动性、针对性、有效性，保持正确的舆论导向。对经济社会发展热点、群众办事堵点痛点，敢于直面问题，及时发出权威声音，主动回应社会关切。</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四、做好政务公开标准化规范化工作</w:t>
      </w:r>
    </w:p>
    <w:p>
      <w:pPr>
        <w:pStyle w:val="6"/>
        <w:widowControl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kern w:val="2"/>
          <w:sz w:val="32"/>
          <w:szCs w:val="32"/>
        </w:rPr>
        <w:t>（一）编制完成政务公开事项标准目录。</w:t>
      </w:r>
      <w:r>
        <w:rPr>
          <w:rFonts w:hint="default" w:ascii="Times New Roman" w:hAnsi="Times New Roman" w:eastAsia="仿宋_GB2312" w:cs="Times New Roman"/>
          <w:sz w:val="32"/>
          <w:szCs w:val="32"/>
        </w:rPr>
        <w:t>各镇办、各部门对照国务院部门制定的26个试点领域标准指引，2020年10月底前编制完成本单位政务公开标准目录，并通过政府网站向社会公开。标准目录</w:t>
      </w:r>
      <w:r>
        <w:rPr>
          <w:rFonts w:hint="default" w:ascii="Times New Roman" w:hAnsi="Times New Roman" w:eastAsia="仿宋_GB2312" w:cs="Times New Roman"/>
          <w:color w:val="000000"/>
          <w:sz w:val="32"/>
          <w:szCs w:val="32"/>
        </w:rPr>
        <w:t>要包括公开事项的名称、公开内容、公开依据、公开时限、公开主体、公开渠道和载体、公开对象、公开方式等要素。</w:t>
      </w:r>
    </w:p>
    <w:p>
      <w:pPr>
        <w:pStyle w:val="6"/>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楷体_GB2312" w:cs="Times New Roman"/>
          <w:kern w:val="2"/>
          <w:sz w:val="32"/>
          <w:szCs w:val="32"/>
        </w:rPr>
        <w:t>（二）规范依申请公开工作。</w:t>
      </w:r>
      <w:r>
        <w:rPr>
          <w:rFonts w:hint="default" w:ascii="Times New Roman" w:hAnsi="Times New Roman" w:eastAsia="仿宋_GB2312" w:cs="Times New Roman"/>
          <w:sz w:val="32"/>
          <w:szCs w:val="32"/>
        </w:rPr>
        <w:t>做好依申请公开接收、登记、办理、调查、答复等各个环节工作，规范答复文书格式，提升办件质量。实行疑难件办理会商协查机制，加强与相关部门的会商，提高协查的准确性、全面性，严防出现违反政府信息公开法律法规规定的情况。准确适用依申请公开各项规定，从严把握不予公开范围，对法定不予公开条款坚持最小化适用原则，切实做到以公开为常态、不公开为例外。</w:t>
      </w:r>
    </w:p>
    <w:p>
      <w:pPr>
        <w:pStyle w:val="6"/>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楷体_GB2312" w:cs="Times New Roman"/>
          <w:kern w:val="2"/>
          <w:sz w:val="32"/>
          <w:szCs w:val="32"/>
        </w:rPr>
        <w:t>（三）健全公共企事业单位信息公开机制。</w:t>
      </w:r>
      <w:r>
        <w:rPr>
          <w:rFonts w:hint="default" w:ascii="Times New Roman" w:hAnsi="Times New Roman" w:eastAsia="仿宋_GB2312" w:cs="Times New Roman"/>
          <w:sz w:val="32"/>
          <w:szCs w:val="32"/>
        </w:rPr>
        <w:t>教育、卫生健康、供水、供电、供气、供热、环境保护、公共交通等领域行业监管部门，要负责做好企事业单位信息公开，督促企业单位依托政府网站，全面公开基本概况、政策法规、办事信息以及本行业领域重点信息，助力监管效能提升。要把推进企事业单位信息公开作为考核行业监管部门政府信息公开工作的重要内容，纳入年度考核指标体系，切实提升工作实效。</w:t>
      </w:r>
    </w:p>
    <w:p>
      <w:pPr>
        <w:pStyle w:val="6"/>
        <w:widowControl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（四）加强政府网站与政务新媒体建设。</w:t>
      </w:r>
      <w:r>
        <w:rPr>
          <w:rFonts w:hint="default" w:ascii="Times New Roman" w:hAnsi="Times New Roman" w:eastAsia="仿宋_GB2312" w:cs="Times New Roman"/>
          <w:sz w:val="32"/>
          <w:szCs w:val="32"/>
        </w:rPr>
        <w:t>各镇办、各部门要对照编制的政务公开事项目录，更新完善政府网站上的主动公开基本目录，及时公开本领域政府信息。</w:t>
      </w:r>
      <w:r>
        <w:rPr>
          <w:rFonts w:hint="default" w:ascii="Times New Roman" w:hAnsi="Times New Roman" w:eastAsia="仿宋_GB2312" w:cs="Times New Roman"/>
          <w:color w:val="000000"/>
          <w:sz w:val="32"/>
          <w:szCs w:val="32"/>
        </w:rPr>
        <w:t>要加强政务新媒体监管，</w:t>
      </w:r>
      <w:r>
        <w:rPr>
          <w:rFonts w:hint="default" w:ascii="Times New Roman" w:hAnsi="Times New Roman" w:eastAsia="仿宋_GB2312" w:cs="Times New Roman"/>
          <w:sz w:val="32"/>
          <w:szCs w:val="32"/>
        </w:rPr>
        <w:t>各镇办、各部门</w:t>
      </w:r>
      <w:r>
        <w:rPr>
          <w:rFonts w:hint="default" w:ascii="Times New Roman" w:hAnsi="Times New Roman" w:eastAsia="仿宋_GB2312" w:cs="Times New Roman"/>
          <w:color w:val="000000"/>
          <w:sz w:val="32"/>
          <w:szCs w:val="32"/>
        </w:rPr>
        <w:t>及下属单位开设的政务新媒体，都要在山东省政务新媒体备案管理系统中备案，已经备案的政务新媒体要严格按照《国务院办公厅秘书局关于印发政府网站与政务新媒体检查指标、监管工作年度考核指标的通知》要求运行维护。</w:t>
      </w:r>
    </w:p>
    <w:p>
      <w:pPr>
        <w:pStyle w:val="6"/>
        <w:widowControl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sz w:val="32"/>
          <w:szCs w:val="32"/>
        </w:rPr>
        <w:t>（五）推进政务公开创新有序开展。</w:t>
      </w:r>
      <w:r>
        <w:rPr>
          <w:rFonts w:hint="default" w:ascii="Times New Roman" w:hAnsi="Times New Roman" w:eastAsia="仿宋_GB2312" w:cs="Times New Roman"/>
          <w:sz w:val="32"/>
          <w:szCs w:val="32"/>
        </w:rPr>
        <w:t>各镇办、各部门要持续开展政府开放日活动，并通过政府网站、政务新媒体等渠道及时公开活动进展情况。</w:t>
      </w:r>
      <w:r>
        <w:rPr>
          <w:rFonts w:hint="default" w:ascii="Times New Roman" w:hAnsi="Times New Roman" w:eastAsia="仿宋_GB2312" w:cs="Times New Roman"/>
          <w:color w:val="000000"/>
          <w:sz w:val="32"/>
          <w:szCs w:val="32"/>
        </w:rPr>
        <w:t>政务服务大厅、档案馆、图书馆、不动产登记中心和各单位的便民服务中心，要设立政务公开体验区，并有明显的标志指示牌，提供政府信息查询、信息公开申请、办事咨询答复等相关服务。要做好政务公开工作约稿，加大对高青政务网“政务公开在行动”专栏投稿力度，宣传工作亮点，加强经验交流。</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五、强化保障措施</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（一）加强组织领导。</w:t>
      </w:r>
      <w:r>
        <w:rPr>
          <w:rFonts w:hint="default" w:ascii="Times New Roman" w:hAnsi="Times New Roman" w:eastAsia="仿宋_GB2312" w:cs="Times New Roman"/>
          <w:sz w:val="32"/>
          <w:szCs w:val="32"/>
        </w:rPr>
        <w:t>各镇办、各部门要进一步理顺完善领导体制、工作机制，明确政务公开分管负责人，政务公开工作机构，原则上应在本机关内设机构中指定，同时配齐配强专职工作人员。</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（二）完善制度规范。</w:t>
      </w:r>
      <w:r>
        <w:rPr>
          <w:rFonts w:hint="default" w:ascii="Times New Roman" w:hAnsi="Times New Roman" w:eastAsia="仿宋_GB2312" w:cs="Times New Roman"/>
          <w:sz w:val="32"/>
          <w:szCs w:val="32"/>
        </w:rPr>
        <w:t>各镇办、各部门要继续完善主动公开和依申请公开制度，规范行政决策、执行、管理、服务和结果信息公开，及时更新政府信息公开指南，完善主动公开基本目录，并动态调整更新。探索建立政务公开负面清单，完善公共企事业单位信息公开制度。</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（三）强化监督考核。</w:t>
      </w:r>
      <w:r>
        <w:rPr>
          <w:rFonts w:hint="default" w:ascii="Times New Roman" w:hAnsi="Times New Roman" w:eastAsia="仿宋_GB2312" w:cs="Times New Roman"/>
          <w:sz w:val="32"/>
          <w:szCs w:val="32"/>
        </w:rPr>
        <w:t>政务公开已列入全县经济社会发展综合考核，各镇办、各部门要对照考核指标，把政府网站作为“政务公开第一平台”，逐项做好相关政府信息公开工作。要对照省、市考核评估反馈的问题清单，及时整改并进行“回头看”，确保各类问题整改到位。</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附件：高青县2020年政务公开工作任务分解表</w:t>
      </w:r>
    </w:p>
    <w:p>
      <w:pPr>
        <w:spacing w:line="560" w:lineRule="exact"/>
        <w:ind w:firstLine="640" w:firstLineChars="200"/>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sectPr>
          <w:footerReference r:id="rId3" w:type="default"/>
          <w:pgSz w:w="11906" w:h="16838"/>
          <w:pgMar w:top="2098" w:right="1587" w:bottom="1984" w:left="1588" w:header="851" w:footer="1304" w:gutter="0"/>
          <w:pgNumType w:fmt="decimal"/>
          <w:cols w:space="0" w:num="1"/>
          <w:rtlGutter w:val="0"/>
          <w:docGrid w:linePitch="312" w:charSpace="0"/>
        </w:sectPr>
      </w:pPr>
    </w:p>
    <w:p>
      <w:pPr>
        <w:spacing w:after="156" w:afterLines="50"/>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高青县2020年政务公开工作任务分解表</w:t>
      </w:r>
    </w:p>
    <w:tbl>
      <w:tblPr>
        <w:tblStyle w:val="9"/>
        <w:tblW w:w="1488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2222"/>
        <w:gridCol w:w="2410"/>
        <w:gridCol w:w="637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blHeader/>
        </w:trPr>
        <w:tc>
          <w:tcPr>
            <w:tcW w:w="6238" w:type="dxa"/>
            <w:gridSpan w:val="3"/>
          </w:tcPr>
          <w:p>
            <w:pPr>
              <w:spacing w:line="5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工作任务</w:t>
            </w:r>
          </w:p>
        </w:tc>
        <w:tc>
          <w:tcPr>
            <w:tcW w:w="6379" w:type="dxa"/>
          </w:tcPr>
          <w:p>
            <w:pPr>
              <w:spacing w:line="5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具体要求</w:t>
            </w:r>
          </w:p>
        </w:tc>
        <w:tc>
          <w:tcPr>
            <w:tcW w:w="2268" w:type="dxa"/>
          </w:tcPr>
          <w:p>
            <w:pPr>
              <w:spacing w:line="5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8" w:type="dxa"/>
            <w:gridSpan w:val="3"/>
            <w:vMerge w:val="restart"/>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行政权力配置信息公开</w:t>
            </w:r>
          </w:p>
        </w:tc>
        <w:tc>
          <w:tcPr>
            <w:tcW w:w="6379"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公开本部门权责清单，并根据机构和职能情况动态调整</w:t>
            </w:r>
          </w:p>
        </w:tc>
        <w:tc>
          <w:tcPr>
            <w:tcW w:w="2268" w:type="dxa"/>
            <w:vMerge w:val="restart"/>
            <w:vAlign w:val="center"/>
          </w:tcPr>
          <w:p>
            <w:pPr>
              <w:spacing w:line="42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各镇、街道、经济开发区，县直各部门、单位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8" w:type="dxa"/>
            <w:gridSpan w:val="3"/>
            <w:vMerge w:val="continue"/>
            <w:vAlign w:val="center"/>
          </w:tcPr>
          <w:p>
            <w:pPr>
              <w:spacing w:line="440" w:lineRule="exact"/>
              <w:rPr>
                <w:rFonts w:hint="default" w:ascii="Times New Roman" w:hAnsi="Times New Roman" w:eastAsia="仿宋_GB2312" w:cs="Times New Roman"/>
                <w:sz w:val="24"/>
                <w:szCs w:val="24"/>
              </w:rPr>
            </w:pPr>
          </w:p>
        </w:tc>
        <w:tc>
          <w:tcPr>
            <w:tcW w:w="6379" w:type="dxa"/>
            <w:vAlign w:val="center"/>
          </w:tcPr>
          <w:p>
            <w:pPr>
              <w:spacing w:line="42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在政府网站政务公开版块中公开本部门单位职责、领导分工（包含简历、照片、重要讲话等）、内设机构、所属单位基本信息</w:t>
            </w:r>
          </w:p>
        </w:tc>
        <w:tc>
          <w:tcPr>
            <w:tcW w:w="2268" w:type="dxa"/>
            <w:vMerge w:val="continue"/>
            <w:vAlign w:val="center"/>
          </w:tcPr>
          <w:p>
            <w:pPr>
              <w:spacing w:line="42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8" w:type="dxa"/>
            <w:gridSpan w:val="3"/>
            <w:vMerge w:val="continue"/>
            <w:vAlign w:val="center"/>
          </w:tcPr>
          <w:p>
            <w:pPr>
              <w:spacing w:line="440" w:lineRule="exact"/>
              <w:rPr>
                <w:rFonts w:hint="default" w:ascii="Times New Roman" w:hAnsi="Times New Roman" w:eastAsia="仿宋_GB2312" w:cs="Times New Roman"/>
                <w:sz w:val="24"/>
                <w:szCs w:val="24"/>
              </w:rPr>
            </w:pPr>
          </w:p>
        </w:tc>
        <w:tc>
          <w:tcPr>
            <w:tcW w:w="6379" w:type="dxa"/>
            <w:vAlign w:val="center"/>
          </w:tcPr>
          <w:p>
            <w:pPr>
              <w:spacing w:line="42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编写本机关机构职能目录，包含机构名称、机构职能、内设科室、下属单位、领导分工、联系方式等信息</w:t>
            </w:r>
          </w:p>
        </w:tc>
        <w:tc>
          <w:tcPr>
            <w:tcW w:w="2268" w:type="dxa"/>
            <w:vMerge w:val="continue"/>
            <w:vAlign w:val="center"/>
          </w:tcPr>
          <w:p>
            <w:pPr>
              <w:spacing w:line="42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restart"/>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政府信息全过程管理</w:t>
            </w:r>
          </w:p>
        </w:tc>
        <w:tc>
          <w:tcPr>
            <w:tcW w:w="4632" w:type="dxa"/>
            <w:gridSpan w:val="2"/>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拟定公文</w:t>
            </w:r>
          </w:p>
        </w:tc>
        <w:tc>
          <w:tcPr>
            <w:tcW w:w="6379"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拟定公文时要提出信息公开建议属性，依申请公开和不予公开的政府信息要说明法定事由。</w:t>
            </w:r>
          </w:p>
        </w:tc>
        <w:tc>
          <w:tcPr>
            <w:tcW w:w="2268" w:type="dxa"/>
            <w:vAlign w:val="center"/>
          </w:tcPr>
          <w:p>
            <w:pPr>
              <w:spacing w:line="42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各镇、街道、经济开发区，县直各部门、单位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440" w:lineRule="exact"/>
              <w:rPr>
                <w:rFonts w:hint="default" w:ascii="Times New Roman" w:hAnsi="Times New Roman" w:eastAsia="仿宋_GB2312" w:cs="Times New Roman"/>
                <w:sz w:val="24"/>
                <w:szCs w:val="24"/>
              </w:rPr>
            </w:pPr>
          </w:p>
        </w:tc>
        <w:tc>
          <w:tcPr>
            <w:tcW w:w="4632" w:type="dxa"/>
            <w:gridSpan w:val="2"/>
            <w:vMerge w:val="restart"/>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规范性文件</w:t>
            </w:r>
          </w:p>
        </w:tc>
        <w:tc>
          <w:tcPr>
            <w:tcW w:w="6379"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公开规范性文件备案目录、制发主体清单、清理结果</w:t>
            </w:r>
          </w:p>
        </w:tc>
        <w:tc>
          <w:tcPr>
            <w:tcW w:w="2268"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440" w:lineRule="exact"/>
              <w:rPr>
                <w:rFonts w:hint="default" w:ascii="Times New Roman" w:hAnsi="Times New Roman" w:eastAsia="仿宋_GB2312" w:cs="Times New Roman"/>
                <w:sz w:val="24"/>
                <w:szCs w:val="24"/>
              </w:rPr>
            </w:pPr>
          </w:p>
        </w:tc>
        <w:tc>
          <w:tcPr>
            <w:tcW w:w="4632" w:type="dxa"/>
            <w:gridSpan w:val="2"/>
            <w:vMerge w:val="continue"/>
            <w:vAlign w:val="center"/>
          </w:tcPr>
          <w:p>
            <w:pPr>
              <w:spacing w:line="440" w:lineRule="exact"/>
              <w:jc w:val="center"/>
              <w:rPr>
                <w:rFonts w:hint="default" w:ascii="Times New Roman" w:hAnsi="Times New Roman" w:eastAsia="仿宋_GB2312" w:cs="Times New Roman"/>
                <w:sz w:val="24"/>
                <w:szCs w:val="24"/>
              </w:rPr>
            </w:pPr>
          </w:p>
        </w:tc>
        <w:tc>
          <w:tcPr>
            <w:tcW w:w="6379"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在已经发布的文件上明确标注文件的有效性或效力起止时间</w:t>
            </w:r>
          </w:p>
        </w:tc>
        <w:tc>
          <w:tcPr>
            <w:tcW w:w="2268"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440" w:lineRule="exact"/>
              <w:rPr>
                <w:rFonts w:hint="default" w:ascii="Times New Roman" w:hAnsi="Times New Roman" w:eastAsia="仿宋_GB2312" w:cs="Times New Roman"/>
                <w:sz w:val="24"/>
                <w:szCs w:val="24"/>
              </w:rPr>
            </w:pPr>
          </w:p>
        </w:tc>
        <w:tc>
          <w:tcPr>
            <w:tcW w:w="4632" w:type="dxa"/>
            <w:gridSpan w:val="2"/>
            <w:vMerge w:val="continue"/>
            <w:vAlign w:val="center"/>
          </w:tcPr>
          <w:p>
            <w:pPr>
              <w:spacing w:line="440" w:lineRule="exact"/>
              <w:jc w:val="center"/>
              <w:rPr>
                <w:rFonts w:hint="default" w:ascii="Times New Roman" w:hAnsi="Times New Roman" w:eastAsia="仿宋_GB2312" w:cs="Times New Roman"/>
                <w:sz w:val="24"/>
                <w:szCs w:val="24"/>
              </w:rPr>
            </w:pPr>
          </w:p>
        </w:tc>
        <w:tc>
          <w:tcPr>
            <w:tcW w:w="6379"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公开规范性文件的意见征集、结果反馈、文件解读材料</w:t>
            </w:r>
          </w:p>
        </w:tc>
        <w:tc>
          <w:tcPr>
            <w:tcW w:w="2268"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restart"/>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决策公开</w:t>
            </w:r>
          </w:p>
        </w:tc>
        <w:tc>
          <w:tcPr>
            <w:tcW w:w="4632" w:type="dxa"/>
            <w:gridSpan w:val="2"/>
            <w:vMerge w:val="restart"/>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重大行政决策公开</w:t>
            </w:r>
          </w:p>
        </w:tc>
        <w:tc>
          <w:tcPr>
            <w:tcW w:w="6379"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公开年度重大行政决策目录</w:t>
            </w:r>
          </w:p>
        </w:tc>
        <w:tc>
          <w:tcPr>
            <w:tcW w:w="2268"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440" w:lineRule="exact"/>
              <w:rPr>
                <w:rFonts w:hint="default" w:ascii="Times New Roman" w:hAnsi="Times New Roman" w:eastAsia="仿宋_GB2312" w:cs="Times New Roman"/>
                <w:sz w:val="24"/>
                <w:szCs w:val="24"/>
              </w:rPr>
            </w:pPr>
          </w:p>
        </w:tc>
        <w:tc>
          <w:tcPr>
            <w:tcW w:w="4632" w:type="dxa"/>
            <w:gridSpan w:val="2"/>
            <w:vMerge w:val="continue"/>
            <w:vAlign w:val="center"/>
          </w:tcPr>
          <w:p>
            <w:pPr>
              <w:spacing w:line="440" w:lineRule="exact"/>
              <w:rPr>
                <w:rFonts w:hint="default" w:ascii="Times New Roman" w:hAnsi="Times New Roman" w:eastAsia="仿宋_GB2312" w:cs="Times New Roman"/>
                <w:sz w:val="24"/>
                <w:szCs w:val="24"/>
              </w:rPr>
            </w:pPr>
          </w:p>
        </w:tc>
        <w:tc>
          <w:tcPr>
            <w:tcW w:w="6379"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公开决策草案、意见征集、结果反馈、公众参与、专家咨询论证、社会稳定风险评估等情况</w:t>
            </w:r>
          </w:p>
        </w:tc>
        <w:tc>
          <w:tcPr>
            <w:tcW w:w="2268"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重大政策决策承办单位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440" w:lineRule="exact"/>
              <w:rPr>
                <w:rFonts w:hint="default" w:ascii="Times New Roman" w:hAnsi="Times New Roman" w:eastAsia="仿宋_GB2312" w:cs="Times New Roman"/>
                <w:sz w:val="24"/>
                <w:szCs w:val="24"/>
              </w:rPr>
            </w:pPr>
          </w:p>
        </w:tc>
        <w:tc>
          <w:tcPr>
            <w:tcW w:w="4632" w:type="dxa"/>
            <w:gridSpan w:val="2"/>
            <w:vMerge w:val="continue"/>
            <w:vAlign w:val="center"/>
          </w:tcPr>
          <w:p>
            <w:pPr>
              <w:spacing w:line="440" w:lineRule="exact"/>
              <w:rPr>
                <w:rFonts w:hint="default" w:ascii="Times New Roman" w:hAnsi="Times New Roman" w:eastAsia="仿宋_GB2312" w:cs="Times New Roman"/>
                <w:sz w:val="24"/>
                <w:szCs w:val="24"/>
              </w:rPr>
            </w:pPr>
          </w:p>
        </w:tc>
        <w:tc>
          <w:tcPr>
            <w:tcW w:w="6379"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公开重大行政决策执行情况的评价结果</w:t>
            </w:r>
          </w:p>
        </w:tc>
        <w:tc>
          <w:tcPr>
            <w:tcW w:w="2268"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重大政策决策承办单位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restart"/>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管理和服务公开</w:t>
            </w:r>
          </w:p>
        </w:tc>
        <w:tc>
          <w:tcPr>
            <w:tcW w:w="2222" w:type="dxa"/>
            <w:vMerge w:val="restart"/>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“双随机、一公开”监管</w:t>
            </w:r>
          </w:p>
        </w:tc>
        <w:tc>
          <w:tcPr>
            <w:tcW w:w="2410"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随机抽查事项清单</w:t>
            </w:r>
          </w:p>
        </w:tc>
        <w:tc>
          <w:tcPr>
            <w:tcW w:w="6379"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公开2020年抽查事项清单，清单中包含抽查事项、抽查对象、抽查内容、抽查依据、抽查方式、抽查比例和频次等要素</w:t>
            </w:r>
          </w:p>
        </w:tc>
        <w:tc>
          <w:tcPr>
            <w:tcW w:w="2268" w:type="dxa"/>
            <w:vMerge w:val="restart"/>
            <w:vAlign w:val="center"/>
          </w:tcPr>
          <w:p>
            <w:pPr>
              <w:spacing w:line="32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发改局、县教体局、县科技局、县公安局、县人社局、县自然资源局、县住建局、县交通局、县农业农村局、县水利局、县文旅局、县卫健局、县应急局、县市场监管局、县执法局、县统计局、市生态环境局高青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2222" w:type="dxa"/>
            <w:vMerge w:val="continue"/>
            <w:vAlign w:val="center"/>
          </w:tcPr>
          <w:p>
            <w:pPr>
              <w:spacing w:line="500" w:lineRule="exact"/>
              <w:rPr>
                <w:rFonts w:hint="default" w:ascii="Times New Roman" w:hAnsi="Times New Roman" w:eastAsia="仿宋_GB2312" w:cs="Times New Roman"/>
                <w:sz w:val="24"/>
                <w:szCs w:val="24"/>
              </w:rPr>
            </w:pPr>
          </w:p>
        </w:tc>
        <w:tc>
          <w:tcPr>
            <w:tcW w:w="2410"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抽查情况和查处结果</w:t>
            </w:r>
          </w:p>
        </w:tc>
        <w:tc>
          <w:tcPr>
            <w:tcW w:w="6379"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公开抽取情况和抽查结果</w:t>
            </w:r>
          </w:p>
        </w:tc>
        <w:tc>
          <w:tcPr>
            <w:tcW w:w="2268" w:type="dxa"/>
            <w:vMerge w:val="continue"/>
            <w:vAlign w:val="center"/>
          </w:tcPr>
          <w:p>
            <w:pPr>
              <w:spacing w:line="32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4632" w:type="dxa"/>
            <w:gridSpan w:val="2"/>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行政许可公示</w:t>
            </w:r>
          </w:p>
        </w:tc>
        <w:tc>
          <w:tcPr>
            <w:tcW w:w="6379"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在作出决定之日起7个工作日内通过县政府门户网站公示</w:t>
            </w:r>
          </w:p>
        </w:tc>
        <w:tc>
          <w:tcPr>
            <w:tcW w:w="2268" w:type="dxa"/>
            <w:vMerge w:val="restart"/>
            <w:vAlign w:val="center"/>
          </w:tcPr>
          <w:p>
            <w:pPr>
              <w:spacing w:line="32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发改局、县教体局、县科技局、县工信局、县公安局、县司法局、县财政局、县人社局、县自然资源局、县住建局、县交通局、县水利局、县农业农村局、县文旅局、县卫健局、县退役军人局、县应急局、县行政审批局、县市场监管局、县综合执法局、市生态环境局高青分局、市医疗保障局高青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9" w:hRule="atLeast"/>
        </w:trPr>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4632" w:type="dxa"/>
            <w:gridSpan w:val="2"/>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行政处罚公示</w:t>
            </w:r>
          </w:p>
        </w:tc>
        <w:tc>
          <w:tcPr>
            <w:tcW w:w="6379"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在作出决定之日起7个工作日内通过县政府门户网站公示</w:t>
            </w:r>
          </w:p>
        </w:tc>
        <w:tc>
          <w:tcPr>
            <w:tcW w:w="2268" w:type="dxa"/>
            <w:vMerge w:val="continue"/>
            <w:vAlign w:val="center"/>
          </w:tcPr>
          <w:p>
            <w:pPr>
              <w:spacing w:line="50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restart"/>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管理和服务公开</w:t>
            </w:r>
          </w:p>
        </w:tc>
        <w:tc>
          <w:tcPr>
            <w:tcW w:w="2222" w:type="dxa"/>
            <w:vMerge w:val="restart"/>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行政执法公示</w:t>
            </w:r>
          </w:p>
        </w:tc>
        <w:tc>
          <w:tcPr>
            <w:tcW w:w="2410" w:type="dxa"/>
            <w:vMerge w:val="restart"/>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事前公开</w:t>
            </w:r>
          </w:p>
        </w:tc>
        <w:tc>
          <w:tcPr>
            <w:tcW w:w="6379"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公开执法职责、执法依据、执法程序、监督途径等信息</w:t>
            </w:r>
          </w:p>
        </w:tc>
        <w:tc>
          <w:tcPr>
            <w:tcW w:w="2268" w:type="dxa"/>
            <w:vMerge w:val="restart"/>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发改局、县教体局、县科技局、县工信局、县公安局、县民政局、县司法局、县财政局、县人社局、县自然资源局、县住建局、县交通局、县水利局、县农业农村局、县文旅局、县卫健局、县退役军人局、县应急局、县审计局、县行政审批局、县市场监管局、县综合执法局、县统计局、县信访局、市生态环境局高青分局、市医疗保障局高青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2222" w:type="dxa"/>
            <w:vMerge w:val="continue"/>
            <w:vAlign w:val="center"/>
          </w:tcPr>
          <w:p>
            <w:pPr>
              <w:spacing w:line="500" w:lineRule="exact"/>
              <w:jc w:val="center"/>
              <w:rPr>
                <w:rFonts w:hint="default" w:ascii="Times New Roman" w:hAnsi="Times New Roman" w:eastAsia="仿宋_GB2312" w:cs="Times New Roman"/>
                <w:sz w:val="24"/>
                <w:szCs w:val="24"/>
              </w:rPr>
            </w:pPr>
          </w:p>
        </w:tc>
        <w:tc>
          <w:tcPr>
            <w:tcW w:w="2410" w:type="dxa"/>
            <w:vMerge w:val="continue"/>
            <w:vAlign w:val="center"/>
          </w:tcPr>
          <w:p>
            <w:pPr>
              <w:spacing w:line="500" w:lineRule="exact"/>
              <w:jc w:val="center"/>
              <w:rPr>
                <w:rFonts w:hint="default" w:ascii="Times New Roman" w:hAnsi="Times New Roman" w:eastAsia="仿宋_GB2312" w:cs="Times New Roman"/>
                <w:sz w:val="24"/>
                <w:szCs w:val="24"/>
              </w:rPr>
            </w:pPr>
          </w:p>
        </w:tc>
        <w:tc>
          <w:tcPr>
            <w:tcW w:w="6379"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公开本单位服务指南、执法流程图，服务指南中明确执法事项名称、受理机构、审批机构、受理条件、办理时限等内容</w:t>
            </w:r>
          </w:p>
        </w:tc>
        <w:tc>
          <w:tcPr>
            <w:tcW w:w="2268" w:type="dxa"/>
            <w:vMerge w:val="continue"/>
            <w:vAlign w:val="center"/>
          </w:tcPr>
          <w:p>
            <w:pPr>
              <w:spacing w:line="50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1" w:hRule="atLeast"/>
        </w:trPr>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2222" w:type="dxa"/>
            <w:vMerge w:val="continue"/>
            <w:vAlign w:val="center"/>
          </w:tcPr>
          <w:p>
            <w:pPr>
              <w:spacing w:line="500" w:lineRule="exact"/>
              <w:jc w:val="center"/>
              <w:rPr>
                <w:rFonts w:hint="default" w:ascii="Times New Roman" w:hAnsi="Times New Roman" w:eastAsia="仿宋_GB2312" w:cs="Times New Roman"/>
                <w:sz w:val="24"/>
                <w:szCs w:val="24"/>
              </w:rPr>
            </w:pPr>
          </w:p>
        </w:tc>
        <w:tc>
          <w:tcPr>
            <w:tcW w:w="2410"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事后公开</w:t>
            </w:r>
          </w:p>
        </w:tc>
        <w:tc>
          <w:tcPr>
            <w:tcW w:w="6379"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公开执法机关、执法对象、执法类别、执法结论等执法结果信息</w:t>
            </w:r>
          </w:p>
        </w:tc>
        <w:tc>
          <w:tcPr>
            <w:tcW w:w="2268" w:type="dxa"/>
            <w:vMerge w:val="continue"/>
            <w:vAlign w:val="center"/>
          </w:tcPr>
          <w:p>
            <w:pPr>
              <w:spacing w:line="50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restart"/>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管理和服务公开</w:t>
            </w:r>
          </w:p>
        </w:tc>
        <w:tc>
          <w:tcPr>
            <w:tcW w:w="2222" w:type="dxa"/>
            <w:vMerge w:val="restart"/>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减税降费</w:t>
            </w:r>
          </w:p>
        </w:tc>
        <w:tc>
          <w:tcPr>
            <w:tcW w:w="2410" w:type="dxa"/>
            <w:vMerge w:val="restart"/>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行政事业性收费目录</w:t>
            </w:r>
          </w:p>
        </w:tc>
        <w:tc>
          <w:tcPr>
            <w:tcW w:w="6379"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发布县级行政事业性收费目录</w:t>
            </w:r>
          </w:p>
        </w:tc>
        <w:tc>
          <w:tcPr>
            <w:tcW w:w="2268" w:type="dxa"/>
            <w:vMerge w:val="restart"/>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2222" w:type="dxa"/>
            <w:vMerge w:val="continue"/>
            <w:vAlign w:val="center"/>
          </w:tcPr>
          <w:p>
            <w:pPr>
              <w:spacing w:line="500" w:lineRule="exact"/>
              <w:jc w:val="center"/>
              <w:rPr>
                <w:rFonts w:hint="default" w:ascii="Times New Roman" w:hAnsi="Times New Roman" w:eastAsia="仿宋_GB2312" w:cs="Times New Roman"/>
                <w:sz w:val="24"/>
                <w:szCs w:val="24"/>
              </w:rPr>
            </w:pPr>
          </w:p>
        </w:tc>
        <w:tc>
          <w:tcPr>
            <w:tcW w:w="2410" w:type="dxa"/>
            <w:vMerge w:val="continue"/>
            <w:vAlign w:val="center"/>
          </w:tcPr>
          <w:p>
            <w:pPr>
              <w:spacing w:line="500" w:lineRule="exact"/>
              <w:jc w:val="center"/>
              <w:rPr>
                <w:rFonts w:hint="default" w:ascii="Times New Roman" w:hAnsi="Times New Roman" w:eastAsia="仿宋_GB2312" w:cs="Times New Roman"/>
                <w:sz w:val="24"/>
                <w:szCs w:val="24"/>
              </w:rPr>
            </w:pPr>
          </w:p>
        </w:tc>
        <w:tc>
          <w:tcPr>
            <w:tcW w:w="6379"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目录中包含项目名称、政策依据、执收部门及资金管理方式等要素</w:t>
            </w:r>
          </w:p>
        </w:tc>
        <w:tc>
          <w:tcPr>
            <w:tcW w:w="2268" w:type="dxa"/>
            <w:vMerge w:val="continue"/>
            <w:vAlign w:val="center"/>
          </w:tcPr>
          <w:p>
            <w:pPr>
              <w:spacing w:line="50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2222" w:type="dxa"/>
            <w:vMerge w:val="continue"/>
            <w:vAlign w:val="center"/>
          </w:tcPr>
          <w:p>
            <w:pPr>
              <w:spacing w:line="500" w:lineRule="exact"/>
              <w:jc w:val="center"/>
              <w:rPr>
                <w:rFonts w:hint="default" w:ascii="Times New Roman" w:hAnsi="Times New Roman" w:eastAsia="仿宋_GB2312" w:cs="Times New Roman"/>
                <w:sz w:val="24"/>
                <w:szCs w:val="24"/>
              </w:rPr>
            </w:pPr>
          </w:p>
        </w:tc>
        <w:tc>
          <w:tcPr>
            <w:tcW w:w="2410" w:type="dxa"/>
            <w:vMerge w:val="restart"/>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政府定价或指导价经营服务性收费清单</w:t>
            </w:r>
          </w:p>
        </w:tc>
        <w:tc>
          <w:tcPr>
            <w:tcW w:w="6379"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发布政府定价或指导价经营服务性收费清单</w:t>
            </w:r>
          </w:p>
        </w:tc>
        <w:tc>
          <w:tcPr>
            <w:tcW w:w="2268" w:type="dxa"/>
            <w:vMerge w:val="restart"/>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2222" w:type="dxa"/>
            <w:vMerge w:val="continue"/>
            <w:vAlign w:val="center"/>
          </w:tcPr>
          <w:p>
            <w:pPr>
              <w:spacing w:line="500" w:lineRule="exact"/>
              <w:jc w:val="center"/>
              <w:rPr>
                <w:rFonts w:hint="default" w:ascii="Times New Roman" w:hAnsi="Times New Roman" w:eastAsia="仿宋_GB2312" w:cs="Times New Roman"/>
                <w:sz w:val="24"/>
                <w:szCs w:val="24"/>
              </w:rPr>
            </w:pPr>
          </w:p>
        </w:tc>
        <w:tc>
          <w:tcPr>
            <w:tcW w:w="2410" w:type="dxa"/>
            <w:vMerge w:val="continue"/>
            <w:vAlign w:val="center"/>
          </w:tcPr>
          <w:p>
            <w:pPr>
              <w:spacing w:line="500" w:lineRule="exact"/>
              <w:jc w:val="center"/>
              <w:rPr>
                <w:rFonts w:hint="default" w:ascii="Times New Roman" w:hAnsi="Times New Roman" w:eastAsia="仿宋_GB2312" w:cs="Times New Roman"/>
                <w:sz w:val="24"/>
                <w:szCs w:val="24"/>
              </w:rPr>
            </w:pPr>
          </w:p>
        </w:tc>
        <w:tc>
          <w:tcPr>
            <w:tcW w:w="6379"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清单中包含定价类别、收费项目、行业主管部门、设立依据、定价部门、收费依据及标准、执行机构等要素</w:t>
            </w:r>
          </w:p>
        </w:tc>
        <w:tc>
          <w:tcPr>
            <w:tcW w:w="2268" w:type="dxa"/>
            <w:vMerge w:val="continue"/>
            <w:vAlign w:val="center"/>
          </w:tcPr>
          <w:p>
            <w:pPr>
              <w:spacing w:line="50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2222" w:type="dxa"/>
            <w:vMerge w:val="continue"/>
            <w:vAlign w:val="center"/>
          </w:tcPr>
          <w:p>
            <w:pPr>
              <w:spacing w:line="500" w:lineRule="exact"/>
              <w:jc w:val="center"/>
              <w:rPr>
                <w:rFonts w:hint="default" w:ascii="Times New Roman" w:hAnsi="Times New Roman" w:eastAsia="仿宋_GB2312" w:cs="Times New Roman"/>
                <w:sz w:val="24"/>
                <w:szCs w:val="24"/>
              </w:rPr>
            </w:pPr>
          </w:p>
        </w:tc>
        <w:tc>
          <w:tcPr>
            <w:tcW w:w="2410" w:type="dxa"/>
            <w:vMerge w:val="restart"/>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政府性基金目录</w:t>
            </w:r>
          </w:p>
        </w:tc>
        <w:tc>
          <w:tcPr>
            <w:tcW w:w="6379"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发布县级政府性基金目录</w:t>
            </w:r>
          </w:p>
        </w:tc>
        <w:tc>
          <w:tcPr>
            <w:tcW w:w="2268" w:type="dxa"/>
            <w:vMerge w:val="restart"/>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2222" w:type="dxa"/>
            <w:vMerge w:val="continue"/>
            <w:vAlign w:val="center"/>
          </w:tcPr>
          <w:p>
            <w:pPr>
              <w:spacing w:line="500" w:lineRule="exact"/>
              <w:rPr>
                <w:rFonts w:hint="default" w:ascii="Times New Roman" w:hAnsi="Times New Roman" w:eastAsia="仿宋_GB2312" w:cs="Times New Roman"/>
                <w:sz w:val="24"/>
                <w:szCs w:val="24"/>
              </w:rPr>
            </w:pPr>
          </w:p>
        </w:tc>
        <w:tc>
          <w:tcPr>
            <w:tcW w:w="2410" w:type="dxa"/>
            <w:vMerge w:val="continue"/>
            <w:vAlign w:val="center"/>
          </w:tcPr>
          <w:p>
            <w:pPr>
              <w:spacing w:line="500" w:lineRule="exact"/>
              <w:rPr>
                <w:rFonts w:hint="default" w:ascii="Times New Roman" w:hAnsi="Times New Roman" w:eastAsia="仿宋_GB2312" w:cs="Times New Roman"/>
                <w:sz w:val="24"/>
                <w:szCs w:val="24"/>
              </w:rPr>
            </w:pPr>
          </w:p>
        </w:tc>
        <w:tc>
          <w:tcPr>
            <w:tcW w:w="6379"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目录中包含项目名称、政策依据、执收部门及资金管理方式等要素</w:t>
            </w:r>
          </w:p>
        </w:tc>
        <w:tc>
          <w:tcPr>
            <w:tcW w:w="2268" w:type="dxa"/>
            <w:vMerge w:val="continue"/>
            <w:vAlign w:val="center"/>
          </w:tcPr>
          <w:p>
            <w:pPr>
              <w:spacing w:line="50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4632" w:type="dxa"/>
            <w:gridSpan w:val="2"/>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证明事项目录清单</w:t>
            </w:r>
          </w:p>
        </w:tc>
        <w:tc>
          <w:tcPr>
            <w:tcW w:w="6379"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对确需保留的证明事项实行清单管理并向在县政府门户网站公开</w:t>
            </w:r>
          </w:p>
        </w:tc>
        <w:tc>
          <w:tcPr>
            <w:tcW w:w="2268"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县司法局牵头，县直各部门、单位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4632" w:type="dxa"/>
            <w:gridSpan w:val="2"/>
            <w:vMerge w:val="restart"/>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办事指南</w:t>
            </w:r>
          </w:p>
        </w:tc>
        <w:tc>
          <w:tcPr>
            <w:tcW w:w="6379"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发布政务服务事项目录和办事指南</w:t>
            </w:r>
          </w:p>
        </w:tc>
        <w:tc>
          <w:tcPr>
            <w:tcW w:w="2268" w:type="dxa"/>
            <w:vMerge w:val="restart"/>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县行政审批服务局牵头，县直各部门、单位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4632" w:type="dxa"/>
            <w:gridSpan w:val="2"/>
            <w:vMerge w:val="continue"/>
            <w:vAlign w:val="center"/>
          </w:tcPr>
          <w:p>
            <w:pPr>
              <w:spacing w:line="500" w:lineRule="exact"/>
              <w:rPr>
                <w:rFonts w:hint="default" w:ascii="Times New Roman" w:hAnsi="Times New Roman" w:eastAsia="仿宋_GB2312" w:cs="Times New Roman"/>
                <w:sz w:val="24"/>
                <w:szCs w:val="24"/>
              </w:rPr>
            </w:pPr>
          </w:p>
        </w:tc>
        <w:tc>
          <w:tcPr>
            <w:tcW w:w="6379"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事项名称、设定依据、申请条件、办理材料、办理地点、办理机构、收费标准、办理时间、联系电话、办理流程等基本要素是否完整</w:t>
            </w:r>
          </w:p>
        </w:tc>
        <w:tc>
          <w:tcPr>
            <w:tcW w:w="2268" w:type="dxa"/>
            <w:vMerge w:val="continue"/>
            <w:vAlign w:val="center"/>
          </w:tcPr>
          <w:p>
            <w:pPr>
              <w:spacing w:line="50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4" w:hRule="atLeast"/>
        </w:trPr>
        <w:tc>
          <w:tcPr>
            <w:tcW w:w="1606"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执行和结果公开</w:t>
            </w:r>
          </w:p>
        </w:tc>
        <w:tc>
          <w:tcPr>
            <w:tcW w:w="4632" w:type="dxa"/>
            <w:gridSpan w:val="2"/>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政府工作报告重点任务执行情况</w:t>
            </w:r>
          </w:p>
        </w:tc>
        <w:tc>
          <w:tcPr>
            <w:tcW w:w="6379"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产业兴县落实情况</w:t>
            </w:r>
          </w:p>
        </w:tc>
        <w:tc>
          <w:tcPr>
            <w:tcW w:w="2268"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经济开发区、田镇街道、青城镇、花沟镇、县发改局、县工信局、县科技局、县司法局、县财政局、县住建局、县人社局、县应急管理局、市生态环境局高青分局、县税务局、县商务外事服务中心、县金融证券服务中心、县油区事业发展中心、县智慧城市建设运行中心、县投资促进中心、台湾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trPr>
        <w:tc>
          <w:tcPr>
            <w:tcW w:w="1606" w:type="dxa"/>
            <w:vMerge w:val="restart"/>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执行和结果公开</w:t>
            </w:r>
          </w:p>
        </w:tc>
        <w:tc>
          <w:tcPr>
            <w:tcW w:w="4632" w:type="dxa"/>
            <w:gridSpan w:val="2"/>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政府工作报告重点任务执行情况</w:t>
            </w:r>
          </w:p>
        </w:tc>
        <w:tc>
          <w:tcPr>
            <w:tcW w:w="6379"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重点支撑落实情况</w:t>
            </w:r>
          </w:p>
        </w:tc>
        <w:tc>
          <w:tcPr>
            <w:tcW w:w="2268" w:type="dxa"/>
            <w:vAlign w:val="center"/>
          </w:tcPr>
          <w:p>
            <w:pPr>
              <w:widowControl/>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经济开发区、台湾工业园、田镇街道办、县发改局、县科技局、县住建局、县人社局、县自然资源局、县农业农村局、县行政审批局、市生态环境局高青分局、县投资促进中心、县商务外事服务中心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9" w:hRule="atLeast"/>
        </w:trPr>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4632" w:type="dxa"/>
            <w:gridSpan w:val="2"/>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政府工作报告重点任务执行情况</w:t>
            </w:r>
          </w:p>
        </w:tc>
        <w:tc>
          <w:tcPr>
            <w:tcW w:w="6379"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kern w:val="0"/>
                <w:sz w:val="24"/>
                <w:szCs w:val="24"/>
              </w:rPr>
              <w:t>乡村振兴</w:t>
            </w:r>
            <w:r>
              <w:rPr>
                <w:rFonts w:hint="default" w:ascii="Times New Roman" w:hAnsi="Times New Roman" w:eastAsia="仿宋_GB2312" w:cs="Times New Roman"/>
                <w:sz w:val="24"/>
                <w:szCs w:val="24"/>
              </w:rPr>
              <w:t>落实情况</w:t>
            </w:r>
          </w:p>
        </w:tc>
        <w:tc>
          <w:tcPr>
            <w:tcW w:w="2268"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各镇、街道、经济开发区、县财政局、县民政局、县住建局、县交通局、县农业农村局、县自然资源局、县水利局、县文旅局、县市场监管局、县金融证券服务中心、县投资促进中心、县畜牧渔业服务中心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5" w:hRule="atLeast"/>
        </w:trPr>
        <w:tc>
          <w:tcPr>
            <w:tcW w:w="1606" w:type="dxa"/>
            <w:vMerge w:val="restart"/>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执行和结果公开</w:t>
            </w:r>
          </w:p>
        </w:tc>
        <w:tc>
          <w:tcPr>
            <w:tcW w:w="4632" w:type="dxa"/>
            <w:gridSpan w:val="2"/>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政府工作报告重点任务执行情况</w:t>
            </w:r>
          </w:p>
        </w:tc>
        <w:tc>
          <w:tcPr>
            <w:tcW w:w="6379" w:type="dxa"/>
            <w:vAlign w:val="center"/>
          </w:tcPr>
          <w:p>
            <w:pPr>
              <w:spacing w:line="500" w:lineRule="exact"/>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_GB2312" w:cs="Times New Roman"/>
                <w:bCs/>
                <w:color w:val="000000"/>
                <w:kern w:val="0"/>
                <w:sz w:val="24"/>
                <w:szCs w:val="24"/>
              </w:rPr>
              <w:t>城市建设</w:t>
            </w:r>
            <w:r>
              <w:rPr>
                <w:rFonts w:hint="default" w:ascii="Times New Roman" w:hAnsi="Times New Roman" w:eastAsia="仿宋_GB2312" w:cs="Times New Roman"/>
                <w:sz w:val="24"/>
                <w:szCs w:val="24"/>
              </w:rPr>
              <w:t>落实情况</w:t>
            </w:r>
          </w:p>
        </w:tc>
        <w:tc>
          <w:tcPr>
            <w:tcW w:w="2268" w:type="dxa"/>
            <w:vAlign w:val="center"/>
          </w:tcPr>
          <w:p>
            <w:pPr>
              <w:widowControl/>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各镇、街道、经济开发区、县发改局、县公安局、县住建局、县交通局、县自然资源局、县水利局、县文旅局、县应急管理局、县综合行政执法局、市生态环境局高青分局、县智慧城市建设运行中心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4632" w:type="dxa"/>
            <w:gridSpan w:val="2"/>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政府工作报告重点任务执行情况</w:t>
            </w:r>
          </w:p>
        </w:tc>
        <w:tc>
          <w:tcPr>
            <w:tcW w:w="6379" w:type="dxa"/>
            <w:vAlign w:val="center"/>
          </w:tcPr>
          <w:p>
            <w:pPr>
              <w:spacing w:line="500" w:lineRule="exact"/>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_GB2312" w:cs="Times New Roman"/>
                <w:sz w:val="24"/>
                <w:szCs w:val="24"/>
              </w:rPr>
              <w:t>三大攻坚战落实情况</w:t>
            </w:r>
          </w:p>
        </w:tc>
        <w:tc>
          <w:tcPr>
            <w:tcW w:w="2268" w:type="dxa"/>
            <w:vAlign w:val="center"/>
          </w:tcPr>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街道、经济开发区、县发改局、县公安局、县财政局、县住建局、县交通局、县自然资源局、县农业农村局、县水利局、县卫生健康局、县应急局、县综合行政执法局、市生态环境局高青分局、县金融证券服务中心、县畜牧渔业服务中心、台湾工业园、县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restart"/>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执行和结果公开</w:t>
            </w:r>
          </w:p>
        </w:tc>
        <w:tc>
          <w:tcPr>
            <w:tcW w:w="4632" w:type="dxa"/>
            <w:gridSpan w:val="2"/>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政府工作报告重点任务执行情况</w:t>
            </w:r>
          </w:p>
        </w:tc>
        <w:tc>
          <w:tcPr>
            <w:tcW w:w="6379" w:type="dxa"/>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bCs/>
                <w:color w:val="000000"/>
                <w:kern w:val="0"/>
                <w:sz w:val="24"/>
                <w:szCs w:val="24"/>
              </w:rPr>
              <w:t>深化改革</w:t>
            </w:r>
            <w:r>
              <w:rPr>
                <w:rFonts w:hint="default" w:ascii="Times New Roman" w:hAnsi="Times New Roman" w:eastAsia="仿宋_GB2312" w:cs="Times New Roman"/>
                <w:sz w:val="24"/>
                <w:szCs w:val="24"/>
              </w:rPr>
              <w:t>落实情况</w:t>
            </w:r>
          </w:p>
        </w:tc>
        <w:tc>
          <w:tcPr>
            <w:tcW w:w="2268" w:type="dxa"/>
            <w:vAlign w:val="center"/>
          </w:tcPr>
          <w:p>
            <w:pPr>
              <w:widowControl/>
              <w:spacing w:line="3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各镇、街道、经济开发区、县发改局、县工信局、县财政局、县住建局、县自然资源局、县农业农村局、县行政审批局、县统计局、县金融证券服务中心、县投资促进中心、台湾工业园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trPr>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4632" w:type="dxa"/>
            <w:gridSpan w:val="2"/>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政府工作报告重点任务执行情况</w:t>
            </w:r>
          </w:p>
        </w:tc>
        <w:tc>
          <w:tcPr>
            <w:tcW w:w="6379" w:type="dxa"/>
            <w:vAlign w:val="center"/>
          </w:tcPr>
          <w:p>
            <w:pPr>
              <w:spacing w:line="500" w:lineRule="exact"/>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_GB2312" w:cs="Times New Roman"/>
                <w:bCs/>
                <w:color w:val="000000"/>
                <w:kern w:val="0"/>
                <w:sz w:val="24"/>
                <w:szCs w:val="24"/>
              </w:rPr>
              <w:t>民生社会建设落实情况</w:t>
            </w:r>
          </w:p>
        </w:tc>
        <w:tc>
          <w:tcPr>
            <w:tcW w:w="2268" w:type="dxa"/>
            <w:vAlign w:val="center"/>
          </w:tcPr>
          <w:p>
            <w:pPr>
              <w:widowControl/>
              <w:spacing w:line="3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各镇、街道、经济开发区、县教体局、县公安局、县司法局、县住建局、县人社局、县民政局、县卫健局、县文旅局、县市场监管局、县退役军人事务局、县信访局、县残联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4632" w:type="dxa"/>
            <w:gridSpan w:val="2"/>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政府工作报告重点任务执行情况</w:t>
            </w:r>
          </w:p>
        </w:tc>
        <w:tc>
          <w:tcPr>
            <w:tcW w:w="6379" w:type="dxa"/>
            <w:vAlign w:val="center"/>
          </w:tcPr>
          <w:p>
            <w:pPr>
              <w:spacing w:line="500" w:lineRule="exact"/>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_GB2312" w:cs="Times New Roman"/>
                <w:sz w:val="24"/>
                <w:szCs w:val="24"/>
              </w:rPr>
              <w:t>政府自身建设落实情况</w:t>
            </w:r>
          </w:p>
        </w:tc>
        <w:tc>
          <w:tcPr>
            <w:tcW w:w="2268" w:type="dxa"/>
            <w:vAlign w:val="center"/>
          </w:tcPr>
          <w:p>
            <w:pPr>
              <w:widowControl/>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县财政局、县审计局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06" w:type="dxa"/>
            <w:vMerge w:val="restart"/>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执行和结果公开</w:t>
            </w:r>
          </w:p>
        </w:tc>
        <w:tc>
          <w:tcPr>
            <w:tcW w:w="4632" w:type="dxa"/>
            <w:gridSpan w:val="2"/>
            <w:vMerge w:val="restart"/>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民生实事项目执行情况</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公开执行措施、实施步骤、责任分工、监督方式</w:t>
            </w:r>
          </w:p>
        </w:tc>
        <w:tc>
          <w:tcPr>
            <w:tcW w:w="2268" w:type="dxa"/>
            <w:vMerge w:val="restart"/>
            <w:vAlign w:val="center"/>
          </w:tcPr>
          <w:p>
            <w:pPr>
              <w:widowControl/>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各镇、街道、经济开发区，县直各部门、单位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4632" w:type="dxa"/>
            <w:gridSpan w:val="2"/>
            <w:vMerge w:val="continue"/>
            <w:vAlign w:val="center"/>
          </w:tcPr>
          <w:p>
            <w:pPr>
              <w:spacing w:line="500" w:lineRule="exact"/>
              <w:jc w:val="center"/>
              <w:rPr>
                <w:rFonts w:hint="default" w:ascii="Times New Roman" w:hAnsi="Times New Roman" w:eastAsia="仿宋_GB2312" w:cs="Times New Roman"/>
                <w:sz w:val="24"/>
                <w:szCs w:val="24"/>
              </w:rPr>
            </w:pP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根据工作推进情况及时公开工作进展、取得成效、后续举措等</w:t>
            </w:r>
          </w:p>
        </w:tc>
        <w:tc>
          <w:tcPr>
            <w:tcW w:w="2268" w:type="dxa"/>
            <w:vMerge w:val="continue"/>
            <w:vAlign w:val="center"/>
          </w:tcPr>
          <w:p>
            <w:pPr>
              <w:widowControl/>
              <w:spacing w:line="40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4632" w:type="dxa"/>
            <w:gridSpan w:val="2"/>
            <w:vMerge w:val="restart"/>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年度重点工作执行情况</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公开执行措施、实施步骤、责任分工、监督方式</w:t>
            </w:r>
          </w:p>
        </w:tc>
        <w:tc>
          <w:tcPr>
            <w:tcW w:w="2268" w:type="dxa"/>
            <w:vMerge w:val="continue"/>
            <w:vAlign w:val="center"/>
          </w:tcPr>
          <w:p>
            <w:pPr>
              <w:widowControl/>
              <w:spacing w:line="40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4632" w:type="dxa"/>
            <w:gridSpan w:val="2"/>
            <w:vMerge w:val="continue"/>
            <w:vAlign w:val="center"/>
          </w:tcPr>
          <w:p>
            <w:pPr>
              <w:spacing w:line="500" w:lineRule="exact"/>
              <w:jc w:val="center"/>
              <w:rPr>
                <w:rFonts w:hint="default" w:ascii="Times New Roman" w:hAnsi="Times New Roman" w:eastAsia="仿宋_GB2312" w:cs="Times New Roman"/>
                <w:sz w:val="24"/>
                <w:szCs w:val="24"/>
              </w:rPr>
            </w:pP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根据工作推进情况及时公开工作进展、取得成效、后续举措等</w:t>
            </w:r>
          </w:p>
        </w:tc>
        <w:tc>
          <w:tcPr>
            <w:tcW w:w="2268" w:type="dxa"/>
            <w:vMerge w:val="continue"/>
            <w:vAlign w:val="center"/>
          </w:tcPr>
          <w:p>
            <w:pPr>
              <w:widowControl/>
              <w:spacing w:line="40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4632" w:type="dxa"/>
            <w:gridSpan w:val="2"/>
            <w:vMerge w:val="restart"/>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审计信息</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公开2019年预算执行审计报告和其他财政收支情况</w:t>
            </w:r>
          </w:p>
        </w:tc>
        <w:tc>
          <w:tcPr>
            <w:tcW w:w="2268" w:type="dxa"/>
            <w:vMerge w:val="restart"/>
            <w:vAlign w:val="center"/>
          </w:tcPr>
          <w:p>
            <w:pPr>
              <w:widowControl/>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4632" w:type="dxa"/>
            <w:gridSpan w:val="2"/>
            <w:vMerge w:val="continue"/>
            <w:vAlign w:val="center"/>
          </w:tcPr>
          <w:p>
            <w:pPr>
              <w:spacing w:line="500" w:lineRule="exact"/>
              <w:jc w:val="center"/>
              <w:rPr>
                <w:rFonts w:hint="default" w:ascii="Times New Roman" w:hAnsi="Times New Roman" w:eastAsia="仿宋_GB2312" w:cs="Times New Roman"/>
                <w:sz w:val="24"/>
                <w:szCs w:val="24"/>
              </w:rPr>
            </w:pP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公开专项审计报告</w:t>
            </w:r>
          </w:p>
        </w:tc>
        <w:tc>
          <w:tcPr>
            <w:tcW w:w="2268" w:type="dxa"/>
            <w:vMerge w:val="continue"/>
            <w:vAlign w:val="center"/>
          </w:tcPr>
          <w:p>
            <w:pPr>
              <w:widowControl/>
              <w:spacing w:line="40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4632" w:type="dxa"/>
            <w:gridSpan w:val="2"/>
            <w:vMerge w:val="continue"/>
            <w:vAlign w:val="center"/>
          </w:tcPr>
          <w:p>
            <w:pPr>
              <w:spacing w:line="500" w:lineRule="exact"/>
              <w:jc w:val="center"/>
              <w:rPr>
                <w:rFonts w:hint="default" w:ascii="Times New Roman" w:hAnsi="Times New Roman" w:eastAsia="仿宋_GB2312" w:cs="Times New Roman"/>
                <w:sz w:val="24"/>
                <w:szCs w:val="24"/>
              </w:rPr>
            </w:pP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公开督查和审计发现问题及整改落实情</w:t>
            </w:r>
          </w:p>
        </w:tc>
        <w:tc>
          <w:tcPr>
            <w:tcW w:w="2268" w:type="dxa"/>
            <w:vMerge w:val="continue"/>
            <w:vAlign w:val="center"/>
          </w:tcPr>
          <w:p>
            <w:pPr>
              <w:widowControl/>
              <w:spacing w:line="40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4632" w:type="dxa"/>
            <w:gridSpan w:val="2"/>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建议提案办理结果</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公开建议、提案办理复文全文或摘要</w:t>
            </w:r>
          </w:p>
        </w:tc>
        <w:tc>
          <w:tcPr>
            <w:tcW w:w="2268" w:type="dxa"/>
            <w:vAlign w:val="center"/>
          </w:tcPr>
          <w:p>
            <w:pPr>
              <w:widowControl/>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各镇、街道、经济开发区，县直各部门、单位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restart"/>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重点领域信息公开</w:t>
            </w:r>
          </w:p>
        </w:tc>
        <w:tc>
          <w:tcPr>
            <w:tcW w:w="4632" w:type="dxa"/>
            <w:gridSpan w:val="2"/>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聚焦中心工作加强信息公开</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“六大赋能行动”“十二大攻坚行动”“一号改革工程”进展及落实情况</w:t>
            </w:r>
          </w:p>
        </w:tc>
        <w:tc>
          <w:tcPr>
            <w:tcW w:w="2268" w:type="dxa"/>
            <w:vAlign w:val="center"/>
          </w:tcPr>
          <w:p>
            <w:pPr>
              <w:widowControl/>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各镇、街道、经济开发区，县直各部门、单位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606" w:type="dxa"/>
            <w:vMerge w:val="continue"/>
            <w:vAlign w:val="center"/>
          </w:tcPr>
          <w:p>
            <w:pPr>
              <w:spacing w:line="460" w:lineRule="exact"/>
              <w:rPr>
                <w:rFonts w:hint="default" w:ascii="Times New Roman" w:hAnsi="Times New Roman" w:eastAsia="仿宋_GB2312" w:cs="Times New Roman"/>
                <w:sz w:val="24"/>
                <w:szCs w:val="24"/>
              </w:rPr>
            </w:pPr>
          </w:p>
        </w:tc>
        <w:tc>
          <w:tcPr>
            <w:tcW w:w="4632" w:type="dxa"/>
            <w:gridSpan w:val="2"/>
            <w:vMerge w:val="restart"/>
            <w:vAlign w:val="center"/>
          </w:tcPr>
          <w:p>
            <w:pPr>
              <w:spacing w:line="4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公共卫生信息公开</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做好疫情防控常态化下疫情信息发布工作</w:t>
            </w:r>
          </w:p>
        </w:tc>
        <w:tc>
          <w:tcPr>
            <w:tcW w:w="2268" w:type="dxa"/>
            <w:vAlign w:val="center"/>
          </w:tcPr>
          <w:p>
            <w:pPr>
              <w:widowControl/>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460" w:lineRule="exact"/>
              <w:rPr>
                <w:rFonts w:hint="default" w:ascii="Times New Roman" w:hAnsi="Times New Roman" w:eastAsia="仿宋_GB2312" w:cs="Times New Roman"/>
                <w:sz w:val="24"/>
                <w:szCs w:val="24"/>
              </w:rPr>
            </w:pPr>
          </w:p>
        </w:tc>
        <w:tc>
          <w:tcPr>
            <w:tcW w:w="4632" w:type="dxa"/>
            <w:gridSpan w:val="2"/>
            <w:vMerge w:val="continue"/>
            <w:vAlign w:val="center"/>
          </w:tcPr>
          <w:p>
            <w:pPr>
              <w:spacing w:line="460" w:lineRule="exact"/>
              <w:rPr>
                <w:rFonts w:hint="default" w:ascii="Times New Roman" w:hAnsi="Times New Roman" w:eastAsia="仿宋_GB2312" w:cs="Times New Roman"/>
                <w:sz w:val="24"/>
                <w:szCs w:val="24"/>
              </w:rPr>
            </w:pP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公开突发公共事件应急预案、应急演练、预警信息及应对情况</w:t>
            </w:r>
          </w:p>
        </w:tc>
        <w:tc>
          <w:tcPr>
            <w:tcW w:w="2268" w:type="dxa"/>
            <w:vAlign w:val="center"/>
          </w:tcPr>
          <w:p>
            <w:pPr>
              <w:widowControl/>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县应急局牵头，各有关部门、单位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606" w:type="dxa"/>
            <w:vMerge w:val="continue"/>
            <w:vAlign w:val="center"/>
          </w:tcPr>
          <w:p>
            <w:pPr>
              <w:spacing w:line="460" w:lineRule="exact"/>
              <w:rPr>
                <w:rFonts w:hint="default" w:ascii="Times New Roman" w:hAnsi="Times New Roman" w:eastAsia="仿宋_GB2312" w:cs="Times New Roman"/>
                <w:sz w:val="24"/>
                <w:szCs w:val="24"/>
              </w:rPr>
            </w:pPr>
          </w:p>
        </w:tc>
        <w:tc>
          <w:tcPr>
            <w:tcW w:w="4632" w:type="dxa"/>
            <w:gridSpan w:val="2"/>
            <w:vMerge w:val="continue"/>
            <w:vAlign w:val="center"/>
          </w:tcPr>
          <w:p>
            <w:pPr>
              <w:spacing w:line="460" w:lineRule="exact"/>
              <w:rPr>
                <w:rFonts w:hint="default" w:ascii="Times New Roman" w:hAnsi="Times New Roman" w:eastAsia="仿宋_GB2312" w:cs="Times New Roman"/>
                <w:sz w:val="24"/>
                <w:szCs w:val="24"/>
              </w:rPr>
            </w:pP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公开复工复产复学信息</w:t>
            </w:r>
          </w:p>
        </w:tc>
        <w:tc>
          <w:tcPr>
            <w:tcW w:w="2268" w:type="dxa"/>
            <w:vAlign w:val="center"/>
          </w:tcPr>
          <w:p>
            <w:pPr>
              <w:widowControl/>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县教体局、县人社局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06" w:type="dxa"/>
            <w:vMerge w:val="restart"/>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重点领域信息公开</w:t>
            </w:r>
          </w:p>
        </w:tc>
        <w:tc>
          <w:tcPr>
            <w:tcW w:w="4632" w:type="dxa"/>
            <w:gridSpan w:val="2"/>
            <w:vAlign w:val="center"/>
          </w:tcPr>
          <w:p>
            <w:pPr>
              <w:spacing w:line="4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优化营商环境信息公开</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公开涉企政策，公开惠企政策申请条件、申报材料清单、办理流程、承办部门、联系方式、起止时间等信息</w:t>
            </w:r>
          </w:p>
        </w:tc>
        <w:tc>
          <w:tcPr>
            <w:tcW w:w="2268" w:type="dxa"/>
            <w:vAlign w:val="center"/>
          </w:tcPr>
          <w:p>
            <w:pPr>
              <w:widowControl/>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县发改局、县行政审批局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460" w:lineRule="exact"/>
              <w:rPr>
                <w:rFonts w:hint="default" w:ascii="Times New Roman" w:hAnsi="Times New Roman" w:eastAsia="仿宋_GB2312" w:cs="Times New Roman"/>
                <w:sz w:val="24"/>
                <w:szCs w:val="24"/>
              </w:rPr>
            </w:pPr>
          </w:p>
        </w:tc>
        <w:tc>
          <w:tcPr>
            <w:tcW w:w="2222" w:type="dxa"/>
            <w:vMerge w:val="restart"/>
            <w:vAlign w:val="center"/>
          </w:tcPr>
          <w:p>
            <w:pPr>
              <w:spacing w:line="4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财政信息</w:t>
            </w:r>
          </w:p>
        </w:tc>
        <w:tc>
          <w:tcPr>
            <w:tcW w:w="2410" w:type="dxa"/>
            <w:vAlign w:val="center"/>
          </w:tcPr>
          <w:p>
            <w:pPr>
              <w:spacing w:line="46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财政预决算</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公开财政预决算和“三公”经费预决算</w:t>
            </w:r>
          </w:p>
        </w:tc>
        <w:tc>
          <w:tcPr>
            <w:tcW w:w="2268" w:type="dxa"/>
            <w:vAlign w:val="center"/>
          </w:tcPr>
          <w:p>
            <w:pPr>
              <w:widowControl/>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县财政局牵头，县直各部门、单位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460" w:lineRule="exact"/>
              <w:rPr>
                <w:rFonts w:hint="default" w:ascii="Times New Roman" w:hAnsi="Times New Roman" w:eastAsia="仿宋_GB2312" w:cs="Times New Roman"/>
                <w:sz w:val="24"/>
                <w:szCs w:val="24"/>
              </w:rPr>
            </w:pPr>
          </w:p>
        </w:tc>
        <w:tc>
          <w:tcPr>
            <w:tcW w:w="2222" w:type="dxa"/>
            <w:vMerge w:val="continue"/>
            <w:vAlign w:val="center"/>
          </w:tcPr>
          <w:p>
            <w:pPr>
              <w:spacing w:line="460" w:lineRule="exact"/>
              <w:jc w:val="center"/>
              <w:rPr>
                <w:rFonts w:hint="default" w:ascii="Times New Roman" w:hAnsi="Times New Roman" w:eastAsia="仿宋_GB2312" w:cs="Times New Roman"/>
                <w:sz w:val="24"/>
                <w:szCs w:val="24"/>
              </w:rPr>
            </w:pPr>
          </w:p>
        </w:tc>
        <w:tc>
          <w:tcPr>
            <w:tcW w:w="2410" w:type="dxa"/>
            <w:vAlign w:val="center"/>
          </w:tcPr>
          <w:p>
            <w:pPr>
              <w:spacing w:line="46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其他财政信息</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公开财政收支情况，预判下一步财政收收支趋势。</w:t>
            </w:r>
          </w:p>
        </w:tc>
        <w:tc>
          <w:tcPr>
            <w:tcW w:w="2268" w:type="dxa"/>
            <w:vAlign w:val="center"/>
          </w:tcPr>
          <w:p>
            <w:pPr>
              <w:widowControl/>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460" w:lineRule="exact"/>
              <w:rPr>
                <w:rFonts w:hint="default" w:ascii="Times New Roman" w:hAnsi="Times New Roman" w:eastAsia="仿宋_GB2312" w:cs="Times New Roman"/>
                <w:sz w:val="24"/>
                <w:szCs w:val="24"/>
              </w:rPr>
            </w:pPr>
          </w:p>
        </w:tc>
        <w:tc>
          <w:tcPr>
            <w:tcW w:w="2222" w:type="dxa"/>
            <w:vMerge w:val="continue"/>
            <w:vAlign w:val="center"/>
          </w:tcPr>
          <w:p>
            <w:pPr>
              <w:spacing w:line="460" w:lineRule="exact"/>
              <w:jc w:val="center"/>
              <w:rPr>
                <w:rFonts w:hint="default" w:ascii="Times New Roman" w:hAnsi="Times New Roman" w:eastAsia="仿宋_GB2312" w:cs="Times New Roman"/>
                <w:sz w:val="24"/>
                <w:szCs w:val="24"/>
              </w:rPr>
            </w:pPr>
          </w:p>
        </w:tc>
        <w:tc>
          <w:tcPr>
            <w:tcW w:w="2410" w:type="dxa"/>
            <w:vAlign w:val="center"/>
          </w:tcPr>
          <w:p>
            <w:pPr>
              <w:spacing w:line="46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重点项目</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公开本级政府部门重点项目的项目文本、绩效目标和绩效评价结果</w:t>
            </w:r>
          </w:p>
        </w:tc>
        <w:tc>
          <w:tcPr>
            <w:tcW w:w="2268" w:type="dxa"/>
            <w:vAlign w:val="center"/>
          </w:tcPr>
          <w:p>
            <w:pPr>
              <w:widowControl/>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1606" w:type="dxa"/>
            <w:vMerge w:val="continue"/>
            <w:vAlign w:val="center"/>
          </w:tcPr>
          <w:p>
            <w:pPr>
              <w:spacing w:line="460" w:lineRule="exact"/>
              <w:rPr>
                <w:rFonts w:hint="default" w:ascii="Times New Roman" w:hAnsi="Times New Roman" w:eastAsia="仿宋_GB2312" w:cs="Times New Roman"/>
                <w:sz w:val="24"/>
                <w:szCs w:val="24"/>
              </w:rPr>
            </w:pPr>
          </w:p>
        </w:tc>
        <w:tc>
          <w:tcPr>
            <w:tcW w:w="2222" w:type="dxa"/>
            <w:vMerge w:val="continue"/>
            <w:vAlign w:val="center"/>
          </w:tcPr>
          <w:p>
            <w:pPr>
              <w:spacing w:line="460" w:lineRule="exact"/>
              <w:jc w:val="center"/>
              <w:rPr>
                <w:rFonts w:hint="default" w:ascii="Times New Roman" w:hAnsi="Times New Roman" w:eastAsia="仿宋_GB2312" w:cs="Times New Roman"/>
                <w:sz w:val="24"/>
                <w:szCs w:val="24"/>
              </w:rPr>
            </w:pPr>
          </w:p>
        </w:tc>
        <w:tc>
          <w:tcPr>
            <w:tcW w:w="2410" w:type="dxa"/>
            <w:vAlign w:val="center"/>
          </w:tcPr>
          <w:p>
            <w:pPr>
              <w:spacing w:line="46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政府债务信息</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定期公开其债务限额、余额、债务率、偿债率以及经济财政状况、债券发行、存续期管理等信息</w:t>
            </w:r>
          </w:p>
        </w:tc>
        <w:tc>
          <w:tcPr>
            <w:tcW w:w="2268" w:type="dxa"/>
            <w:vAlign w:val="center"/>
          </w:tcPr>
          <w:p>
            <w:pPr>
              <w:widowControl/>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2222" w:type="dxa"/>
            <w:vMerge w:val="restart"/>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重大建设项目</w:t>
            </w:r>
          </w:p>
        </w:tc>
        <w:tc>
          <w:tcPr>
            <w:tcW w:w="2410" w:type="dxa"/>
            <w:vAlign w:val="center"/>
          </w:tcPr>
          <w:p>
            <w:pPr>
              <w:spacing w:line="5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项目范围</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公开重大建设项目范围或发布重大建设项目清单</w:t>
            </w:r>
          </w:p>
        </w:tc>
        <w:tc>
          <w:tcPr>
            <w:tcW w:w="2268" w:type="dxa"/>
            <w:vAlign w:val="center"/>
          </w:tcPr>
          <w:p>
            <w:pPr>
              <w:widowControl/>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2222" w:type="dxa"/>
            <w:vMerge w:val="continue"/>
            <w:vAlign w:val="center"/>
          </w:tcPr>
          <w:p>
            <w:pPr>
              <w:spacing w:line="500" w:lineRule="exact"/>
              <w:jc w:val="center"/>
              <w:rPr>
                <w:rFonts w:hint="default" w:ascii="Times New Roman" w:hAnsi="Times New Roman" w:eastAsia="仿宋_GB2312" w:cs="Times New Roman"/>
                <w:sz w:val="24"/>
                <w:szCs w:val="24"/>
              </w:rPr>
            </w:pPr>
          </w:p>
        </w:tc>
        <w:tc>
          <w:tcPr>
            <w:tcW w:w="2410" w:type="dxa"/>
            <w:vAlign w:val="center"/>
          </w:tcPr>
          <w:p>
            <w:pPr>
              <w:spacing w:line="5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批准服务信息</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集中发布重大建设项目相关的申报要求、申报材料清单、批准流程、办理时限、受理机构联系方式、监督举报方式等服务信息</w:t>
            </w:r>
          </w:p>
        </w:tc>
        <w:tc>
          <w:tcPr>
            <w:tcW w:w="2268" w:type="dxa"/>
            <w:vMerge w:val="restart"/>
            <w:vAlign w:val="center"/>
          </w:tcPr>
          <w:p>
            <w:pPr>
              <w:widowControl/>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县发改局、县住建局、县交通局、县自然资源局、县水利局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2222" w:type="dxa"/>
            <w:vMerge w:val="continue"/>
            <w:vAlign w:val="center"/>
          </w:tcPr>
          <w:p>
            <w:pPr>
              <w:spacing w:line="500" w:lineRule="exact"/>
              <w:jc w:val="center"/>
              <w:rPr>
                <w:rFonts w:hint="default" w:ascii="Times New Roman" w:hAnsi="Times New Roman" w:eastAsia="仿宋_GB2312" w:cs="Times New Roman"/>
                <w:sz w:val="24"/>
                <w:szCs w:val="24"/>
              </w:rPr>
            </w:pPr>
          </w:p>
        </w:tc>
        <w:tc>
          <w:tcPr>
            <w:tcW w:w="2410" w:type="dxa"/>
            <w:vAlign w:val="center"/>
          </w:tcPr>
          <w:p>
            <w:pPr>
              <w:spacing w:line="5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项目实施信息</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公开重大建设项目的批准结果信息、招标投标信息、征收土地信息、重大设计变更信息、施工有关信息、质量安全监督信息、竣工有关信息等</w:t>
            </w:r>
          </w:p>
        </w:tc>
        <w:tc>
          <w:tcPr>
            <w:tcW w:w="2268" w:type="dxa"/>
            <w:vMerge w:val="continue"/>
            <w:vAlign w:val="center"/>
          </w:tcPr>
          <w:p>
            <w:pPr>
              <w:widowControl/>
              <w:spacing w:line="50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1606" w:type="dxa"/>
            <w:vMerge w:val="restart"/>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重点领域信息公开</w:t>
            </w:r>
          </w:p>
        </w:tc>
        <w:tc>
          <w:tcPr>
            <w:tcW w:w="2222" w:type="dxa"/>
            <w:vMerge w:val="restart"/>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公共资源配置领域信息</w:t>
            </w:r>
          </w:p>
        </w:tc>
        <w:tc>
          <w:tcPr>
            <w:tcW w:w="2410" w:type="dxa"/>
            <w:vMerge w:val="restart"/>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住房保障信息</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公开城镇保障性安居工程规划建设方案、年度建设计划信息、建设计划完成情况信息、农村危房改造和棚户区改造相关政策措施执行情况信息等</w:t>
            </w:r>
          </w:p>
        </w:tc>
        <w:tc>
          <w:tcPr>
            <w:tcW w:w="2268"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县住建局、县房地产服务中心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606" w:type="dxa"/>
            <w:vMerge w:val="continue"/>
            <w:vAlign w:val="center"/>
          </w:tcPr>
          <w:p>
            <w:pPr>
              <w:spacing w:line="400" w:lineRule="exact"/>
              <w:rPr>
                <w:rFonts w:hint="default" w:ascii="Times New Roman" w:hAnsi="Times New Roman" w:eastAsia="仿宋_GB2312" w:cs="Times New Roman"/>
                <w:sz w:val="24"/>
                <w:szCs w:val="24"/>
              </w:rPr>
            </w:pPr>
          </w:p>
        </w:tc>
        <w:tc>
          <w:tcPr>
            <w:tcW w:w="2222" w:type="dxa"/>
            <w:vMerge w:val="continue"/>
            <w:vAlign w:val="center"/>
          </w:tcPr>
          <w:p>
            <w:pPr>
              <w:spacing w:line="500" w:lineRule="exact"/>
              <w:rPr>
                <w:rFonts w:hint="default" w:ascii="Times New Roman" w:hAnsi="Times New Roman" w:eastAsia="仿宋_GB2312" w:cs="Times New Roman"/>
                <w:sz w:val="24"/>
                <w:szCs w:val="24"/>
              </w:rPr>
            </w:pPr>
          </w:p>
        </w:tc>
        <w:tc>
          <w:tcPr>
            <w:tcW w:w="2410" w:type="dxa"/>
            <w:vMerge w:val="continue"/>
            <w:vAlign w:val="center"/>
          </w:tcPr>
          <w:p>
            <w:pPr>
              <w:spacing w:line="500" w:lineRule="exact"/>
              <w:rPr>
                <w:rFonts w:hint="default" w:ascii="Times New Roman" w:hAnsi="Times New Roman" w:eastAsia="仿宋_GB2312" w:cs="Times New Roman"/>
                <w:sz w:val="24"/>
                <w:szCs w:val="24"/>
              </w:rPr>
            </w:pP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公开保障性住房分配政策、分配对象、分配房源、分配程序、分配过程、分配结果等信息</w:t>
            </w:r>
          </w:p>
        </w:tc>
        <w:tc>
          <w:tcPr>
            <w:tcW w:w="2268"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县房地产服务中心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606" w:type="dxa"/>
            <w:vMerge w:val="continue"/>
            <w:vAlign w:val="center"/>
          </w:tcPr>
          <w:p>
            <w:pPr>
              <w:spacing w:line="400" w:lineRule="exact"/>
              <w:rPr>
                <w:rFonts w:hint="default" w:ascii="Times New Roman" w:hAnsi="Times New Roman" w:eastAsia="仿宋_GB2312" w:cs="Times New Roman"/>
                <w:sz w:val="24"/>
                <w:szCs w:val="24"/>
              </w:rPr>
            </w:pPr>
          </w:p>
        </w:tc>
        <w:tc>
          <w:tcPr>
            <w:tcW w:w="2222" w:type="dxa"/>
            <w:vMerge w:val="restart"/>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脱贫攻坚</w:t>
            </w:r>
          </w:p>
        </w:tc>
        <w:tc>
          <w:tcPr>
            <w:tcW w:w="2410"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扶贫政策措施</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公开专项扶贫、行业扶贫、社会扶贫等相关政策措施、专项规划及其解读材料</w:t>
            </w:r>
          </w:p>
        </w:tc>
        <w:tc>
          <w:tcPr>
            <w:tcW w:w="2268" w:type="dxa"/>
            <w:vMerge w:val="restart"/>
            <w:vAlign w:val="center"/>
          </w:tcPr>
          <w:p>
            <w:pPr>
              <w:widowControl/>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606" w:type="dxa"/>
            <w:vMerge w:val="continue"/>
            <w:vAlign w:val="center"/>
          </w:tcPr>
          <w:p>
            <w:pPr>
              <w:spacing w:line="400" w:lineRule="exact"/>
              <w:rPr>
                <w:rFonts w:hint="default" w:ascii="Times New Roman" w:hAnsi="Times New Roman" w:eastAsia="仿宋_GB2312" w:cs="Times New Roman"/>
                <w:sz w:val="24"/>
                <w:szCs w:val="24"/>
              </w:rPr>
            </w:pPr>
          </w:p>
        </w:tc>
        <w:tc>
          <w:tcPr>
            <w:tcW w:w="2222" w:type="dxa"/>
            <w:vMerge w:val="continue"/>
            <w:vAlign w:val="center"/>
          </w:tcPr>
          <w:p>
            <w:pPr>
              <w:spacing w:line="500" w:lineRule="exact"/>
              <w:jc w:val="center"/>
              <w:rPr>
                <w:rFonts w:hint="default" w:ascii="Times New Roman" w:hAnsi="Times New Roman" w:eastAsia="仿宋_GB2312" w:cs="Times New Roman"/>
                <w:sz w:val="24"/>
                <w:szCs w:val="24"/>
              </w:rPr>
            </w:pPr>
          </w:p>
        </w:tc>
        <w:tc>
          <w:tcPr>
            <w:tcW w:w="2410"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扶贫资金项目</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公开年度扶贫资金项目计划安排、实施和完成情况</w:t>
            </w:r>
          </w:p>
        </w:tc>
        <w:tc>
          <w:tcPr>
            <w:tcW w:w="2268" w:type="dxa"/>
            <w:vMerge w:val="continue"/>
            <w:vAlign w:val="center"/>
          </w:tcPr>
          <w:p>
            <w:pPr>
              <w:widowControl/>
              <w:spacing w:line="40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400" w:lineRule="exact"/>
              <w:rPr>
                <w:rFonts w:hint="default" w:ascii="Times New Roman" w:hAnsi="Times New Roman" w:eastAsia="仿宋_GB2312" w:cs="Times New Roman"/>
                <w:sz w:val="24"/>
                <w:szCs w:val="24"/>
              </w:rPr>
            </w:pPr>
          </w:p>
        </w:tc>
        <w:tc>
          <w:tcPr>
            <w:tcW w:w="2222" w:type="dxa"/>
            <w:vMerge w:val="restart"/>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污染防治信息</w:t>
            </w:r>
          </w:p>
        </w:tc>
        <w:tc>
          <w:tcPr>
            <w:tcW w:w="2410"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空气质量状况</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按月发布环境空气质量状况</w:t>
            </w:r>
          </w:p>
        </w:tc>
        <w:tc>
          <w:tcPr>
            <w:tcW w:w="2268"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市生态环境局高青分局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400" w:lineRule="exact"/>
              <w:rPr>
                <w:rFonts w:hint="default" w:ascii="Times New Roman" w:hAnsi="Times New Roman" w:eastAsia="仿宋_GB2312" w:cs="Times New Roman"/>
                <w:sz w:val="24"/>
                <w:szCs w:val="24"/>
              </w:rPr>
            </w:pPr>
          </w:p>
        </w:tc>
        <w:tc>
          <w:tcPr>
            <w:tcW w:w="2222" w:type="dxa"/>
            <w:vMerge w:val="continue"/>
            <w:vAlign w:val="center"/>
          </w:tcPr>
          <w:p>
            <w:pPr>
              <w:spacing w:line="400" w:lineRule="exact"/>
              <w:rPr>
                <w:rFonts w:hint="default" w:ascii="Times New Roman" w:hAnsi="Times New Roman" w:eastAsia="仿宋_GB2312" w:cs="Times New Roman"/>
                <w:sz w:val="24"/>
                <w:szCs w:val="24"/>
              </w:rPr>
            </w:pPr>
          </w:p>
        </w:tc>
        <w:tc>
          <w:tcPr>
            <w:tcW w:w="2410" w:type="dxa"/>
            <w:vMerge w:val="restart"/>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饮水安全状况</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按季度向社会公开饮用水水源水质状况</w:t>
            </w:r>
          </w:p>
        </w:tc>
        <w:tc>
          <w:tcPr>
            <w:tcW w:w="2268"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市生态环境局高青分局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606" w:type="dxa"/>
            <w:vMerge w:val="continue"/>
            <w:vAlign w:val="center"/>
          </w:tcPr>
          <w:p>
            <w:pPr>
              <w:spacing w:line="400" w:lineRule="exact"/>
              <w:rPr>
                <w:rFonts w:hint="default" w:ascii="Times New Roman" w:hAnsi="Times New Roman" w:eastAsia="仿宋_GB2312" w:cs="Times New Roman"/>
                <w:sz w:val="24"/>
                <w:szCs w:val="24"/>
              </w:rPr>
            </w:pPr>
          </w:p>
        </w:tc>
        <w:tc>
          <w:tcPr>
            <w:tcW w:w="2222" w:type="dxa"/>
            <w:vMerge w:val="continue"/>
            <w:vAlign w:val="center"/>
          </w:tcPr>
          <w:p>
            <w:pPr>
              <w:spacing w:line="400" w:lineRule="exact"/>
              <w:rPr>
                <w:rFonts w:hint="default" w:ascii="Times New Roman" w:hAnsi="Times New Roman" w:eastAsia="仿宋_GB2312" w:cs="Times New Roman"/>
                <w:sz w:val="24"/>
                <w:szCs w:val="24"/>
              </w:rPr>
            </w:pPr>
          </w:p>
        </w:tc>
        <w:tc>
          <w:tcPr>
            <w:tcW w:w="2410" w:type="dxa"/>
            <w:vMerge w:val="continue"/>
            <w:vAlign w:val="center"/>
          </w:tcPr>
          <w:p>
            <w:pPr>
              <w:spacing w:line="400" w:lineRule="exact"/>
              <w:rPr>
                <w:rFonts w:hint="default" w:ascii="Times New Roman" w:hAnsi="Times New Roman" w:eastAsia="仿宋_GB2312" w:cs="Times New Roman"/>
                <w:sz w:val="24"/>
                <w:szCs w:val="24"/>
              </w:rPr>
            </w:pP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按季度向社会公开供水厂出水安全状况</w:t>
            </w:r>
          </w:p>
        </w:tc>
        <w:tc>
          <w:tcPr>
            <w:tcW w:w="2268"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606" w:type="dxa"/>
            <w:vMerge w:val="continue"/>
            <w:vAlign w:val="center"/>
          </w:tcPr>
          <w:p>
            <w:pPr>
              <w:spacing w:line="400" w:lineRule="exact"/>
              <w:rPr>
                <w:rFonts w:hint="default" w:ascii="Times New Roman" w:hAnsi="Times New Roman" w:eastAsia="仿宋_GB2312" w:cs="Times New Roman"/>
                <w:sz w:val="24"/>
                <w:szCs w:val="24"/>
              </w:rPr>
            </w:pPr>
          </w:p>
        </w:tc>
        <w:tc>
          <w:tcPr>
            <w:tcW w:w="2222" w:type="dxa"/>
            <w:vMerge w:val="continue"/>
            <w:vAlign w:val="center"/>
          </w:tcPr>
          <w:p>
            <w:pPr>
              <w:spacing w:line="400" w:lineRule="exact"/>
              <w:rPr>
                <w:rFonts w:hint="default" w:ascii="Times New Roman" w:hAnsi="Times New Roman" w:eastAsia="仿宋_GB2312" w:cs="Times New Roman"/>
                <w:sz w:val="24"/>
                <w:szCs w:val="24"/>
              </w:rPr>
            </w:pPr>
          </w:p>
        </w:tc>
        <w:tc>
          <w:tcPr>
            <w:tcW w:w="2410" w:type="dxa"/>
            <w:vMerge w:val="continue"/>
            <w:vAlign w:val="center"/>
          </w:tcPr>
          <w:p>
            <w:pPr>
              <w:spacing w:line="400" w:lineRule="exact"/>
              <w:rPr>
                <w:rFonts w:hint="default" w:ascii="Times New Roman" w:hAnsi="Times New Roman" w:eastAsia="仿宋_GB2312" w:cs="Times New Roman"/>
                <w:sz w:val="24"/>
                <w:szCs w:val="24"/>
              </w:rPr>
            </w:pP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按季度向社会公开用户水龙头水质状况</w:t>
            </w:r>
          </w:p>
        </w:tc>
        <w:tc>
          <w:tcPr>
            <w:tcW w:w="2268"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606" w:type="dxa"/>
            <w:vMerge w:val="continue"/>
            <w:vAlign w:val="center"/>
          </w:tcPr>
          <w:p>
            <w:pPr>
              <w:spacing w:line="400" w:lineRule="exact"/>
              <w:rPr>
                <w:rFonts w:hint="default" w:ascii="Times New Roman" w:hAnsi="Times New Roman" w:eastAsia="仿宋_GB2312" w:cs="Times New Roman"/>
                <w:sz w:val="24"/>
                <w:szCs w:val="24"/>
              </w:rPr>
            </w:pPr>
          </w:p>
        </w:tc>
        <w:tc>
          <w:tcPr>
            <w:tcW w:w="2222" w:type="dxa"/>
            <w:vMerge w:val="continue"/>
            <w:vAlign w:val="center"/>
          </w:tcPr>
          <w:p>
            <w:pPr>
              <w:spacing w:line="400" w:lineRule="exact"/>
              <w:rPr>
                <w:rFonts w:hint="default" w:ascii="Times New Roman" w:hAnsi="Times New Roman" w:eastAsia="仿宋_GB2312" w:cs="Times New Roman"/>
                <w:sz w:val="24"/>
                <w:szCs w:val="24"/>
              </w:rPr>
            </w:pPr>
          </w:p>
        </w:tc>
        <w:tc>
          <w:tcPr>
            <w:tcW w:w="2410" w:type="dxa"/>
            <w:vMerge w:val="restart"/>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建设项目环境影响评价</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及时公开环境影响评价文件受理情况、拟作出的审批意见、作出的审批决定等建设项目环境影响评价审批信息</w:t>
            </w:r>
          </w:p>
        </w:tc>
        <w:tc>
          <w:tcPr>
            <w:tcW w:w="2268"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市生态环境局高青分局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606" w:type="dxa"/>
            <w:vMerge w:val="continue"/>
            <w:vAlign w:val="center"/>
          </w:tcPr>
          <w:p>
            <w:pPr>
              <w:spacing w:line="400" w:lineRule="exact"/>
              <w:rPr>
                <w:rFonts w:hint="default" w:ascii="Times New Roman" w:hAnsi="Times New Roman" w:eastAsia="仿宋_GB2312" w:cs="Times New Roman"/>
                <w:sz w:val="24"/>
                <w:szCs w:val="24"/>
              </w:rPr>
            </w:pPr>
          </w:p>
        </w:tc>
        <w:tc>
          <w:tcPr>
            <w:tcW w:w="2222" w:type="dxa"/>
            <w:vMerge w:val="continue"/>
            <w:vAlign w:val="center"/>
          </w:tcPr>
          <w:p>
            <w:pPr>
              <w:spacing w:line="400" w:lineRule="exact"/>
              <w:rPr>
                <w:rFonts w:hint="default" w:ascii="Times New Roman" w:hAnsi="Times New Roman" w:eastAsia="仿宋_GB2312" w:cs="Times New Roman"/>
                <w:sz w:val="24"/>
                <w:szCs w:val="24"/>
              </w:rPr>
            </w:pPr>
          </w:p>
        </w:tc>
        <w:tc>
          <w:tcPr>
            <w:tcW w:w="2410" w:type="dxa"/>
            <w:vMerge w:val="continue"/>
            <w:vAlign w:val="center"/>
          </w:tcPr>
          <w:p>
            <w:pPr>
              <w:spacing w:line="400" w:lineRule="exact"/>
              <w:rPr>
                <w:rFonts w:hint="default" w:ascii="Times New Roman" w:hAnsi="Times New Roman" w:eastAsia="仿宋_GB2312" w:cs="Times New Roman"/>
                <w:sz w:val="24"/>
                <w:szCs w:val="24"/>
              </w:rPr>
            </w:pP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及时公开竣工环境保护验收申请受理情况、拟作出的验收意见、作出的验收决定等建设项目竣工环境保护验收信息</w:t>
            </w:r>
          </w:p>
        </w:tc>
        <w:tc>
          <w:tcPr>
            <w:tcW w:w="2268"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市生态环境局高青分局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restart"/>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重点领域信息公开</w:t>
            </w:r>
          </w:p>
        </w:tc>
        <w:tc>
          <w:tcPr>
            <w:tcW w:w="2222" w:type="dxa"/>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污染防治信息</w:t>
            </w:r>
          </w:p>
        </w:tc>
        <w:tc>
          <w:tcPr>
            <w:tcW w:w="2410"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企业事业单位环境信息</w:t>
            </w:r>
          </w:p>
        </w:tc>
        <w:tc>
          <w:tcPr>
            <w:tcW w:w="6379"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是否于3月底前公开本行政区域内重点排污单位名录</w:t>
            </w:r>
          </w:p>
        </w:tc>
        <w:tc>
          <w:tcPr>
            <w:tcW w:w="2268"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市生态环境局高青分局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606" w:type="dxa"/>
            <w:vMerge w:val="continue"/>
            <w:vAlign w:val="center"/>
          </w:tcPr>
          <w:p>
            <w:pPr>
              <w:spacing w:line="460" w:lineRule="exact"/>
              <w:rPr>
                <w:rFonts w:hint="default" w:ascii="Times New Roman" w:hAnsi="Times New Roman" w:eastAsia="仿宋_GB2312" w:cs="Times New Roman"/>
                <w:sz w:val="24"/>
                <w:szCs w:val="24"/>
              </w:rPr>
            </w:pPr>
          </w:p>
        </w:tc>
        <w:tc>
          <w:tcPr>
            <w:tcW w:w="2222" w:type="dxa"/>
            <w:vMerge w:val="restart"/>
            <w:vAlign w:val="center"/>
          </w:tcPr>
          <w:p>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防范化解重大风险</w:t>
            </w:r>
          </w:p>
        </w:tc>
        <w:tc>
          <w:tcPr>
            <w:tcW w:w="2410"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政策措施及解读</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及时公开继续创新和完善宏观调控、着力缓解企业融资难融资贵问题、加快推进金融改革开放、稳妥处理地方政府债务风险等相关政策措施及解读信息</w:t>
            </w:r>
          </w:p>
        </w:tc>
        <w:tc>
          <w:tcPr>
            <w:tcW w:w="2268"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县财政局、县金融证券服务中心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606" w:type="dxa"/>
            <w:vMerge w:val="continue"/>
            <w:vAlign w:val="center"/>
          </w:tcPr>
          <w:p>
            <w:pPr>
              <w:spacing w:line="460" w:lineRule="exact"/>
              <w:rPr>
                <w:rFonts w:hint="default" w:ascii="Times New Roman" w:hAnsi="Times New Roman" w:eastAsia="仿宋_GB2312" w:cs="Times New Roman"/>
                <w:sz w:val="24"/>
                <w:szCs w:val="24"/>
              </w:rPr>
            </w:pPr>
          </w:p>
        </w:tc>
        <w:tc>
          <w:tcPr>
            <w:tcW w:w="2222" w:type="dxa"/>
            <w:vMerge w:val="continue"/>
            <w:vAlign w:val="center"/>
          </w:tcPr>
          <w:p>
            <w:pPr>
              <w:spacing w:line="400" w:lineRule="exact"/>
              <w:jc w:val="center"/>
              <w:rPr>
                <w:rFonts w:hint="default" w:ascii="Times New Roman" w:hAnsi="Times New Roman" w:eastAsia="仿宋_GB2312" w:cs="Times New Roman"/>
                <w:sz w:val="24"/>
                <w:szCs w:val="24"/>
              </w:rPr>
            </w:pPr>
          </w:p>
        </w:tc>
        <w:tc>
          <w:tcPr>
            <w:tcW w:w="2410"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工作动态</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公开金融风险防控、安全生产风险防控、扫黑除恶专项斗争、城乡社区治理和服务、应急管理体制机制建设、自然灾害防治等领域工作动态情况</w:t>
            </w:r>
          </w:p>
        </w:tc>
        <w:tc>
          <w:tcPr>
            <w:tcW w:w="2268"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县公安局、县应急局、县金融证券服务中心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606" w:type="dxa"/>
            <w:vMerge w:val="continue"/>
            <w:vAlign w:val="center"/>
          </w:tcPr>
          <w:p>
            <w:pPr>
              <w:spacing w:line="460" w:lineRule="exact"/>
              <w:rPr>
                <w:rFonts w:hint="default" w:ascii="Times New Roman" w:hAnsi="Times New Roman" w:eastAsia="仿宋_GB2312" w:cs="Times New Roman"/>
                <w:sz w:val="24"/>
                <w:szCs w:val="24"/>
              </w:rPr>
            </w:pPr>
          </w:p>
        </w:tc>
        <w:tc>
          <w:tcPr>
            <w:tcW w:w="2222" w:type="dxa"/>
            <w:vMerge w:val="restart"/>
            <w:vAlign w:val="center"/>
          </w:tcPr>
          <w:p>
            <w:pPr>
              <w:spacing w:line="4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社会救助</w:t>
            </w:r>
          </w:p>
        </w:tc>
        <w:tc>
          <w:tcPr>
            <w:tcW w:w="2410"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救助标准</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及时公开城乡低保、特困人员救助供养、医疗救助、临时救助的救助对象认定、救助标准</w:t>
            </w:r>
          </w:p>
        </w:tc>
        <w:tc>
          <w:tcPr>
            <w:tcW w:w="2268" w:type="dxa"/>
            <w:vMerge w:val="restart"/>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县民政局、市医疗保障局高青分局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606" w:type="dxa"/>
            <w:vMerge w:val="continue"/>
            <w:vAlign w:val="center"/>
          </w:tcPr>
          <w:p>
            <w:pPr>
              <w:spacing w:line="460" w:lineRule="exact"/>
              <w:rPr>
                <w:rFonts w:hint="default" w:ascii="Times New Roman" w:hAnsi="Times New Roman" w:eastAsia="仿宋_GB2312" w:cs="Times New Roman"/>
                <w:sz w:val="24"/>
                <w:szCs w:val="24"/>
              </w:rPr>
            </w:pPr>
          </w:p>
        </w:tc>
        <w:tc>
          <w:tcPr>
            <w:tcW w:w="2222" w:type="dxa"/>
            <w:vMerge w:val="continue"/>
            <w:vAlign w:val="center"/>
          </w:tcPr>
          <w:p>
            <w:pPr>
              <w:spacing w:line="460" w:lineRule="exact"/>
              <w:jc w:val="center"/>
              <w:rPr>
                <w:rFonts w:hint="default" w:ascii="Times New Roman" w:hAnsi="Times New Roman" w:eastAsia="仿宋_GB2312" w:cs="Times New Roman"/>
                <w:sz w:val="24"/>
                <w:szCs w:val="24"/>
              </w:rPr>
            </w:pPr>
          </w:p>
        </w:tc>
        <w:tc>
          <w:tcPr>
            <w:tcW w:w="2410"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申报指南</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公开城乡低保、特困人员救助供养、医疗救助、临时救助的申报指南</w:t>
            </w:r>
          </w:p>
        </w:tc>
        <w:tc>
          <w:tcPr>
            <w:tcW w:w="2268" w:type="dxa"/>
            <w:vMerge w:val="continue"/>
            <w:vAlign w:val="center"/>
          </w:tcPr>
          <w:p>
            <w:pPr>
              <w:spacing w:line="46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606" w:type="dxa"/>
            <w:vMerge w:val="continue"/>
            <w:vAlign w:val="center"/>
          </w:tcPr>
          <w:p>
            <w:pPr>
              <w:spacing w:line="460" w:lineRule="exact"/>
              <w:rPr>
                <w:rFonts w:hint="default" w:ascii="Times New Roman" w:hAnsi="Times New Roman" w:eastAsia="仿宋_GB2312" w:cs="Times New Roman"/>
                <w:sz w:val="24"/>
                <w:szCs w:val="24"/>
              </w:rPr>
            </w:pPr>
          </w:p>
        </w:tc>
        <w:tc>
          <w:tcPr>
            <w:tcW w:w="2222" w:type="dxa"/>
            <w:vMerge w:val="continue"/>
            <w:vAlign w:val="center"/>
          </w:tcPr>
          <w:p>
            <w:pPr>
              <w:spacing w:line="460" w:lineRule="exact"/>
              <w:jc w:val="center"/>
              <w:rPr>
                <w:rFonts w:hint="default" w:ascii="Times New Roman" w:hAnsi="Times New Roman" w:eastAsia="仿宋_GB2312" w:cs="Times New Roman"/>
                <w:sz w:val="24"/>
                <w:szCs w:val="24"/>
              </w:rPr>
            </w:pPr>
          </w:p>
        </w:tc>
        <w:tc>
          <w:tcPr>
            <w:tcW w:w="2410"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人数和资金支出情况</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公开城乡低保、特困人员救助供养、医疗救助、临时救助的救助人次数、资金支出情况等基本数据</w:t>
            </w:r>
          </w:p>
        </w:tc>
        <w:tc>
          <w:tcPr>
            <w:tcW w:w="2268" w:type="dxa"/>
            <w:vMerge w:val="continue"/>
            <w:vAlign w:val="center"/>
          </w:tcPr>
          <w:p>
            <w:pPr>
              <w:spacing w:line="46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606" w:type="dxa"/>
            <w:vMerge w:val="continue"/>
            <w:vAlign w:val="center"/>
          </w:tcPr>
          <w:p>
            <w:pPr>
              <w:spacing w:line="460" w:lineRule="exact"/>
              <w:rPr>
                <w:rFonts w:hint="default" w:ascii="Times New Roman" w:hAnsi="Times New Roman" w:eastAsia="仿宋_GB2312" w:cs="Times New Roman"/>
                <w:sz w:val="24"/>
                <w:szCs w:val="24"/>
              </w:rPr>
            </w:pPr>
          </w:p>
        </w:tc>
        <w:tc>
          <w:tcPr>
            <w:tcW w:w="2222" w:type="dxa"/>
            <w:vMerge w:val="restart"/>
            <w:vAlign w:val="center"/>
          </w:tcPr>
          <w:p>
            <w:pPr>
              <w:spacing w:line="4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社会福利</w:t>
            </w:r>
          </w:p>
        </w:tc>
        <w:tc>
          <w:tcPr>
            <w:tcW w:w="2410"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补贴标准</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公开老年人福利、残疾人福利、儿童福利等福利补贴对象认定条件、申领范围、补贴标准及申请审批程序等相关政策</w:t>
            </w:r>
          </w:p>
        </w:tc>
        <w:tc>
          <w:tcPr>
            <w:tcW w:w="2268" w:type="dxa"/>
            <w:vMerge w:val="restart"/>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县民政局、县卫健局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606" w:type="dxa"/>
            <w:vMerge w:val="continue"/>
            <w:vAlign w:val="center"/>
          </w:tcPr>
          <w:p>
            <w:pPr>
              <w:spacing w:line="460" w:lineRule="exact"/>
              <w:rPr>
                <w:rFonts w:hint="default" w:ascii="Times New Roman" w:hAnsi="Times New Roman" w:eastAsia="仿宋_GB2312" w:cs="Times New Roman"/>
                <w:sz w:val="24"/>
                <w:szCs w:val="24"/>
              </w:rPr>
            </w:pPr>
          </w:p>
        </w:tc>
        <w:tc>
          <w:tcPr>
            <w:tcW w:w="2222" w:type="dxa"/>
            <w:vMerge w:val="continue"/>
            <w:vAlign w:val="center"/>
          </w:tcPr>
          <w:p>
            <w:pPr>
              <w:spacing w:line="460" w:lineRule="exact"/>
              <w:rPr>
                <w:rFonts w:hint="default" w:ascii="Times New Roman" w:hAnsi="Times New Roman" w:eastAsia="仿宋_GB2312" w:cs="Times New Roman"/>
                <w:sz w:val="24"/>
                <w:szCs w:val="24"/>
              </w:rPr>
            </w:pPr>
          </w:p>
        </w:tc>
        <w:tc>
          <w:tcPr>
            <w:tcW w:w="2410"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发放情况</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及时公开救助款物的管理使用、福利补贴发放等情况</w:t>
            </w:r>
          </w:p>
        </w:tc>
        <w:tc>
          <w:tcPr>
            <w:tcW w:w="2268" w:type="dxa"/>
            <w:vMerge w:val="continue"/>
            <w:vAlign w:val="center"/>
          </w:tcPr>
          <w:p>
            <w:pPr>
              <w:spacing w:line="46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restart"/>
            <w:vAlign w:val="center"/>
          </w:tcPr>
          <w:p>
            <w:pPr>
              <w:spacing w:line="4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重点领域信息公开</w:t>
            </w:r>
          </w:p>
        </w:tc>
        <w:tc>
          <w:tcPr>
            <w:tcW w:w="2222" w:type="dxa"/>
            <w:vMerge w:val="restart"/>
            <w:vAlign w:val="center"/>
          </w:tcPr>
          <w:p>
            <w:pPr>
              <w:spacing w:line="4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就业和社会保障</w:t>
            </w:r>
          </w:p>
        </w:tc>
        <w:tc>
          <w:tcPr>
            <w:tcW w:w="2410" w:type="dxa"/>
            <w:vMerge w:val="restart"/>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社会保险</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公开现行有效的社会保险法规、制度、政策、标准、经办流程以及调整社会保险费的政策措施</w:t>
            </w:r>
          </w:p>
        </w:tc>
        <w:tc>
          <w:tcPr>
            <w:tcW w:w="2268" w:type="dxa"/>
            <w:vMerge w:val="restart"/>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县人社局、市医疗保障局高青分局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480" w:lineRule="exact"/>
              <w:rPr>
                <w:rFonts w:hint="default" w:ascii="Times New Roman" w:hAnsi="Times New Roman" w:eastAsia="仿宋_GB2312" w:cs="Times New Roman"/>
                <w:sz w:val="24"/>
                <w:szCs w:val="24"/>
              </w:rPr>
            </w:pPr>
          </w:p>
        </w:tc>
        <w:tc>
          <w:tcPr>
            <w:tcW w:w="2222" w:type="dxa"/>
            <w:vMerge w:val="continue"/>
            <w:vAlign w:val="center"/>
          </w:tcPr>
          <w:p>
            <w:pPr>
              <w:spacing w:line="460" w:lineRule="exact"/>
              <w:jc w:val="center"/>
              <w:rPr>
                <w:rFonts w:hint="default" w:ascii="Times New Roman" w:hAnsi="Times New Roman" w:eastAsia="仿宋_GB2312" w:cs="Times New Roman"/>
                <w:sz w:val="24"/>
                <w:szCs w:val="24"/>
              </w:rPr>
            </w:pPr>
          </w:p>
        </w:tc>
        <w:tc>
          <w:tcPr>
            <w:tcW w:w="2410" w:type="dxa"/>
            <w:vMerge w:val="continue"/>
            <w:vAlign w:val="center"/>
          </w:tcPr>
          <w:p>
            <w:pPr>
              <w:spacing w:line="460" w:lineRule="exact"/>
              <w:rPr>
                <w:rFonts w:hint="default" w:ascii="Times New Roman" w:hAnsi="Times New Roman" w:eastAsia="仿宋_GB2312" w:cs="Times New Roman"/>
                <w:sz w:val="24"/>
                <w:szCs w:val="24"/>
              </w:rPr>
            </w:pP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定期公开参保人数、待遇支付、基金收支情况</w:t>
            </w:r>
          </w:p>
        </w:tc>
        <w:tc>
          <w:tcPr>
            <w:tcW w:w="2268" w:type="dxa"/>
            <w:vMerge w:val="continue"/>
            <w:vAlign w:val="center"/>
          </w:tcPr>
          <w:p>
            <w:pPr>
              <w:spacing w:line="46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480" w:lineRule="exact"/>
              <w:rPr>
                <w:rFonts w:hint="default" w:ascii="Times New Roman" w:hAnsi="Times New Roman" w:eastAsia="仿宋_GB2312" w:cs="Times New Roman"/>
                <w:sz w:val="24"/>
                <w:szCs w:val="24"/>
              </w:rPr>
            </w:pPr>
          </w:p>
        </w:tc>
        <w:tc>
          <w:tcPr>
            <w:tcW w:w="2222" w:type="dxa"/>
            <w:vMerge w:val="continue"/>
            <w:vAlign w:val="center"/>
          </w:tcPr>
          <w:p>
            <w:pPr>
              <w:spacing w:line="460" w:lineRule="exact"/>
              <w:jc w:val="center"/>
              <w:rPr>
                <w:rFonts w:hint="default" w:ascii="Times New Roman" w:hAnsi="Times New Roman" w:eastAsia="仿宋_GB2312" w:cs="Times New Roman"/>
                <w:sz w:val="24"/>
                <w:szCs w:val="24"/>
              </w:rPr>
            </w:pPr>
          </w:p>
        </w:tc>
        <w:tc>
          <w:tcPr>
            <w:tcW w:w="2410" w:type="dxa"/>
            <w:vMerge w:val="continue"/>
            <w:vAlign w:val="center"/>
          </w:tcPr>
          <w:p>
            <w:pPr>
              <w:spacing w:line="460" w:lineRule="exact"/>
              <w:rPr>
                <w:rFonts w:hint="default" w:ascii="Times New Roman" w:hAnsi="Times New Roman" w:eastAsia="仿宋_GB2312" w:cs="Times New Roman"/>
                <w:sz w:val="24"/>
                <w:szCs w:val="24"/>
              </w:rPr>
            </w:pP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及时发布医保定点医院、药店及药品、诊疗项目目录等</w:t>
            </w:r>
          </w:p>
        </w:tc>
        <w:tc>
          <w:tcPr>
            <w:tcW w:w="2268"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市医疗保障局高青分局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606" w:type="dxa"/>
            <w:vMerge w:val="continue"/>
            <w:vAlign w:val="center"/>
          </w:tcPr>
          <w:p>
            <w:pPr>
              <w:spacing w:line="480" w:lineRule="exact"/>
              <w:rPr>
                <w:rFonts w:hint="default" w:ascii="Times New Roman" w:hAnsi="Times New Roman" w:eastAsia="仿宋_GB2312" w:cs="Times New Roman"/>
                <w:sz w:val="24"/>
                <w:szCs w:val="24"/>
              </w:rPr>
            </w:pPr>
          </w:p>
        </w:tc>
        <w:tc>
          <w:tcPr>
            <w:tcW w:w="2222" w:type="dxa"/>
            <w:vMerge w:val="continue"/>
            <w:vAlign w:val="center"/>
          </w:tcPr>
          <w:p>
            <w:pPr>
              <w:spacing w:line="460" w:lineRule="exact"/>
              <w:jc w:val="center"/>
              <w:rPr>
                <w:rFonts w:hint="default" w:ascii="Times New Roman" w:hAnsi="Times New Roman" w:eastAsia="仿宋_GB2312" w:cs="Times New Roman"/>
                <w:sz w:val="24"/>
                <w:szCs w:val="24"/>
              </w:rPr>
            </w:pPr>
          </w:p>
        </w:tc>
        <w:tc>
          <w:tcPr>
            <w:tcW w:w="2410"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就业创业</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及时公开优惠扶持政策的实施范围、各项补贴政策的申领条件和程序、各项补贴的管理和审批情况</w:t>
            </w:r>
          </w:p>
        </w:tc>
        <w:tc>
          <w:tcPr>
            <w:tcW w:w="2268"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606" w:type="dxa"/>
            <w:vMerge w:val="continue"/>
            <w:vAlign w:val="center"/>
          </w:tcPr>
          <w:p>
            <w:pPr>
              <w:spacing w:line="480" w:lineRule="exact"/>
              <w:rPr>
                <w:rFonts w:hint="default" w:ascii="Times New Roman" w:hAnsi="Times New Roman" w:eastAsia="仿宋_GB2312" w:cs="Times New Roman"/>
                <w:sz w:val="24"/>
                <w:szCs w:val="24"/>
              </w:rPr>
            </w:pPr>
          </w:p>
        </w:tc>
        <w:tc>
          <w:tcPr>
            <w:tcW w:w="2222" w:type="dxa"/>
            <w:vMerge w:val="restart"/>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教   育</w:t>
            </w:r>
          </w:p>
        </w:tc>
        <w:tc>
          <w:tcPr>
            <w:tcW w:w="2410" w:type="dxa"/>
            <w:vMerge w:val="restart"/>
            <w:vAlign w:val="center"/>
          </w:tcPr>
          <w:p>
            <w:pPr>
              <w:spacing w:line="4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学前教育</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公布本行政区域幼儿园布局建设规划</w:t>
            </w:r>
          </w:p>
        </w:tc>
        <w:tc>
          <w:tcPr>
            <w:tcW w:w="2268" w:type="dxa"/>
            <w:vMerge w:val="restart"/>
            <w:vAlign w:val="center"/>
          </w:tcPr>
          <w:p>
            <w:pPr>
              <w:spacing w:line="4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480" w:lineRule="exact"/>
              <w:rPr>
                <w:rFonts w:hint="default" w:ascii="Times New Roman" w:hAnsi="Times New Roman" w:eastAsia="仿宋_GB2312" w:cs="Times New Roman"/>
                <w:sz w:val="24"/>
                <w:szCs w:val="24"/>
              </w:rPr>
            </w:pPr>
          </w:p>
        </w:tc>
        <w:tc>
          <w:tcPr>
            <w:tcW w:w="2222" w:type="dxa"/>
            <w:vMerge w:val="continue"/>
            <w:vAlign w:val="center"/>
          </w:tcPr>
          <w:p>
            <w:pPr>
              <w:spacing w:line="480" w:lineRule="exact"/>
              <w:rPr>
                <w:rFonts w:hint="default" w:ascii="Times New Roman" w:hAnsi="Times New Roman" w:eastAsia="仿宋_GB2312" w:cs="Times New Roman"/>
                <w:sz w:val="24"/>
                <w:szCs w:val="24"/>
              </w:rPr>
            </w:pPr>
          </w:p>
        </w:tc>
        <w:tc>
          <w:tcPr>
            <w:tcW w:w="2410" w:type="dxa"/>
            <w:vMerge w:val="continue"/>
            <w:vAlign w:val="center"/>
          </w:tcPr>
          <w:p>
            <w:pPr>
              <w:spacing w:line="480" w:lineRule="exact"/>
              <w:rPr>
                <w:rFonts w:hint="default" w:ascii="Times New Roman" w:hAnsi="Times New Roman" w:eastAsia="仿宋_GB2312" w:cs="Times New Roman"/>
                <w:sz w:val="24"/>
                <w:szCs w:val="24"/>
              </w:rPr>
            </w:pP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公布本区县内公办幼儿园和认定通过的普惠性民办幼儿园名单</w:t>
            </w:r>
          </w:p>
        </w:tc>
        <w:tc>
          <w:tcPr>
            <w:tcW w:w="2268" w:type="dxa"/>
            <w:vMerge w:val="continue"/>
            <w:vAlign w:val="center"/>
          </w:tcPr>
          <w:p>
            <w:pPr>
              <w:spacing w:line="48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480" w:lineRule="exact"/>
              <w:rPr>
                <w:rFonts w:hint="default" w:ascii="Times New Roman" w:hAnsi="Times New Roman" w:eastAsia="仿宋_GB2312" w:cs="Times New Roman"/>
                <w:sz w:val="24"/>
                <w:szCs w:val="24"/>
              </w:rPr>
            </w:pPr>
          </w:p>
        </w:tc>
        <w:tc>
          <w:tcPr>
            <w:tcW w:w="2222" w:type="dxa"/>
            <w:vMerge w:val="continue"/>
            <w:vAlign w:val="center"/>
          </w:tcPr>
          <w:p>
            <w:pPr>
              <w:spacing w:line="480" w:lineRule="exact"/>
              <w:rPr>
                <w:rFonts w:hint="default" w:ascii="Times New Roman" w:hAnsi="Times New Roman" w:eastAsia="仿宋_GB2312" w:cs="Times New Roman"/>
                <w:sz w:val="24"/>
                <w:szCs w:val="24"/>
              </w:rPr>
            </w:pPr>
          </w:p>
        </w:tc>
        <w:tc>
          <w:tcPr>
            <w:tcW w:w="2410" w:type="dxa"/>
            <w:vMerge w:val="continue"/>
            <w:vAlign w:val="center"/>
          </w:tcPr>
          <w:p>
            <w:pPr>
              <w:spacing w:line="480" w:lineRule="exact"/>
              <w:rPr>
                <w:rFonts w:hint="default" w:ascii="Times New Roman" w:hAnsi="Times New Roman" w:eastAsia="仿宋_GB2312" w:cs="Times New Roman"/>
                <w:sz w:val="24"/>
                <w:szCs w:val="24"/>
              </w:rPr>
            </w:pP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公布本行政区域内幼儿园办园评估结果，包括省级示范、一类、二类、三类幼儿园具体情况</w:t>
            </w:r>
          </w:p>
        </w:tc>
        <w:tc>
          <w:tcPr>
            <w:tcW w:w="2268" w:type="dxa"/>
            <w:vMerge w:val="continue"/>
            <w:vAlign w:val="center"/>
          </w:tcPr>
          <w:p>
            <w:pPr>
              <w:spacing w:line="48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480" w:lineRule="exact"/>
              <w:rPr>
                <w:rFonts w:hint="default" w:ascii="Times New Roman" w:hAnsi="Times New Roman" w:eastAsia="仿宋_GB2312" w:cs="Times New Roman"/>
                <w:sz w:val="24"/>
                <w:szCs w:val="24"/>
              </w:rPr>
            </w:pPr>
          </w:p>
        </w:tc>
        <w:tc>
          <w:tcPr>
            <w:tcW w:w="2222" w:type="dxa"/>
            <w:vMerge w:val="continue"/>
            <w:vAlign w:val="center"/>
          </w:tcPr>
          <w:p>
            <w:pPr>
              <w:spacing w:line="480" w:lineRule="exact"/>
              <w:rPr>
                <w:rFonts w:hint="default" w:ascii="Times New Roman" w:hAnsi="Times New Roman" w:eastAsia="仿宋_GB2312" w:cs="Times New Roman"/>
                <w:sz w:val="24"/>
                <w:szCs w:val="24"/>
              </w:rPr>
            </w:pPr>
          </w:p>
        </w:tc>
        <w:tc>
          <w:tcPr>
            <w:tcW w:w="2410" w:type="dxa"/>
            <w:vMerge w:val="restart"/>
            <w:vAlign w:val="center"/>
          </w:tcPr>
          <w:p>
            <w:pPr>
              <w:spacing w:line="4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义务教育</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公开本地区义务教育学校名录，包括学校名称、学校地址、办学层次、办学类型、办公电话等信息</w:t>
            </w:r>
          </w:p>
        </w:tc>
        <w:tc>
          <w:tcPr>
            <w:tcW w:w="2268" w:type="dxa"/>
            <w:vMerge w:val="continue"/>
            <w:vAlign w:val="center"/>
          </w:tcPr>
          <w:p>
            <w:pPr>
              <w:spacing w:line="48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480" w:lineRule="exact"/>
              <w:rPr>
                <w:rFonts w:hint="default" w:ascii="Times New Roman" w:hAnsi="Times New Roman" w:eastAsia="仿宋_GB2312" w:cs="Times New Roman"/>
                <w:sz w:val="24"/>
                <w:szCs w:val="24"/>
              </w:rPr>
            </w:pPr>
          </w:p>
        </w:tc>
        <w:tc>
          <w:tcPr>
            <w:tcW w:w="2222" w:type="dxa"/>
            <w:vMerge w:val="continue"/>
            <w:vAlign w:val="center"/>
          </w:tcPr>
          <w:p>
            <w:pPr>
              <w:spacing w:line="480" w:lineRule="exact"/>
              <w:rPr>
                <w:rFonts w:hint="default" w:ascii="Times New Roman" w:hAnsi="Times New Roman" w:eastAsia="仿宋_GB2312" w:cs="Times New Roman"/>
                <w:sz w:val="24"/>
                <w:szCs w:val="24"/>
              </w:rPr>
            </w:pPr>
          </w:p>
        </w:tc>
        <w:tc>
          <w:tcPr>
            <w:tcW w:w="2410" w:type="dxa"/>
            <w:vMerge w:val="continue"/>
            <w:vAlign w:val="center"/>
          </w:tcPr>
          <w:p>
            <w:pPr>
              <w:spacing w:line="480" w:lineRule="exact"/>
              <w:rPr>
                <w:rFonts w:hint="default" w:ascii="Times New Roman" w:hAnsi="Times New Roman" w:eastAsia="仿宋_GB2312" w:cs="Times New Roman"/>
                <w:sz w:val="24"/>
                <w:szCs w:val="24"/>
              </w:rPr>
            </w:pP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及时公开义务教育招生方案、招生范围、招生程序、报名条件、学校情况、咨询方式等信息</w:t>
            </w:r>
          </w:p>
        </w:tc>
        <w:tc>
          <w:tcPr>
            <w:tcW w:w="2268" w:type="dxa"/>
            <w:vMerge w:val="continue"/>
            <w:vAlign w:val="center"/>
          </w:tcPr>
          <w:p>
            <w:pPr>
              <w:spacing w:line="48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480" w:lineRule="exact"/>
              <w:rPr>
                <w:rFonts w:hint="default" w:ascii="Times New Roman" w:hAnsi="Times New Roman" w:eastAsia="仿宋_GB2312" w:cs="Times New Roman"/>
                <w:sz w:val="24"/>
                <w:szCs w:val="24"/>
              </w:rPr>
            </w:pPr>
          </w:p>
        </w:tc>
        <w:tc>
          <w:tcPr>
            <w:tcW w:w="2222" w:type="dxa"/>
            <w:vMerge w:val="continue"/>
            <w:vAlign w:val="center"/>
          </w:tcPr>
          <w:p>
            <w:pPr>
              <w:spacing w:line="480" w:lineRule="exact"/>
              <w:rPr>
                <w:rFonts w:hint="default" w:ascii="Times New Roman" w:hAnsi="Times New Roman" w:eastAsia="仿宋_GB2312" w:cs="Times New Roman"/>
                <w:sz w:val="24"/>
                <w:szCs w:val="24"/>
              </w:rPr>
            </w:pPr>
          </w:p>
        </w:tc>
        <w:tc>
          <w:tcPr>
            <w:tcW w:w="2410" w:type="dxa"/>
            <w:vMerge w:val="continue"/>
            <w:vAlign w:val="center"/>
          </w:tcPr>
          <w:p>
            <w:pPr>
              <w:spacing w:line="480" w:lineRule="exact"/>
              <w:rPr>
                <w:rFonts w:hint="default" w:ascii="Times New Roman" w:hAnsi="Times New Roman" w:eastAsia="仿宋_GB2312" w:cs="Times New Roman"/>
                <w:sz w:val="24"/>
                <w:szCs w:val="24"/>
              </w:rPr>
            </w:pP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在招生工作结束后及时公开招生结果</w:t>
            </w:r>
          </w:p>
        </w:tc>
        <w:tc>
          <w:tcPr>
            <w:tcW w:w="2268" w:type="dxa"/>
            <w:vMerge w:val="continue"/>
            <w:vAlign w:val="center"/>
          </w:tcPr>
          <w:p>
            <w:pPr>
              <w:spacing w:line="48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480" w:lineRule="exact"/>
              <w:rPr>
                <w:rFonts w:hint="default" w:ascii="Times New Roman" w:hAnsi="Times New Roman" w:eastAsia="仿宋_GB2312" w:cs="Times New Roman"/>
                <w:sz w:val="24"/>
                <w:szCs w:val="24"/>
              </w:rPr>
            </w:pPr>
          </w:p>
        </w:tc>
        <w:tc>
          <w:tcPr>
            <w:tcW w:w="2222" w:type="dxa"/>
            <w:vMerge w:val="continue"/>
            <w:vAlign w:val="center"/>
          </w:tcPr>
          <w:p>
            <w:pPr>
              <w:spacing w:line="480" w:lineRule="exact"/>
              <w:rPr>
                <w:rFonts w:hint="default" w:ascii="Times New Roman" w:hAnsi="Times New Roman" w:eastAsia="仿宋_GB2312" w:cs="Times New Roman"/>
                <w:sz w:val="24"/>
                <w:szCs w:val="24"/>
              </w:rPr>
            </w:pPr>
          </w:p>
        </w:tc>
        <w:tc>
          <w:tcPr>
            <w:tcW w:w="2410" w:type="dxa"/>
            <w:vAlign w:val="center"/>
          </w:tcPr>
          <w:p>
            <w:pPr>
              <w:spacing w:line="4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职业教育</w:t>
            </w:r>
          </w:p>
        </w:tc>
        <w:tc>
          <w:tcPr>
            <w:tcW w:w="6379" w:type="dxa"/>
            <w:vAlign w:val="center"/>
          </w:tcPr>
          <w:p>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公开职业教育基本信息</w:t>
            </w:r>
          </w:p>
        </w:tc>
        <w:tc>
          <w:tcPr>
            <w:tcW w:w="2268" w:type="dxa"/>
            <w:vMerge w:val="continue"/>
            <w:vAlign w:val="center"/>
          </w:tcPr>
          <w:p>
            <w:pPr>
              <w:spacing w:line="48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606" w:type="dxa"/>
            <w:vMerge w:val="restart"/>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重点领域信息公开</w:t>
            </w:r>
          </w:p>
        </w:tc>
        <w:tc>
          <w:tcPr>
            <w:tcW w:w="2222" w:type="dxa"/>
            <w:vMerge w:val="restart"/>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医疗健康</w:t>
            </w:r>
          </w:p>
        </w:tc>
        <w:tc>
          <w:tcPr>
            <w:tcW w:w="2410" w:type="dxa"/>
            <w:vAlign w:val="center"/>
          </w:tcPr>
          <w:p>
            <w:pPr>
              <w:spacing w:line="4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基本公共卫生服务</w:t>
            </w:r>
          </w:p>
        </w:tc>
        <w:tc>
          <w:tcPr>
            <w:tcW w:w="6379" w:type="dxa"/>
            <w:vAlign w:val="center"/>
          </w:tcPr>
          <w:p>
            <w:pPr>
              <w:spacing w:line="4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及时公开本行政区域内基本公共卫生服务项目承担机构名录</w:t>
            </w:r>
          </w:p>
        </w:tc>
        <w:tc>
          <w:tcPr>
            <w:tcW w:w="2268" w:type="dxa"/>
            <w:vAlign w:val="center"/>
          </w:tcPr>
          <w:p>
            <w:pPr>
              <w:spacing w:line="4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606" w:type="dxa"/>
            <w:vMerge w:val="continue"/>
            <w:vAlign w:val="center"/>
          </w:tcPr>
          <w:p>
            <w:pPr>
              <w:spacing w:line="440" w:lineRule="exact"/>
              <w:rPr>
                <w:rFonts w:hint="default" w:ascii="Times New Roman" w:hAnsi="Times New Roman" w:eastAsia="仿宋_GB2312" w:cs="Times New Roman"/>
                <w:sz w:val="24"/>
                <w:szCs w:val="24"/>
              </w:rPr>
            </w:pPr>
          </w:p>
        </w:tc>
        <w:tc>
          <w:tcPr>
            <w:tcW w:w="2222" w:type="dxa"/>
            <w:vMerge w:val="continue"/>
            <w:vAlign w:val="center"/>
          </w:tcPr>
          <w:p>
            <w:pPr>
              <w:spacing w:line="480" w:lineRule="exact"/>
              <w:jc w:val="center"/>
              <w:rPr>
                <w:rFonts w:hint="default" w:ascii="Times New Roman" w:hAnsi="Times New Roman" w:eastAsia="仿宋_GB2312" w:cs="Times New Roman"/>
                <w:sz w:val="24"/>
                <w:szCs w:val="24"/>
              </w:rPr>
            </w:pPr>
          </w:p>
        </w:tc>
        <w:tc>
          <w:tcPr>
            <w:tcW w:w="2410" w:type="dxa"/>
            <w:vAlign w:val="center"/>
          </w:tcPr>
          <w:p>
            <w:pPr>
              <w:spacing w:line="4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医疗机构</w:t>
            </w:r>
          </w:p>
        </w:tc>
        <w:tc>
          <w:tcPr>
            <w:tcW w:w="6379" w:type="dxa"/>
            <w:vAlign w:val="center"/>
          </w:tcPr>
          <w:p>
            <w:pPr>
              <w:spacing w:line="4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定期公开区域内医疗机构数量、布局以及床位、大型设备等资源配置情况</w:t>
            </w:r>
          </w:p>
        </w:tc>
        <w:tc>
          <w:tcPr>
            <w:tcW w:w="2268" w:type="dxa"/>
            <w:vAlign w:val="center"/>
          </w:tcPr>
          <w:p>
            <w:pPr>
              <w:spacing w:line="4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县卫健局、县行政审批局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606" w:type="dxa"/>
            <w:vMerge w:val="continue"/>
            <w:vAlign w:val="center"/>
          </w:tcPr>
          <w:p>
            <w:pPr>
              <w:spacing w:line="440" w:lineRule="exact"/>
              <w:rPr>
                <w:rFonts w:hint="default" w:ascii="Times New Roman" w:hAnsi="Times New Roman" w:eastAsia="仿宋_GB2312" w:cs="Times New Roman"/>
                <w:sz w:val="24"/>
                <w:szCs w:val="24"/>
              </w:rPr>
            </w:pPr>
          </w:p>
        </w:tc>
        <w:tc>
          <w:tcPr>
            <w:tcW w:w="2222" w:type="dxa"/>
            <w:vMerge w:val="restart"/>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公共文化体育</w:t>
            </w:r>
          </w:p>
        </w:tc>
        <w:tc>
          <w:tcPr>
            <w:tcW w:w="2410"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基本信息</w:t>
            </w:r>
          </w:p>
        </w:tc>
        <w:tc>
          <w:tcPr>
            <w:tcW w:w="6379"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公开公共文化体育的服务保障政策、服务体系建设、财政资金投入和使用、设施建设和使用</w:t>
            </w:r>
          </w:p>
        </w:tc>
        <w:tc>
          <w:tcPr>
            <w:tcW w:w="2268" w:type="dxa"/>
            <w:vMerge w:val="restart"/>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县文旅局、县体育事业服务中心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606" w:type="dxa"/>
            <w:vMerge w:val="continue"/>
            <w:vAlign w:val="center"/>
          </w:tcPr>
          <w:p>
            <w:pPr>
              <w:spacing w:line="440" w:lineRule="exact"/>
              <w:rPr>
                <w:rFonts w:hint="default" w:ascii="Times New Roman" w:hAnsi="Times New Roman" w:eastAsia="仿宋_GB2312" w:cs="Times New Roman"/>
                <w:sz w:val="24"/>
                <w:szCs w:val="24"/>
              </w:rPr>
            </w:pPr>
          </w:p>
        </w:tc>
        <w:tc>
          <w:tcPr>
            <w:tcW w:w="2222" w:type="dxa"/>
            <w:vMerge w:val="continue"/>
            <w:vAlign w:val="center"/>
          </w:tcPr>
          <w:p>
            <w:pPr>
              <w:spacing w:line="440" w:lineRule="exact"/>
              <w:jc w:val="center"/>
              <w:rPr>
                <w:rFonts w:hint="default" w:ascii="Times New Roman" w:hAnsi="Times New Roman" w:eastAsia="仿宋_GB2312" w:cs="Times New Roman"/>
                <w:sz w:val="24"/>
                <w:szCs w:val="24"/>
              </w:rPr>
            </w:pPr>
          </w:p>
        </w:tc>
        <w:tc>
          <w:tcPr>
            <w:tcW w:w="2410"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名录信息</w:t>
            </w:r>
          </w:p>
        </w:tc>
        <w:tc>
          <w:tcPr>
            <w:tcW w:w="6379"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公开文化遗产保护、公共文化体育设施名录、政府购买公共文化体育服务的目录及绩效评价结果</w:t>
            </w:r>
          </w:p>
        </w:tc>
        <w:tc>
          <w:tcPr>
            <w:tcW w:w="2268" w:type="dxa"/>
            <w:vMerge w:val="continue"/>
            <w:vAlign w:val="center"/>
          </w:tcPr>
          <w:p>
            <w:pPr>
              <w:spacing w:line="44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606" w:type="dxa"/>
            <w:vMerge w:val="continue"/>
            <w:vAlign w:val="center"/>
          </w:tcPr>
          <w:p>
            <w:pPr>
              <w:spacing w:line="440" w:lineRule="exact"/>
              <w:rPr>
                <w:rFonts w:hint="default" w:ascii="Times New Roman" w:hAnsi="Times New Roman" w:eastAsia="仿宋_GB2312" w:cs="Times New Roman"/>
                <w:sz w:val="24"/>
                <w:szCs w:val="24"/>
              </w:rPr>
            </w:pPr>
          </w:p>
        </w:tc>
        <w:tc>
          <w:tcPr>
            <w:tcW w:w="2222" w:type="dxa"/>
            <w:vMerge w:val="continue"/>
            <w:vAlign w:val="center"/>
          </w:tcPr>
          <w:p>
            <w:pPr>
              <w:spacing w:line="440" w:lineRule="exact"/>
              <w:jc w:val="center"/>
              <w:rPr>
                <w:rFonts w:hint="default" w:ascii="Times New Roman" w:hAnsi="Times New Roman" w:eastAsia="仿宋_GB2312" w:cs="Times New Roman"/>
                <w:sz w:val="24"/>
                <w:szCs w:val="24"/>
              </w:rPr>
            </w:pPr>
          </w:p>
        </w:tc>
        <w:tc>
          <w:tcPr>
            <w:tcW w:w="2410"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活动信息</w:t>
            </w:r>
          </w:p>
        </w:tc>
        <w:tc>
          <w:tcPr>
            <w:tcW w:w="6379"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及时发布公益性文化服务活动、公益性体育赛事和活动、受捐款物管理使用</w:t>
            </w:r>
          </w:p>
        </w:tc>
        <w:tc>
          <w:tcPr>
            <w:tcW w:w="2268" w:type="dxa"/>
            <w:vMerge w:val="continue"/>
            <w:vAlign w:val="center"/>
          </w:tcPr>
          <w:p>
            <w:pPr>
              <w:spacing w:line="44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440" w:lineRule="exact"/>
              <w:rPr>
                <w:rFonts w:hint="default" w:ascii="Times New Roman" w:hAnsi="Times New Roman" w:eastAsia="仿宋_GB2312" w:cs="Times New Roman"/>
                <w:sz w:val="24"/>
                <w:szCs w:val="24"/>
              </w:rPr>
            </w:pPr>
          </w:p>
        </w:tc>
        <w:tc>
          <w:tcPr>
            <w:tcW w:w="2222" w:type="dxa"/>
            <w:vMerge w:val="restart"/>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灾害事故救援</w:t>
            </w:r>
          </w:p>
        </w:tc>
        <w:tc>
          <w:tcPr>
            <w:tcW w:w="2410"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基本信息</w:t>
            </w:r>
          </w:p>
        </w:tc>
        <w:tc>
          <w:tcPr>
            <w:tcW w:w="6379"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及时发布自然灾害、重大事故灾难等突发事件的应急处置与救援、医疗救护、次生灾害预警防范等工作情况及动态信息</w:t>
            </w:r>
          </w:p>
        </w:tc>
        <w:tc>
          <w:tcPr>
            <w:tcW w:w="2268" w:type="dxa"/>
            <w:vMerge w:val="restart"/>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1606" w:type="dxa"/>
            <w:vMerge w:val="continue"/>
            <w:vAlign w:val="center"/>
          </w:tcPr>
          <w:p>
            <w:pPr>
              <w:spacing w:line="440" w:lineRule="exact"/>
              <w:rPr>
                <w:rFonts w:hint="default" w:ascii="Times New Roman" w:hAnsi="Times New Roman" w:eastAsia="仿宋_GB2312" w:cs="Times New Roman"/>
                <w:sz w:val="24"/>
                <w:szCs w:val="24"/>
              </w:rPr>
            </w:pPr>
          </w:p>
        </w:tc>
        <w:tc>
          <w:tcPr>
            <w:tcW w:w="2222" w:type="dxa"/>
            <w:vMerge w:val="continue"/>
            <w:vAlign w:val="center"/>
          </w:tcPr>
          <w:p>
            <w:pPr>
              <w:spacing w:line="440" w:lineRule="exact"/>
              <w:rPr>
                <w:rFonts w:hint="default" w:ascii="Times New Roman" w:hAnsi="Times New Roman" w:eastAsia="仿宋_GB2312" w:cs="Times New Roman"/>
                <w:sz w:val="24"/>
                <w:szCs w:val="24"/>
              </w:rPr>
            </w:pPr>
          </w:p>
        </w:tc>
        <w:tc>
          <w:tcPr>
            <w:tcW w:w="2410"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救援信息</w:t>
            </w:r>
          </w:p>
        </w:tc>
        <w:tc>
          <w:tcPr>
            <w:tcW w:w="6379"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及时发布灾害救助需求信息，救助款物和捐赠款物的数量、使用情况，救助对象及其接受救助款物数额，灾后恢复重建工作进展等信息</w:t>
            </w:r>
          </w:p>
        </w:tc>
        <w:tc>
          <w:tcPr>
            <w:tcW w:w="2268" w:type="dxa"/>
            <w:vMerge w:val="continue"/>
            <w:vAlign w:val="center"/>
          </w:tcPr>
          <w:p>
            <w:pPr>
              <w:spacing w:line="44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606" w:type="dxa"/>
            <w:vMerge w:val="restart"/>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重点领域信息公开</w:t>
            </w:r>
          </w:p>
        </w:tc>
        <w:tc>
          <w:tcPr>
            <w:tcW w:w="2222" w:type="dxa"/>
            <w:vMerge w:val="restart"/>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国资国企信息</w:t>
            </w:r>
          </w:p>
        </w:tc>
        <w:tc>
          <w:tcPr>
            <w:tcW w:w="2410" w:type="dxa"/>
            <w:vMerge w:val="restart"/>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信息披露</w:t>
            </w:r>
          </w:p>
        </w:tc>
        <w:tc>
          <w:tcPr>
            <w:tcW w:w="6379"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按月公开区县管企业主要经济效益指标、主要行业盈利、重大变化事项等情况</w:t>
            </w:r>
          </w:p>
        </w:tc>
        <w:tc>
          <w:tcPr>
            <w:tcW w:w="2268" w:type="dxa"/>
            <w:vMerge w:val="restart"/>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2222" w:type="dxa"/>
            <w:vMerge w:val="continue"/>
            <w:vAlign w:val="center"/>
          </w:tcPr>
          <w:p>
            <w:pPr>
              <w:spacing w:line="440" w:lineRule="exact"/>
              <w:jc w:val="center"/>
              <w:rPr>
                <w:rFonts w:hint="default" w:ascii="Times New Roman" w:hAnsi="Times New Roman" w:eastAsia="仿宋_GB2312" w:cs="Times New Roman"/>
                <w:sz w:val="24"/>
                <w:szCs w:val="24"/>
              </w:rPr>
            </w:pPr>
          </w:p>
        </w:tc>
        <w:tc>
          <w:tcPr>
            <w:tcW w:w="2410" w:type="dxa"/>
            <w:vMerge w:val="continue"/>
            <w:vAlign w:val="center"/>
          </w:tcPr>
          <w:p>
            <w:pPr>
              <w:spacing w:line="440" w:lineRule="exact"/>
              <w:rPr>
                <w:rFonts w:hint="default" w:ascii="Times New Roman" w:hAnsi="Times New Roman" w:eastAsia="仿宋_GB2312" w:cs="Times New Roman"/>
                <w:sz w:val="24"/>
                <w:szCs w:val="24"/>
              </w:rPr>
            </w:pPr>
          </w:p>
        </w:tc>
        <w:tc>
          <w:tcPr>
            <w:tcW w:w="6379"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依法依规公开区县属企业经营情况、业绩考核结果，国有资产保值增值情况、区县属企业改革重组结果，区县属企业负责人重大变动、年度薪酬，以及区县属企业履行社会责任重点工作情况</w:t>
            </w:r>
          </w:p>
        </w:tc>
        <w:tc>
          <w:tcPr>
            <w:tcW w:w="2268" w:type="dxa"/>
            <w:vMerge w:val="continue"/>
            <w:vAlign w:val="center"/>
          </w:tcPr>
          <w:p>
            <w:pPr>
              <w:spacing w:line="44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2222" w:type="dxa"/>
            <w:vMerge w:val="continue"/>
            <w:vAlign w:val="center"/>
          </w:tcPr>
          <w:p>
            <w:pPr>
              <w:spacing w:line="440" w:lineRule="exact"/>
              <w:jc w:val="center"/>
              <w:rPr>
                <w:rFonts w:hint="default" w:ascii="Times New Roman" w:hAnsi="Times New Roman" w:eastAsia="仿宋_GB2312" w:cs="Times New Roman"/>
                <w:sz w:val="24"/>
                <w:szCs w:val="24"/>
              </w:rPr>
            </w:pPr>
          </w:p>
        </w:tc>
        <w:tc>
          <w:tcPr>
            <w:tcW w:w="2410"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国企监管</w:t>
            </w:r>
          </w:p>
        </w:tc>
        <w:tc>
          <w:tcPr>
            <w:tcW w:w="6379" w:type="dxa"/>
            <w:vAlign w:val="center"/>
          </w:tcPr>
          <w:p>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是否定期公示“僵尸”企业处置和亏损企业治理结果</w:t>
            </w:r>
          </w:p>
        </w:tc>
        <w:tc>
          <w:tcPr>
            <w:tcW w:w="2268" w:type="dxa"/>
            <w:vMerge w:val="continue"/>
            <w:vAlign w:val="center"/>
          </w:tcPr>
          <w:p>
            <w:pPr>
              <w:spacing w:line="44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2222" w:type="dxa"/>
            <w:vMerge w:val="restart"/>
            <w:vAlign w:val="center"/>
          </w:tcPr>
          <w:p>
            <w:pPr>
              <w:spacing w:line="5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市场监管与安全生产</w:t>
            </w:r>
          </w:p>
        </w:tc>
        <w:tc>
          <w:tcPr>
            <w:tcW w:w="2410"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产品质量</w:t>
            </w:r>
          </w:p>
        </w:tc>
        <w:tc>
          <w:tcPr>
            <w:tcW w:w="6379"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是否依法向社会发布产品质量监督抽查结果公告</w:t>
            </w:r>
          </w:p>
        </w:tc>
        <w:tc>
          <w:tcPr>
            <w:tcW w:w="2268"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2222" w:type="dxa"/>
            <w:vMerge w:val="continue"/>
            <w:vAlign w:val="center"/>
          </w:tcPr>
          <w:p>
            <w:pPr>
              <w:spacing w:line="500" w:lineRule="exact"/>
              <w:rPr>
                <w:rFonts w:hint="default" w:ascii="Times New Roman" w:hAnsi="Times New Roman" w:eastAsia="仿宋_GB2312" w:cs="Times New Roman"/>
                <w:sz w:val="24"/>
                <w:szCs w:val="24"/>
              </w:rPr>
            </w:pPr>
          </w:p>
        </w:tc>
        <w:tc>
          <w:tcPr>
            <w:tcW w:w="2410"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食品安全</w:t>
            </w:r>
          </w:p>
        </w:tc>
        <w:tc>
          <w:tcPr>
            <w:tcW w:w="6379"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是否定期公开被抽检单位、抽检产品名称、标示的生产单位、标示的产品生产日期或者批号及规格、检验依据、检验结果、检验单位等监督抽检信息</w:t>
            </w:r>
          </w:p>
        </w:tc>
        <w:tc>
          <w:tcPr>
            <w:tcW w:w="2268"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2222" w:type="dxa"/>
            <w:vMerge w:val="continue"/>
            <w:vAlign w:val="center"/>
          </w:tcPr>
          <w:p>
            <w:pPr>
              <w:spacing w:line="500" w:lineRule="exact"/>
              <w:rPr>
                <w:rFonts w:hint="default" w:ascii="Times New Roman" w:hAnsi="Times New Roman" w:eastAsia="仿宋_GB2312" w:cs="Times New Roman"/>
                <w:sz w:val="24"/>
                <w:szCs w:val="24"/>
              </w:rPr>
            </w:pPr>
          </w:p>
        </w:tc>
        <w:tc>
          <w:tcPr>
            <w:tcW w:w="2410"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安全生产</w:t>
            </w:r>
          </w:p>
        </w:tc>
        <w:tc>
          <w:tcPr>
            <w:tcW w:w="6379"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是否公开常规检查执法、暗查暗访、突击检查、随机抽查等执法检查信息</w:t>
            </w:r>
          </w:p>
        </w:tc>
        <w:tc>
          <w:tcPr>
            <w:tcW w:w="2268"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606" w:type="dxa"/>
            <w:vMerge w:val="continue"/>
            <w:vAlign w:val="center"/>
          </w:tcPr>
          <w:p>
            <w:pPr>
              <w:spacing w:line="500" w:lineRule="exact"/>
              <w:rPr>
                <w:rFonts w:hint="default" w:ascii="Times New Roman" w:hAnsi="Times New Roman" w:eastAsia="仿宋_GB2312" w:cs="Times New Roman"/>
                <w:sz w:val="24"/>
                <w:szCs w:val="24"/>
              </w:rPr>
            </w:pPr>
          </w:p>
        </w:tc>
        <w:tc>
          <w:tcPr>
            <w:tcW w:w="2222" w:type="dxa"/>
            <w:vMerge w:val="continue"/>
            <w:vAlign w:val="center"/>
          </w:tcPr>
          <w:p>
            <w:pPr>
              <w:spacing w:line="500" w:lineRule="exact"/>
              <w:rPr>
                <w:rFonts w:hint="default" w:ascii="Times New Roman" w:hAnsi="Times New Roman" w:eastAsia="仿宋_GB2312" w:cs="Times New Roman"/>
                <w:sz w:val="24"/>
                <w:szCs w:val="24"/>
              </w:rPr>
            </w:pPr>
          </w:p>
        </w:tc>
        <w:tc>
          <w:tcPr>
            <w:tcW w:w="2410"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建筑市场监管</w:t>
            </w:r>
          </w:p>
        </w:tc>
        <w:tc>
          <w:tcPr>
            <w:tcW w:w="6379"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集中公开执法检查、建筑市场主体不良信用记录、黑名单记录等</w:t>
            </w:r>
          </w:p>
        </w:tc>
        <w:tc>
          <w:tcPr>
            <w:tcW w:w="2268" w:type="dxa"/>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606" w:type="dxa"/>
            <w:vMerge w:val="restart"/>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重点领域信息公开</w:t>
            </w:r>
          </w:p>
        </w:tc>
        <w:tc>
          <w:tcPr>
            <w:tcW w:w="4632" w:type="dxa"/>
            <w:gridSpan w:val="2"/>
            <w:vAlign w:val="center"/>
          </w:tcPr>
          <w:p>
            <w:pPr>
              <w:spacing w:line="4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治安管理</w:t>
            </w:r>
          </w:p>
        </w:tc>
        <w:tc>
          <w:tcPr>
            <w:tcW w:w="6379"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公开全县治安管理相关信息。</w:t>
            </w:r>
          </w:p>
        </w:tc>
        <w:tc>
          <w:tcPr>
            <w:tcW w:w="2268"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606" w:type="dxa"/>
            <w:vMerge w:val="continue"/>
            <w:vAlign w:val="center"/>
          </w:tcPr>
          <w:p>
            <w:pPr>
              <w:spacing w:line="460" w:lineRule="exact"/>
              <w:rPr>
                <w:rFonts w:hint="default" w:ascii="Times New Roman" w:hAnsi="Times New Roman" w:eastAsia="仿宋_GB2312" w:cs="Times New Roman"/>
                <w:sz w:val="24"/>
                <w:szCs w:val="24"/>
              </w:rPr>
            </w:pPr>
          </w:p>
        </w:tc>
        <w:tc>
          <w:tcPr>
            <w:tcW w:w="4632" w:type="dxa"/>
            <w:gridSpan w:val="2"/>
            <w:vAlign w:val="center"/>
          </w:tcPr>
          <w:p>
            <w:pPr>
              <w:spacing w:line="4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统计信息</w:t>
            </w:r>
          </w:p>
        </w:tc>
        <w:tc>
          <w:tcPr>
            <w:tcW w:w="6379"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公开全县国民经济社会社会发展统计信息，包括统计年报、统计年鉴等。</w:t>
            </w:r>
          </w:p>
        </w:tc>
        <w:tc>
          <w:tcPr>
            <w:tcW w:w="2268"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县统计局牵头，各镇、街道、经济开发区，县直各部门、单位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606" w:type="dxa"/>
            <w:vMerge w:val="continue"/>
            <w:vAlign w:val="center"/>
          </w:tcPr>
          <w:p>
            <w:pPr>
              <w:spacing w:line="460" w:lineRule="exact"/>
              <w:rPr>
                <w:rFonts w:hint="default" w:ascii="Times New Roman" w:hAnsi="Times New Roman" w:eastAsia="仿宋_GB2312" w:cs="Times New Roman"/>
                <w:sz w:val="24"/>
                <w:szCs w:val="24"/>
              </w:rPr>
            </w:pPr>
          </w:p>
        </w:tc>
        <w:tc>
          <w:tcPr>
            <w:tcW w:w="4632" w:type="dxa"/>
            <w:gridSpan w:val="2"/>
            <w:vAlign w:val="center"/>
          </w:tcPr>
          <w:p>
            <w:pPr>
              <w:spacing w:line="4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规划计划</w:t>
            </w:r>
          </w:p>
        </w:tc>
        <w:tc>
          <w:tcPr>
            <w:tcW w:w="6379"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公开全县国民经济和社会发展规划、专项规划、区域规划及相关政策</w:t>
            </w:r>
          </w:p>
        </w:tc>
        <w:tc>
          <w:tcPr>
            <w:tcW w:w="2268"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县发改局、县自然资源局、县规划服务中心牵头，各镇、街道、经济开发区，县直各部门、单位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606" w:type="dxa"/>
            <w:vMerge w:val="continue"/>
            <w:vAlign w:val="center"/>
          </w:tcPr>
          <w:p>
            <w:pPr>
              <w:spacing w:line="460" w:lineRule="exact"/>
              <w:rPr>
                <w:rFonts w:hint="default" w:ascii="Times New Roman" w:hAnsi="Times New Roman" w:eastAsia="仿宋_GB2312" w:cs="Times New Roman"/>
                <w:sz w:val="24"/>
                <w:szCs w:val="24"/>
              </w:rPr>
            </w:pPr>
          </w:p>
        </w:tc>
        <w:tc>
          <w:tcPr>
            <w:tcW w:w="4632" w:type="dxa"/>
            <w:gridSpan w:val="2"/>
            <w:vAlign w:val="center"/>
          </w:tcPr>
          <w:p>
            <w:pPr>
              <w:spacing w:line="4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土地征收</w:t>
            </w:r>
          </w:p>
        </w:tc>
        <w:tc>
          <w:tcPr>
            <w:tcW w:w="6379"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公开全县土地征收相关信息</w:t>
            </w:r>
          </w:p>
        </w:tc>
        <w:tc>
          <w:tcPr>
            <w:tcW w:w="2268"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606" w:type="dxa"/>
            <w:vMerge w:val="continue"/>
            <w:vAlign w:val="center"/>
          </w:tcPr>
          <w:p>
            <w:pPr>
              <w:spacing w:line="460" w:lineRule="exact"/>
              <w:rPr>
                <w:rFonts w:hint="default" w:ascii="Times New Roman" w:hAnsi="Times New Roman" w:eastAsia="仿宋_GB2312" w:cs="Times New Roman"/>
                <w:sz w:val="24"/>
                <w:szCs w:val="24"/>
              </w:rPr>
            </w:pPr>
          </w:p>
        </w:tc>
        <w:tc>
          <w:tcPr>
            <w:tcW w:w="4632" w:type="dxa"/>
            <w:gridSpan w:val="2"/>
            <w:vAlign w:val="center"/>
          </w:tcPr>
          <w:p>
            <w:pPr>
              <w:spacing w:line="4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房屋征收</w:t>
            </w:r>
          </w:p>
        </w:tc>
        <w:tc>
          <w:tcPr>
            <w:tcW w:w="6379"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公开全县房屋征收相关信息，包括征收决定、征收政策等</w:t>
            </w:r>
          </w:p>
        </w:tc>
        <w:tc>
          <w:tcPr>
            <w:tcW w:w="2268"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县房地产服务中心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828" w:type="dxa"/>
            <w:gridSpan w:val="2"/>
            <w:vMerge w:val="restart"/>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政策解读</w:t>
            </w:r>
          </w:p>
        </w:tc>
        <w:tc>
          <w:tcPr>
            <w:tcW w:w="2410" w:type="dxa"/>
            <w:vAlign w:val="center"/>
          </w:tcPr>
          <w:p>
            <w:pPr>
              <w:spacing w:line="3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解读材料</w:t>
            </w:r>
          </w:p>
        </w:tc>
        <w:tc>
          <w:tcPr>
            <w:tcW w:w="6379" w:type="dxa"/>
            <w:vAlign w:val="center"/>
          </w:tcPr>
          <w:p>
            <w:pPr>
              <w:spacing w:line="3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围绕“六稳”“六保”加强政策解读</w:t>
            </w:r>
          </w:p>
        </w:tc>
        <w:tc>
          <w:tcPr>
            <w:tcW w:w="2268" w:type="dxa"/>
            <w:vMerge w:val="restart"/>
            <w:vAlign w:val="center"/>
          </w:tcPr>
          <w:p>
            <w:pPr>
              <w:spacing w:line="3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各镇、街道、经济开发区，县直各部门、单位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gridSpan w:val="2"/>
            <w:vMerge w:val="continue"/>
            <w:vAlign w:val="center"/>
          </w:tcPr>
          <w:p>
            <w:pPr>
              <w:spacing w:line="500" w:lineRule="exact"/>
              <w:rPr>
                <w:rFonts w:hint="default" w:ascii="Times New Roman" w:hAnsi="Times New Roman" w:eastAsia="仿宋_GB2312" w:cs="Times New Roman"/>
                <w:sz w:val="24"/>
                <w:szCs w:val="24"/>
              </w:rPr>
            </w:pPr>
          </w:p>
        </w:tc>
        <w:tc>
          <w:tcPr>
            <w:tcW w:w="2410" w:type="dxa"/>
            <w:vAlign w:val="center"/>
          </w:tcPr>
          <w:p>
            <w:pPr>
              <w:spacing w:line="3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解读文件发布</w:t>
            </w:r>
          </w:p>
        </w:tc>
        <w:tc>
          <w:tcPr>
            <w:tcW w:w="6379" w:type="dxa"/>
            <w:vAlign w:val="center"/>
          </w:tcPr>
          <w:p>
            <w:pPr>
              <w:spacing w:line="3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文件公开后3个工作日内发布相关解读材料</w:t>
            </w:r>
          </w:p>
        </w:tc>
        <w:tc>
          <w:tcPr>
            <w:tcW w:w="2268" w:type="dxa"/>
            <w:vMerge w:val="continue"/>
            <w:vAlign w:val="center"/>
          </w:tcPr>
          <w:p>
            <w:pPr>
              <w:spacing w:line="38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gridSpan w:val="2"/>
            <w:vMerge w:val="continue"/>
            <w:vAlign w:val="center"/>
          </w:tcPr>
          <w:p>
            <w:pPr>
              <w:spacing w:line="500" w:lineRule="exact"/>
              <w:rPr>
                <w:rFonts w:hint="default" w:ascii="Times New Roman" w:hAnsi="Times New Roman" w:eastAsia="仿宋_GB2312" w:cs="Times New Roman"/>
                <w:sz w:val="24"/>
                <w:szCs w:val="24"/>
              </w:rPr>
            </w:pPr>
          </w:p>
        </w:tc>
        <w:tc>
          <w:tcPr>
            <w:tcW w:w="2410" w:type="dxa"/>
            <w:vAlign w:val="center"/>
          </w:tcPr>
          <w:p>
            <w:pPr>
              <w:spacing w:line="3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政策文件与解读材料关联性</w:t>
            </w:r>
          </w:p>
        </w:tc>
        <w:tc>
          <w:tcPr>
            <w:tcW w:w="6379" w:type="dxa"/>
            <w:vAlign w:val="center"/>
          </w:tcPr>
          <w:p>
            <w:pPr>
              <w:spacing w:line="3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在政策文件页面提供解读材料链接，在解读材料页面关联政策文件有关内容</w:t>
            </w:r>
          </w:p>
        </w:tc>
        <w:tc>
          <w:tcPr>
            <w:tcW w:w="2268" w:type="dxa"/>
            <w:vMerge w:val="continue"/>
            <w:vAlign w:val="center"/>
          </w:tcPr>
          <w:p>
            <w:pPr>
              <w:spacing w:line="38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gridSpan w:val="2"/>
            <w:vMerge w:val="continue"/>
            <w:vAlign w:val="center"/>
          </w:tcPr>
          <w:p>
            <w:pPr>
              <w:spacing w:line="500" w:lineRule="exact"/>
              <w:rPr>
                <w:rFonts w:hint="default" w:ascii="Times New Roman" w:hAnsi="Times New Roman" w:eastAsia="仿宋_GB2312" w:cs="Times New Roman"/>
                <w:sz w:val="24"/>
                <w:szCs w:val="24"/>
              </w:rPr>
            </w:pPr>
          </w:p>
        </w:tc>
        <w:tc>
          <w:tcPr>
            <w:tcW w:w="2410" w:type="dxa"/>
            <w:vAlign w:val="center"/>
          </w:tcPr>
          <w:p>
            <w:pPr>
              <w:spacing w:line="3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解读形式</w:t>
            </w:r>
          </w:p>
        </w:tc>
        <w:tc>
          <w:tcPr>
            <w:tcW w:w="6379" w:type="dxa"/>
            <w:vAlign w:val="center"/>
          </w:tcPr>
          <w:p>
            <w:pPr>
              <w:spacing w:line="3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通过单位负责人解读、图文解读、数字解读、视频解读等形式，解读政策文件</w:t>
            </w:r>
          </w:p>
        </w:tc>
        <w:tc>
          <w:tcPr>
            <w:tcW w:w="2268" w:type="dxa"/>
            <w:vMerge w:val="continue"/>
            <w:vAlign w:val="center"/>
          </w:tcPr>
          <w:p>
            <w:pPr>
              <w:spacing w:line="38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8" w:type="dxa"/>
            <w:gridSpan w:val="3"/>
            <w:vAlign w:val="center"/>
          </w:tcPr>
          <w:p>
            <w:pPr>
              <w:spacing w:line="3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政务公开标准化规范化</w:t>
            </w:r>
          </w:p>
        </w:tc>
        <w:tc>
          <w:tcPr>
            <w:tcW w:w="6379" w:type="dxa"/>
            <w:vAlign w:val="center"/>
          </w:tcPr>
          <w:p>
            <w:pPr>
              <w:spacing w:line="3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编制公开政务公开事项标准目录</w:t>
            </w:r>
          </w:p>
        </w:tc>
        <w:tc>
          <w:tcPr>
            <w:tcW w:w="2268" w:type="dxa"/>
            <w:vAlign w:val="center"/>
          </w:tcPr>
          <w:p>
            <w:pPr>
              <w:spacing w:line="3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各镇、街道、经济开发区，县直各部门、单位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3828" w:type="dxa"/>
            <w:gridSpan w:val="2"/>
            <w:vMerge w:val="restart"/>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政务公开标准化规范化</w:t>
            </w:r>
          </w:p>
        </w:tc>
        <w:tc>
          <w:tcPr>
            <w:tcW w:w="2410" w:type="dxa"/>
            <w:vAlign w:val="center"/>
          </w:tcPr>
          <w:p>
            <w:pPr>
              <w:spacing w:line="3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公共企事业单位信息公开</w:t>
            </w:r>
          </w:p>
        </w:tc>
        <w:tc>
          <w:tcPr>
            <w:tcW w:w="6379" w:type="dxa"/>
            <w:vAlign w:val="center"/>
          </w:tcPr>
          <w:p>
            <w:pPr>
              <w:spacing w:line="3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公开教育、卫生健康、供水、供电、供气、供热、环境保护、公共交通等领域行业企事业单位信息</w:t>
            </w:r>
          </w:p>
        </w:tc>
        <w:tc>
          <w:tcPr>
            <w:tcW w:w="2268" w:type="dxa"/>
            <w:vAlign w:val="center"/>
          </w:tcPr>
          <w:p>
            <w:pPr>
              <w:spacing w:line="3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县教体局、县卫健局、县住建局、县交通局、县水利局、市生态环境局高青分局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3828" w:type="dxa"/>
            <w:gridSpan w:val="2"/>
            <w:vMerge w:val="continue"/>
            <w:vAlign w:val="center"/>
          </w:tcPr>
          <w:p>
            <w:pPr>
              <w:spacing w:line="500" w:lineRule="exact"/>
              <w:rPr>
                <w:rFonts w:hint="default" w:ascii="Times New Roman" w:hAnsi="Times New Roman" w:eastAsia="仿宋_GB2312" w:cs="Times New Roman"/>
                <w:sz w:val="24"/>
                <w:szCs w:val="24"/>
              </w:rPr>
            </w:pPr>
          </w:p>
        </w:tc>
        <w:tc>
          <w:tcPr>
            <w:tcW w:w="2410" w:type="dxa"/>
            <w:vMerge w:val="restart"/>
            <w:vAlign w:val="center"/>
          </w:tcPr>
          <w:p>
            <w:pPr>
              <w:spacing w:line="3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政务新媒体</w:t>
            </w:r>
          </w:p>
        </w:tc>
        <w:tc>
          <w:tcPr>
            <w:tcW w:w="6379" w:type="dxa"/>
            <w:vAlign w:val="center"/>
          </w:tcPr>
          <w:p>
            <w:pPr>
              <w:spacing w:line="3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在山东省政务新媒体备案管理系统中备案</w:t>
            </w:r>
          </w:p>
        </w:tc>
        <w:tc>
          <w:tcPr>
            <w:tcW w:w="2268" w:type="dxa"/>
            <w:vMerge w:val="restart"/>
            <w:vAlign w:val="center"/>
          </w:tcPr>
          <w:p>
            <w:pPr>
              <w:spacing w:line="3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各镇、街道、经济开发区，县直各部门、单位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3828" w:type="dxa"/>
            <w:gridSpan w:val="2"/>
            <w:vMerge w:val="continue"/>
            <w:vAlign w:val="center"/>
          </w:tcPr>
          <w:p>
            <w:pPr>
              <w:spacing w:line="360" w:lineRule="exact"/>
              <w:rPr>
                <w:rFonts w:hint="default" w:ascii="Times New Roman" w:hAnsi="Times New Roman" w:eastAsia="仿宋_GB2312" w:cs="Times New Roman"/>
                <w:sz w:val="24"/>
                <w:szCs w:val="24"/>
              </w:rPr>
            </w:pPr>
          </w:p>
        </w:tc>
        <w:tc>
          <w:tcPr>
            <w:tcW w:w="2410" w:type="dxa"/>
            <w:vMerge w:val="continue"/>
            <w:vAlign w:val="center"/>
          </w:tcPr>
          <w:p>
            <w:pPr>
              <w:spacing w:line="360" w:lineRule="exact"/>
              <w:rPr>
                <w:rFonts w:hint="default" w:ascii="Times New Roman" w:hAnsi="Times New Roman" w:eastAsia="仿宋_GB2312" w:cs="Times New Roman"/>
                <w:sz w:val="24"/>
                <w:szCs w:val="24"/>
              </w:rPr>
            </w:pPr>
          </w:p>
        </w:tc>
        <w:tc>
          <w:tcPr>
            <w:tcW w:w="6379" w:type="dxa"/>
            <w:vAlign w:val="center"/>
          </w:tcPr>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按照《国务院办公厅秘书局关于印发政府网站与政务新媒体检查指标、监管工作年度考核指标的通知》要求运行维护</w:t>
            </w:r>
          </w:p>
        </w:tc>
        <w:tc>
          <w:tcPr>
            <w:tcW w:w="2268" w:type="dxa"/>
            <w:vMerge w:val="continue"/>
            <w:vAlign w:val="center"/>
          </w:tcPr>
          <w:p>
            <w:pPr>
              <w:spacing w:line="50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3828" w:type="dxa"/>
            <w:gridSpan w:val="2"/>
            <w:vMerge w:val="restart"/>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政务公开标准化规范化</w:t>
            </w:r>
          </w:p>
        </w:tc>
        <w:tc>
          <w:tcPr>
            <w:tcW w:w="2410" w:type="dxa"/>
            <w:vMerge w:val="restart"/>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政务公开创新有序开展</w:t>
            </w:r>
          </w:p>
        </w:tc>
        <w:tc>
          <w:tcPr>
            <w:tcW w:w="6379"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持续开展政府开放日活动</w:t>
            </w:r>
          </w:p>
        </w:tc>
        <w:tc>
          <w:tcPr>
            <w:tcW w:w="2268" w:type="dxa"/>
            <w:vMerge w:val="restart"/>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各镇、街道、经济开发区，县直各部门、单位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3828" w:type="dxa"/>
            <w:gridSpan w:val="2"/>
            <w:vMerge w:val="continue"/>
            <w:vAlign w:val="center"/>
          </w:tcPr>
          <w:p>
            <w:pPr>
              <w:spacing w:line="500" w:lineRule="exact"/>
              <w:rPr>
                <w:rFonts w:hint="default" w:ascii="Times New Roman" w:hAnsi="Times New Roman" w:eastAsia="仿宋_GB2312" w:cs="Times New Roman"/>
                <w:sz w:val="24"/>
                <w:szCs w:val="24"/>
              </w:rPr>
            </w:pPr>
          </w:p>
        </w:tc>
        <w:tc>
          <w:tcPr>
            <w:tcW w:w="2410" w:type="dxa"/>
            <w:vMerge w:val="continue"/>
            <w:vAlign w:val="center"/>
          </w:tcPr>
          <w:p>
            <w:pPr>
              <w:spacing w:line="500" w:lineRule="exact"/>
              <w:rPr>
                <w:rFonts w:hint="default" w:ascii="Times New Roman" w:hAnsi="Times New Roman" w:eastAsia="仿宋_GB2312" w:cs="Times New Roman"/>
                <w:sz w:val="24"/>
                <w:szCs w:val="24"/>
              </w:rPr>
            </w:pPr>
          </w:p>
        </w:tc>
        <w:tc>
          <w:tcPr>
            <w:tcW w:w="6379"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设立政务公开体验区，并有明显的标志指示牌，提供政府信息查询、信息公开申请、办事咨询答复等相关服务</w:t>
            </w:r>
          </w:p>
        </w:tc>
        <w:tc>
          <w:tcPr>
            <w:tcW w:w="2268" w:type="dxa"/>
            <w:vMerge w:val="continue"/>
            <w:vAlign w:val="center"/>
          </w:tcPr>
          <w:p>
            <w:pPr>
              <w:spacing w:line="50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828" w:type="dxa"/>
            <w:gridSpan w:val="2"/>
            <w:vMerge w:val="continue"/>
            <w:vAlign w:val="center"/>
          </w:tcPr>
          <w:p>
            <w:pPr>
              <w:spacing w:line="500" w:lineRule="exact"/>
              <w:rPr>
                <w:rFonts w:hint="default" w:ascii="Times New Roman" w:hAnsi="Times New Roman" w:eastAsia="仿宋_GB2312" w:cs="Times New Roman"/>
                <w:sz w:val="24"/>
                <w:szCs w:val="24"/>
              </w:rPr>
            </w:pPr>
          </w:p>
        </w:tc>
        <w:tc>
          <w:tcPr>
            <w:tcW w:w="2410" w:type="dxa"/>
            <w:vMerge w:val="continue"/>
            <w:vAlign w:val="center"/>
          </w:tcPr>
          <w:p>
            <w:pPr>
              <w:spacing w:line="500" w:lineRule="exact"/>
              <w:rPr>
                <w:rFonts w:hint="default" w:ascii="Times New Roman" w:hAnsi="Times New Roman" w:eastAsia="仿宋_GB2312" w:cs="Times New Roman"/>
                <w:sz w:val="24"/>
                <w:szCs w:val="24"/>
              </w:rPr>
            </w:pPr>
          </w:p>
        </w:tc>
        <w:tc>
          <w:tcPr>
            <w:tcW w:w="6379"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做好政务公开工作约稿</w:t>
            </w:r>
          </w:p>
        </w:tc>
        <w:tc>
          <w:tcPr>
            <w:tcW w:w="2268" w:type="dxa"/>
            <w:vMerge w:val="continue"/>
            <w:vAlign w:val="center"/>
          </w:tcPr>
          <w:p>
            <w:pPr>
              <w:spacing w:line="50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gridSpan w:val="2"/>
            <w:vMerge w:val="continue"/>
            <w:vAlign w:val="center"/>
          </w:tcPr>
          <w:p>
            <w:pPr>
              <w:spacing w:line="500" w:lineRule="exact"/>
              <w:rPr>
                <w:rFonts w:hint="default" w:ascii="Times New Roman" w:hAnsi="Times New Roman" w:eastAsia="仿宋_GB2312" w:cs="Times New Roman"/>
                <w:sz w:val="24"/>
                <w:szCs w:val="24"/>
              </w:rPr>
            </w:pPr>
          </w:p>
        </w:tc>
        <w:tc>
          <w:tcPr>
            <w:tcW w:w="2410" w:type="dxa"/>
            <w:vMerge w:val="restart"/>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政府信息公开年报</w:t>
            </w:r>
          </w:p>
        </w:tc>
        <w:tc>
          <w:tcPr>
            <w:tcW w:w="6379"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公开2008年——2020年政府信息公开年报</w:t>
            </w:r>
          </w:p>
        </w:tc>
        <w:tc>
          <w:tcPr>
            <w:tcW w:w="2268" w:type="dxa"/>
            <w:vMerge w:val="restart"/>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各镇、街道、经济开发区，县直各部门、单位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gridSpan w:val="2"/>
            <w:vMerge w:val="continue"/>
            <w:vAlign w:val="center"/>
          </w:tcPr>
          <w:p>
            <w:pPr>
              <w:spacing w:line="500" w:lineRule="exact"/>
              <w:rPr>
                <w:rFonts w:hint="default" w:ascii="Times New Roman" w:hAnsi="Times New Roman" w:eastAsia="仿宋_GB2312" w:cs="Times New Roman"/>
                <w:sz w:val="24"/>
                <w:szCs w:val="24"/>
              </w:rPr>
            </w:pPr>
          </w:p>
        </w:tc>
        <w:tc>
          <w:tcPr>
            <w:tcW w:w="2410" w:type="dxa"/>
            <w:vMerge w:val="continue"/>
            <w:vAlign w:val="center"/>
          </w:tcPr>
          <w:p>
            <w:pPr>
              <w:spacing w:line="500" w:lineRule="exact"/>
              <w:rPr>
                <w:rFonts w:hint="default" w:ascii="Times New Roman" w:hAnsi="Times New Roman" w:eastAsia="仿宋_GB2312" w:cs="Times New Roman"/>
                <w:sz w:val="24"/>
                <w:szCs w:val="24"/>
              </w:rPr>
            </w:pPr>
          </w:p>
        </w:tc>
        <w:tc>
          <w:tcPr>
            <w:tcW w:w="6379"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建议和提案办理结果公开情况是否纳入政府信息公开工作年度报告</w:t>
            </w:r>
          </w:p>
        </w:tc>
        <w:tc>
          <w:tcPr>
            <w:tcW w:w="2268" w:type="dxa"/>
            <w:vMerge w:val="continue"/>
            <w:vAlign w:val="center"/>
          </w:tcPr>
          <w:p>
            <w:pPr>
              <w:spacing w:line="50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gridSpan w:val="2"/>
            <w:vMerge w:val="continue"/>
            <w:vAlign w:val="center"/>
          </w:tcPr>
          <w:p>
            <w:pPr>
              <w:spacing w:line="500" w:lineRule="exact"/>
              <w:rPr>
                <w:rFonts w:hint="default" w:ascii="Times New Roman" w:hAnsi="Times New Roman" w:eastAsia="仿宋_GB2312" w:cs="Times New Roman"/>
                <w:sz w:val="24"/>
                <w:szCs w:val="24"/>
              </w:rPr>
            </w:pPr>
          </w:p>
        </w:tc>
        <w:tc>
          <w:tcPr>
            <w:tcW w:w="2410" w:type="dxa"/>
            <w:vMerge w:val="continue"/>
            <w:vAlign w:val="center"/>
          </w:tcPr>
          <w:p>
            <w:pPr>
              <w:spacing w:line="500" w:lineRule="exact"/>
              <w:rPr>
                <w:rFonts w:hint="default" w:ascii="Times New Roman" w:hAnsi="Times New Roman" w:eastAsia="仿宋_GB2312" w:cs="Times New Roman"/>
                <w:sz w:val="24"/>
                <w:szCs w:val="24"/>
              </w:rPr>
            </w:pPr>
          </w:p>
        </w:tc>
        <w:tc>
          <w:tcPr>
            <w:tcW w:w="6379"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对政府信息公开年报进行解读</w:t>
            </w:r>
          </w:p>
        </w:tc>
        <w:tc>
          <w:tcPr>
            <w:tcW w:w="2268" w:type="dxa"/>
            <w:vMerge w:val="continue"/>
            <w:vAlign w:val="center"/>
          </w:tcPr>
          <w:p>
            <w:pPr>
              <w:spacing w:line="50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gridSpan w:val="2"/>
            <w:vMerge w:val="continue"/>
            <w:vAlign w:val="center"/>
          </w:tcPr>
          <w:p>
            <w:pPr>
              <w:spacing w:line="500" w:lineRule="exact"/>
              <w:rPr>
                <w:rFonts w:hint="default" w:ascii="Times New Roman" w:hAnsi="Times New Roman" w:eastAsia="仿宋_GB2312" w:cs="Times New Roman"/>
                <w:sz w:val="24"/>
                <w:szCs w:val="24"/>
              </w:rPr>
            </w:pPr>
          </w:p>
        </w:tc>
        <w:tc>
          <w:tcPr>
            <w:tcW w:w="2410" w:type="dxa"/>
            <w:vMerge w:val="continue"/>
            <w:vAlign w:val="center"/>
          </w:tcPr>
          <w:p>
            <w:pPr>
              <w:spacing w:line="500" w:lineRule="exact"/>
              <w:rPr>
                <w:rFonts w:hint="default" w:ascii="Times New Roman" w:hAnsi="Times New Roman" w:eastAsia="仿宋_GB2312" w:cs="Times New Roman"/>
                <w:sz w:val="24"/>
                <w:szCs w:val="24"/>
              </w:rPr>
            </w:pPr>
          </w:p>
        </w:tc>
        <w:tc>
          <w:tcPr>
            <w:tcW w:w="6379"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政府信息公开年报要图文并茂，并提供多种下载方式</w:t>
            </w:r>
          </w:p>
        </w:tc>
        <w:tc>
          <w:tcPr>
            <w:tcW w:w="2268" w:type="dxa"/>
            <w:vMerge w:val="continue"/>
            <w:vAlign w:val="center"/>
          </w:tcPr>
          <w:p>
            <w:pPr>
              <w:spacing w:line="50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gridSpan w:val="2"/>
            <w:vMerge w:val="continue"/>
            <w:vAlign w:val="center"/>
          </w:tcPr>
          <w:p>
            <w:pPr>
              <w:spacing w:line="500" w:lineRule="exact"/>
              <w:rPr>
                <w:rFonts w:hint="default" w:ascii="Times New Roman" w:hAnsi="Times New Roman" w:eastAsia="仿宋_GB2312" w:cs="Times New Roman"/>
                <w:sz w:val="24"/>
                <w:szCs w:val="24"/>
              </w:rPr>
            </w:pPr>
          </w:p>
        </w:tc>
        <w:tc>
          <w:tcPr>
            <w:tcW w:w="2410" w:type="dxa"/>
            <w:vMerge w:val="restart"/>
            <w:vAlign w:val="center"/>
          </w:tcPr>
          <w:p>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政府信息公开指南</w:t>
            </w:r>
          </w:p>
        </w:tc>
        <w:tc>
          <w:tcPr>
            <w:tcW w:w="6379"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公开指南是否包括：</w:t>
            </w:r>
          </w:p>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1.政府信息的分类、编排体系、获取方式；</w:t>
            </w:r>
          </w:p>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2.依申请公开的提出方式、收费标准等；</w:t>
            </w:r>
            <w:r>
              <w:rPr>
                <w:rFonts w:hint="default" w:ascii="Times New Roman" w:hAnsi="Times New Roman" w:eastAsia="仿宋_GB2312" w:cs="Times New Roman"/>
                <w:sz w:val="24"/>
                <w:szCs w:val="24"/>
              </w:rPr>
              <w:br w:type="textWrapping"/>
            </w:r>
            <w:r>
              <w:rPr>
                <w:rFonts w:hint="default" w:ascii="Times New Roman" w:hAnsi="Times New Roman" w:eastAsia="仿宋_GB2312" w:cs="Times New Roman"/>
                <w:sz w:val="24"/>
                <w:szCs w:val="24"/>
              </w:rPr>
              <w:t>3.政府信息公开工作机构的名称、办公地址、办公时间、联系电话、传真号码、互联网联系方式等内容;</w:t>
            </w:r>
          </w:p>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4.监督与救济的机构名称、电话、传真、邮箱、办公地址、邮政编码、接待时间等</w:t>
            </w:r>
          </w:p>
        </w:tc>
        <w:tc>
          <w:tcPr>
            <w:tcW w:w="2268" w:type="dxa"/>
            <w:vMerge w:val="continue"/>
            <w:vAlign w:val="center"/>
          </w:tcPr>
          <w:p>
            <w:pPr>
              <w:spacing w:line="50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gridSpan w:val="2"/>
            <w:vMerge w:val="continue"/>
            <w:vAlign w:val="center"/>
          </w:tcPr>
          <w:p>
            <w:pPr>
              <w:spacing w:line="500" w:lineRule="exact"/>
              <w:rPr>
                <w:rFonts w:hint="default" w:ascii="Times New Roman" w:hAnsi="Times New Roman" w:eastAsia="仿宋_GB2312" w:cs="Times New Roman"/>
                <w:sz w:val="28"/>
                <w:szCs w:val="28"/>
              </w:rPr>
            </w:pPr>
          </w:p>
        </w:tc>
        <w:tc>
          <w:tcPr>
            <w:tcW w:w="2410" w:type="dxa"/>
            <w:vMerge w:val="continue"/>
            <w:vAlign w:val="center"/>
          </w:tcPr>
          <w:p>
            <w:pPr>
              <w:spacing w:line="500" w:lineRule="exact"/>
              <w:rPr>
                <w:rFonts w:hint="default" w:ascii="Times New Roman" w:hAnsi="Times New Roman" w:eastAsia="仿宋_GB2312" w:cs="Times New Roman"/>
                <w:sz w:val="28"/>
                <w:szCs w:val="28"/>
              </w:rPr>
            </w:pPr>
          </w:p>
        </w:tc>
        <w:tc>
          <w:tcPr>
            <w:tcW w:w="6379" w:type="dxa"/>
            <w:vAlign w:val="center"/>
          </w:tcPr>
          <w:p>
            <w:pPr>
              <w:spacing w:line="4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公开指南后面是否有信息公开申请表和流程图</w:t>
            </w:r>
          </w:p>
        </w:tc>
        <w:tc>
          <w:tcPr>
            <w:tcW w:w="2268" w:type="dxa"/>
            <w:vMerge w:val="continue"/>
            <w:vAlign w:val="center"/>
          </w:tcPr>
          <w:p>
            <w:pPr>
              <w:spacing w:line="500" w:lineRule="exact"/>
              <w:rPr>
                <w:rFonts w:hint="default" w:ascii="Times New Roman" w:hAnsi="Times New Roman" w:eastAsia="仿宋_GB2312" w:cs="Times New Roman"/>
                <w:sz w:val="28"/>
                <w:szCs w:val="28"/>
              </w:rPr>
            </w:pPr>
          </w:p>
        </w:tc>
      </w:tr>
    </w:tbl>
    <w:p>
      <w:pPr>
        <w:spacing w:line="560" w:lineRule="exact"/>
        <w:rPr>
          <w:rFonts w:hint="default" w:ascii="Times New Roman" w:hAnsi="Times New Roman" w:eastAsia="仿宋_GB2312" w:cs="Times New Roman"/>
          <w:sz w:val="32"/>
          <w:szCs w:val="32"/>
        </w:rPr>
        <w:sectPr>
          <w:footerReference r:id="rId4" w:type="default"/>
          <w:pgSz w:w="16838" w:h="11906" w:orient="landscape"/>
          <w:pgMar w:top="1134" w:right="1440" w:bottom="1134" w:left="1440" w:header="851" w:footer="992" w:gutter="0"/>
          <w:pgNumType w:fmt="decimal"/>
          <w:cols w:space="425" w:num="1"/>
          <w:docGrid w:type="lines" w:linePitch="312" w:charSpace="0"/>
        </w:sectPr>
      </w:pPr>
    </w:p>
    <w:p>
      <w:pPr>
        <w:pStyle w:val="7"/>
        <w:rPr>
          <w:rFonts w:hint="default" w:ascii="Times New Roman" w:hAnsi="Times New Roman" w:eastAsia="仿宋_GB2312" w:cs="Times New Roman"/>
          <w:sz w:val="32"/>
          <w:szCs w:val="32"/>
        </w:rPr>
      </w:pPr>
    </w:p>
    <w:p>
      <w:pPr>
        <w:pStyle w:val="7"/>
        <w:rPr>
          <w:rFonts w:hint="default" w:ascii="Times New Roman" w:hAnsi="Times New Roman" w:eastAsia="仿宋_GB2312" w:cs="Times New Roman"/>
          <w:sz w:val="32"/>
          <w:szCs w:val="32"/>
        </w:rPr>
      </w:pPr>
    </w:p>
    <w:p>
      <w:pPr>
        <w:pStyle w:val="7"/>
        <w:rPr>
          <w:rFonts w:hint="default" w:ascii="Times New Roman" w:hAnsi="Times New Roman" w:eastAsia="仿宋_GB2312" w:cs="Times New Roman"/>
          <w:sz w:val="32"/>
          <w:szCs w:val="32"/>
        </w:rPr>
      </w:pPr>
    </w:p>
    <w:p>
      <w:pPr>
        <w:pStyle w:val="7"/>
        <w:rPr>
          <w:rFonts w:hint="default" w:ascii="Times New Roman" w:hAnsi="Times New Roman" w:eastAsia="仿宋_GB2312" w:cs="Times New Roman"/>
          <w:sz w:val="32"/>
          <w:szCs w:val="32"/>
        </w:rPr>
      </w:pPr>
    </w:p>
    <w:p>
      <w:pPr>
        <w:pStyle w:val="7"/>
        <w:rPr>
          <w:rFonts w:hint="default" w:ascii="Times New Roman" w:hAnsi="Times New Roman" w:eastAsia="仿宋_GB2312" w:cs="Times New Roman"/>
          <w:sz w:val="32"/>
          <w:szCs w:val="32"/>
        </w:rPr>
      </w:pPr>
    </w:p>
    <w:p>
      <w:pPr>
        <w:pStyle w:val="7"/>
        <w:rPr>
          <w:rFonts w:hint="default" w:ascii="Times New Roman" w:hAnsi="Times New Roman" w:eastAsia="仿宋_GB2312" w:cs="Times New Roman"/>
          <w:sz w:val="32"/>
          <w:szCs w:val="32"/>
        </w:rPr>
      </w:pPr>
    </w:p>
    <w:p>
      <w:pPr>
        <w:pStyle w:val="7"/>
        <w:rPr>
          <w:rFonts w:hint="default" w:ascii="Times New Roman" w:hAnsi="Times New Roman" w:eastAsia="仿宋_GB2312" w:cs="Times New Roman"/>
          <w:sz w:val="32"/>
          <w:szCs w:val="32"/>
        </w:rPr>
      </w:pPr>
    </w:p>
    <w:p>
      <w:pPr>
        <w:pStyle w:val="7"/>
        <w:rPr>
          <w:rFonts w:hint="default" w:ascii="Times New Roman" w:hAnsi="Times New Roman" w:eastAsia="仿宋_GB2312" w:cs="Times New Roman"/>
          <w:sz w:val="32"/>
          <w:szCs w:val="32"/>
        </w:rPr>
      </w:pPr>
    </w:p>
    <w:p>
      <w:pPr>
        <w:pStyle w:val="7"/>
        <w:rPr>
          <w:rFonts w:hint="default" w:ascii="Times New Roman" w:hAnsi="Times New Roman" w:eastAsia="仿宋_GB2312" w:cs="Times New Roman"/>
          <w:sz w:val="32"/>
          <w:szCs w:val="32"/>
        </w:rPr>
      </w:pPr>
    </w:p>
    <w:p>
      <w:pPr>
        <w:pStyle w:val="7"/>
        <w:rPr>
          <w:rFonts w:hint="default" w:ascii="Times New Roman" w:hAnsi="Times New Roman" w:eastAsia="仿宋_GB2312" w:cs="Times New Roman"/>
          <w:sz w:val="32"/>
          <w:szCs w:val="32"/>
        </w:rPr>
      </w:pPr>
    </w:p>
    <w:p>
      <w:pPr>
        <w:pStyle w:val="7"/>
        <w:rPr>
          <w:rFonts w:hint="default" w:ascii="Times New Roman" w:hAnsi="Times New Roman" w:eastAsia="仿宋_GB2312" w:cs="Times New Roman"/>
          <w:sz w:val="32"/>
          <w:szCs w:val="32"/>
        </w:rPr>
      </w:pPr>
    </w:p>
    <w:p>
      <w:pPr>
        <w:pStyle w:val="7"/>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pStyle w:val="7"/>
        <w:rPr>
          <w:rFonts w:hint="default" w:ascii="Times New Roman" w:hAnsi="Times New Roman" w:eastAsia="仿宋_GB2312" w:cs="Times New Roman"/>
          <w:sz w:val="32"/>
          <w:szCs w:val="32"/>
        </w:rPr>
      </w:pPr>
    </w:p>
    <w:p>
      <w:pPr>
        <w:pStyle w:val="7"/>
        <w:rPr>
          <w:rFonts w:hint="default" w:ascii="Times New Roman" w:hAnsi="Times New Roman" w:eastAsia="仿宋_GB2312" w:cs="Times New Roman"/>
          <w:sz w:val="32"/>
          <w:szCs w:val="32"/>
        </w:rPr>
      </w:pPr>
    </w:p>
    <w:p>
      <w:pPr>
        <w:pStyle w:val="7"/>
        <w:rPr>
          <w:rFonts w:hint="default" w:ascii="Times New Roman" w:hAnsi="Times New Roman" w:eastAsia="仿宋_GB2312" w:cs="Times New Roman"/>
          <w:sz w:val="32"/>
          <w:szCs w:val="32"/>
        </w:rPr>
      </w:pPr>
    </w:p>
    <w:p>
      <w:pPr>
        <w:pStyle w:val="7"/>
        <w:rPr>
          <w:rFonts w:hint="default" w:ascii="Times New Roman" w:hAnsi="Times New Roman" w:eastAsia="仿宋_GB2312" w:cs="Times New Roman"/>
          <w:sz w:val="32"/>
          <w:szCs w:val="32"/>
        </w:rPr>
      </w:pPr>
    </w:p>
    <w:p>
      <w:pPr>
        <w:pStyle w:val="7"/>
        <w:rPr>
          <w:rFonts w:hint="default" w:ascii="Times New Roman" w:hAnsi="Times New Roman" w:eastAsia="仿宋_GB2312" w:cs="Times New Roman"/>
          <w:sz w:val="32"/>
          <w:szCs w:val="32"/>
        </w:rPr>
      </w:pPr>
    </w:p>
    <w:p>
      <w:pPr>
        <w:pStyle w:val="7"/>
        <w:rPr>
          <w:rFonts w:hint="default" w:ascii="Times New Roman" w:hAnsi="Times New Roman" w:eastAsia="仿宋_GB2312" w:cs="Times New Roman"/>
          <w:sz w:val="32"/>
          <w:szCs w:val="32"/>
        </w:rPr>
      </w:pPr>
    </w:p>
    <w:p>
      <w:pPr>
        <w:pStyle w:val="7"/>
        <w:rPr>
          <w:rFonts w:hint="default" w:ascii="Times New Roman" w:hAnsi="Times New Roman" w:eastAsia="仿宋_GB2312" w:cs="Times New Roman"/>
          <w:sz w:val="32"/>
          <w:szCs w:val="32"/>
        </w:rPr>
      </w:pPr>
    </w:p>
    <w:p>
      <w:pPr>
        <w:pStyle w:val="7"/>
        <w:rPr>
          <w:rFonts w:hint="default" w:ascii="Times New Roman" w:hAnsi="Times New Roman" w:eastAsia="仿宋_GB2312" w:cs="Times New Roman"/>
          <w:sz w:val="32"/>
          <w:szCs w:val="32"/>
        </w:rPr>
      </w:pPr>
    </w:p>
    <w:p>
      <w:pPr>
        <w:pStyle w:val="7"/>
        <w:rPr>
          <w:rFonts w:hint="default" w:ascii="Times New Roman" w:hAnsi="Times New Roman" w:eastAsia="仿宋_GB2312" w:cs="Times New Roman"/>
          <w:sz w:val="32"/>
          <w:szCs w:val="32"/>
        </w:rPr>
      </w:pPr>
    </w:p>
    <w:p>
      <w:pPr>
        <w:pStyle w:val="7"/>
        <w:rPr>
          <w:rFonts w:hint="default" w:ascii="Times New Roman" w:hAnsi="Times New Roman" w:eastAsia="仿宋_GB2312" w:cs="Times New Roman"/>
          <w:sz w:val="32"/>
          <w:szCs w:val="32"/>
        </w:rPr>
      </w:pPr>
    </w:p>
    <w:p>
      <w:pPr>
        <w:pStyle w:val="7"/>
        <w:rPr>
          <w:rFonts w:hint="default" w:ascii="Times New Roman" w:hAnsi="Times New Roman" w:eastAsia="仿宋_GB2312" w:cs="Times New Roman"/>
          <w:sz w:val="32"/>
          <w:szCs w:val="32"/>
        </w:rPr>
      </w:pPr>
    </w:p>
    <w:p>
      <w:pPr>
        <w:pStyle w:val="7"/>
        <w:rPr>
          <w:rFonts w:hint="default" w:ascii="Times New Roman" w:hAnsi="Times New Roman" w:eastAsia="仿宋_GB2312" w:cs="Times New Roman"/>
          <w:sz w:val="32"/>
          <w:szCs w:val="32"/>
        </w:rPr>
      </w:pPr>
    </w:p>
    <w:p>
      <w:pPr>
        <w:pStyle w:val="7"/>
        <w:rPr>
          <w:rFonts w:hint="default" w:ascii="Times New Roman" w:hAnsi="Times New Roman" w:eastAsia="仿宋_GB2312" w:cs="Times New Roman"/>
          <w:sz w:val="32"/>
          <w:szCs w:val="32"/>
        </w:rPr>
      </w:pPr>
    </w:p>
    <w:p>
      <w:pPr>
        <w:keepNext w:val="0"/>
        <w:keepLines w:val="0"/>
        <w:pageBreakBefore w:val="0"/>
        <w:widowControl w:val="0"/>
        <w:shd w:val="clear" w:color="auto"/>
        <w:kinsoku/>
        <w:wordWrap/>
        <w:overflowPunct/>
        <w:topLinePunct w:val="0"/>
        <w:autoSpaceDE/>
        <w:autoSpaceDN/>
        <w:bidi w:val="0"/>
        <w:adjustRightInd/>
        <w:snapToGrid/>
        <w:spacing w:line="700" w:lineRule="exact"/>
        <w:ind w:firstLine="560" w:firstLineChars="200"/>
        <w:jc w:val="left"/>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179705</wp:posOffset>
                </wp:positionH>
                <wp:positionV relativeFrom="paragraph">
                  <wp:posOffset>390525</wp:posOffset>
                </wp:positionV>
                <wp:extent cx="5760085" cy="9525"/>
                <wp:effectExtent l="0" t="7620" r="12065" b="11430"/>
                <wp:wrapNone/>
                <wp:docPr id="5" name="直接连接符 5"/>
                <wp:cNvGraphicFramePr/>
                <a:graphic xmlns:a="http://schemas.openxmlformats.org/drawingml/2006/main">
                  <a:graphicData uri="http://schemas.microsoft.com/office/word/2010/wordprocessingShape">
                    <wps:wsp>
                      <wps:cNvCnPr/>
                      <wps:spPr>
                        <a:xfrm flipV="1">
                          <a:off x="0" y="0"/>
                          <a:ext cx="5760085" cy="952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4.15pt;margin-top:30.75pt;height:0.75pt;width:453.55pt;z-index:251661312;mso-width-relative:page;mso-height-relative:page;" filled="f" stroked="t" coordsize="21600,21600" o:gfxdata="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Uba29YAAAAIAQAADwAAAAAA&#10;AAABACAAAAAiAAAAZHJzL2Rvd25yZXYueG1sUEsBAhQAFAAAAAgAh07iQBr1LUncAQAAmAMAAA4A&#10;AAAAAAAAAQAgAAAAJQEAAGRycy9lMm9Eb2MueG1sUEsFBgAAAAAGAAYAWQEAAHMFA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default" w:ascii="Times New Roman" w:hAnsi="Times New Roman" w:eastAsia="仿宋" w:cs="Times New Roman"/>
          <w:color w:val="000000"/>
          <w:spacing w:val="-2"/>
          <w:sz w:val="28"/>
          <w:szCs w:val="28"/>
        </w:rPr>
      </w:pPr>
      <w:r>
        <w:rPr>
          <w:rFonts w:hint="default" w:ascii="Times New Roman" w:hAnsi="Times New Roman" w:eastAsia="仿宋" w:cs="Times New Roman"/>
          <w:color w:val="000000"/>
          <w:sz w:val="28"/>
          <w:szCs w:val="28"/>
        </w:rPr>
        <w:t>抄送：</w:t>
      </w:r>
      <w:r>
        <w:rPr>
          <w:rFonts w:hint="default" w:ascii="Times New Roman" w:hAnsi="Times New Roman" w:eastAsia="仿宋" w:cs="Times New Roman"/>
          <w:color w:val="000000"/>
          <w:spacing w:val="-2"/>
          <w:sz w:val="28"/>
          <w:szCs w:val="28"/>
        </w:rPr>
        <w:t>县委各部门，县人大常委会办公室，县政协办公室，县监委，</w:t>
      </w:r>
    </w:p>
    <w:p>
      <w:pPr>
        <w:keepNext w:val="0"/>
        <w:keepLines w:val="0"/>
        <w:pageBreakBefore w:val="0"/>
        <w:widowControl w:val="0"/>
        <w:kinsoku/>
        <w:wordWrap/>
        <w:overflowPunct/>
        <w:topLinePunct w:val="0"/>
        <w:autoSpaceDE/>
        <w:autoSpaceDN/>
        <w:bidi w:val="0"/>
        <w:adjustRightInd/>
        <w:snapToGrid/>
        <w:spacing w:line="400" w:lineRule="exact"/>
        <w:ind w:left="0" w:firstLine="1380" w:firstLineChars="5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pacing w:val="-2"/>
          <w:sz w:val="28"/>
          <w:szCs w:val="28"/>
        </w:rPr>
        <w:t>县法院，县检察</w:t>
      </w:r>
      <w:r>
        <w:rPr>
          <w:rFonts w:hint="default" w:ascii="Times New Roman" w:hAnsi="Times New Roman" w:eastAsia="仿宋" w:cs="Times New Roman"/>
          <w:color w:val="000000"/>
          <w:sz w:val="28"/>
          <w:szCs w:val="28"/>
        </w:rPr>
        <w:t>院。</w:t>
      </w:r>
    </w:p>
    <w:p>
      <w:pPr>
        <w:spacing w:line="560" w:lineRule="exact"/>
        <w:ind w:firstLine="560" w:firstLineChars="200"/>
        <w:rPr>
          <w:rFonts w:hint="default" w:ascii="Times New Roman" w:hAnsi="Times New Roman" w:eastAsia="仿宋_GB2312" w:cs="Times New Roman"/>
          <w:sz w:val="32"/>
          <w:szCs w:val="32"/>
        </w:rPr>
      </w:pPr>
      <w:r>
        <w:rPr>
          <w:rFonts w:hint="default" w:ascii="Times New Roman" w:hAnsi="Times New Roman" w:eastAsia="仿宋" w:cs="Times New Roman"/>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179705</wp:posOffset>
                </wp:positionH>
                <wp:positionV relativeFrom="paragraph">
                  <wp:posOffset>358140</wp:posOffset>
                </wp:positionV>
                <wp:extent cx="5760085" cy="19050"/>
                <wp:effectExtent l="0" t="7620" r="12065" b="11430"/>
                <wp:wrapNone/>
                <wp:docPr id="8" name="直接连接符 8"/>
                <wp:cNvGraphicFramePr/>
                <a:graphic xmlns:a="http://schemas.openxmlformats.org/drawingml/2006/main">
                  <a:graphicData uri="http://schemas.microsoft.com/office/word/2010/wordprocessingShape">
                    <wps:wsp>
                      <wps:cNvCnPr/>
                      <wps:spPr>
                        <a:xfrm flipV="1">
                          <a:off x="0" y="0"/>
                          <a:ext cx="5760085" cy="1905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4.15pt;margin-top:28.2pt;height:1.5pt;width:453.55pt;z-index:251660288;mso-width-relative:page;mso-height-relative:page;" filled="f" stroked="t" coordsize="21600,21600" o:gfxdata="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fUE/LWAAAACAEAAA8AAAAA&#10;AAAAAQAgAAAAIgAAAGRycy9kb3ducmV2LnhtbFBLAQIUABQAAAAIAIdO4kCoWknQ3QEAAJkDAAAO&#10;AAAAAAAAAAEAIAAAACUBAABkcnMvZTJvRG9jLnhtbFBLBQYAAAAABgAGAFkBAAB0BQAAAAA=&#10;">
                <v:fill on="f" focussize="0,0"/>
                <v:stroke weight="1.25pt" color="#000000" joinstyle="round"/>
                <v:imagedata o:title=""/>
                <o:lock v:ext="edit" aspectratio="f"/>
              </v:line>
            </w:pict>
          </mc:Fallback>
        </mc:AlternateContent>
      </w:r>
      <w:r>
        <w:rPr>
          <w:rFonts w:hint="default" w:ascii="Times New Roman" w:hAnsi="Times New Roman" w:eastAsia="仿宋" w:cs="Times New Roman"/>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179705</wp:posOffset>
                </wp:positionH>
                <wp:positionV relativeFrom="paragraph">
                  <wp:posOffset>24765</wp:posOffset>
                </wp:positionV>
                <wp:extent cx="5760085" cy="19050"/>
                <wp:effectExtent l="0" t="6350" r="12065" b="12700"/>
                <wp:wrapNone/>
                <wp:docPr id="7" name="直接连接符 7"/>
                <wp:cNvGraphicFramePr/>
                <a:graphic xmlns:a="http://schemas.openxmlformats.org/drawingml/2006/main">
                  <a:graphicData uri="http://schemas.microsoft.com/office/word/2010/wordprocessingShape">
                    <wps:wsp>
                      <wps:cNvCnPr/>
                      <wps:spPr>
                        <a:xfrm flipV="1">
                          <a:off x="0" y="0"/>
                          <a:ext cx="5760085" cy="1905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4.15pt;margin-top:1.95pt;height:1.5pt;width:453.55pt;z-index:251659264;mso-width-relative:page;mso-height-relative:page;" filled="f" stroked="t" coordsize="21600,21600" o:gfxdata="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06BA9cAAAAGAQAADwAA&#10;AAAAAAABACAAAAAiAAAAZHJzL2Rvd25yZXYueG1sUEsBAhQAFAAAAAgAh07iQLYJqmXeAQAAmQMA&#10;AA4AAAAAAAAAAQAgAAAAJgEAAGRycy9lMm9Eb2MueG1sUEsFBgAAAAAGAAYAWQEAAHYFAAAAAA==&#10;">
                <v:fill on="f" focussize="0,0"/>
                <v:stroke weight="1pt" color="#000000" joinstyle="round"/>
                <v:imagedata o:title=""/>
                <o:lock v:ext="edit" aspectratio="f"/>
              </v:line>
            </w:pict>
          </mc:Fallback>
        </mc:AlternateContent>
      </w:r>
      <w:r>
        <w:rPr>
          <w:rFonts w:hint="default" w:ascii="Times New Roman" w:hAnsi="Times New Roman" w:eastAsia="仿宋" w:cs="Times New Roman"/>
          <w:color w:val="000000"/>
          <w:sz w:val="28"/>
          <w:szCs w:val="28"/>
        </w:rPr>
        <w:t>高青县人民政府办公室                     2020年7月31日印发</w:t>
      </w:r>
    </w:p>
    <w:sectPr>
      <w:footerReference r:id="rId5" w:type="default"/>
      <w:pgSz w:w="11906" w:h="16838"/>
      <w:pgMar w:top="1440" w:right="1134" w:bottom="1440" w:left="1134"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4E2"/>
    <w:rsid w:val="000008AC"/>
    <w:rsid w:val="000015A2"/>
    <w:rsid w:val="00031199"/>
    <w:rsid w:val="00033014"/>
    <w:rsid w:val="00063F47"/>
    <w:rsid w:val="000653EB"/>
    <w:rsid w:val="00076D05"/>
    <w:rsid w:val="00096652"/>
    <w:rsid w:val="000B5AA9"/>
    <w:rsid w:val="000C02F5"/>
    <w:rsid w:val="001409E5"/>
    <w:rsid w:val="0014792A"/>
    <w:rsid w:val="0016172E"/>
    <w:rsid w:val="001C74FD"/>
    <w:rsid w:val="001F2332"/>
    <w:rsid w:val="001F75CC"/>
    <w:rsid w:val="00203B99"/>
    <w:rsid w:val="0020505C"/>
    <w:rsid w:val="00206F8B"/>
    <w:rsid w:val="002256DB"/>
    <w:rsid w:val="002312FA"/>
    <w:rsid w:val="00233131"/>
    <w:rsid w:val="0025246E"/>
    <w:rsid w:val="0026685C"/>
    <w:rsid w:val="00274159"/>
    <w:rsid w:val="0027635C"/>
    <w:rsid w:val="00286A26"/>
    <w:rsid w:val="002A0A89"/>
    <w:rsid w:val="002B25B6"/>
    <w:rsid w:val="002C6B66"/>
    <w:rsid w:val="002D1C54"/>
    <w:rsid w:val="002D7CC8"/>
    <w:rsid w:val="002E186F"/>
    <w:rsid w:val="002E465A"/>
    <w:rsid w:val="002E70DD"/>
    <w:rsid w:val="002F1753"/>
    <w:rsid w:val="0032100C"/>
    <w:rsid w:val="003272EB"/>
    <w:rsid w:val="0033676F"/>
    <w:rsid w:val="00347A11"/>
    <w:rsid w:val="003513DE"/>
    <w:rsid w:val="003964E2"/>
    <w:rsid w:val="00396639"/>
    <w:rsid w:val="003C62A6"/>
    <w:rsid w:val="003D41A2"/>
    <w:rsid w:val="004024C1"/>
    <w:rsid w:val="004259E4"/>
    <w:rsid w:val="00425EB1"/>
    <w:rsid w:val="00454845"/>
    <w:rsid w:val="004658B0"/>
    <w:rsid w:val="00466C40"/>
    <w:rsid w:val="004703EA"/>
    <w:rsid w:val="0047798C"/>
    <w:rsid w:val="00494478"/>
    <w:rsid w:val="004F05DF"/>
    <w:rsid w:val="00505EDE"/>
    <w:rsid w:val="00547DFD"/>
    <w:rsid w:val="00551E49"/>
    <w:rsid w:val="00556EF0"/>
    <w:rsid w:val="00570F20"/>
    <w:rsid w:val="00575BE7"/>
    <w:rsid w:val="005875A6"/>
    <w:rsid w:val="00590A49"/>
    <w:rsid w:val="00593B57"/>
    <w:rsid w:val="005B2B2D"/>
    <w:rsid w:val="005F1C83"/>
    <w:rsid w:val="00603DB4"/>
    <w:rsid w:val="00606E78"/>
    <w:rsid w:val="00647156"/>
    <w:rsid w:val="0065722C"/>
    <w:rsid w:val="00670EC2"/>
    <w:rsid w:val="00680DE5"/>
    <w:rsid w:val="006A2E0F"/>
    <w:rsid w:val="006A4CF9"/>
    <w:rsid w:val="006A78F8"/>
    <w:rsid w:val="006B3BBB"/>
    <w:rsid w:val="006D6C3C"/>
    <w:rsid w:val="00716CEB"/>
    <w:rsid w:val="007175B4"/>
    <w:rsid w:val="00722BBE"/>
    <w:rsid w:val="00731356"/>
    <w:rsid w:val="0074149D"/>
    <w:rsid w:val="00746D1D"/>
    <w:rsid w:val="00746D5A"/>
    <w:rsid w:val="00750279"/>
    <w:rsid w:val="007C03F2"/>
    <w:rsid w:val="007C3BA8"/>
    <w:rsid w:val="007E4E6E"/>
    <w:rsid w:val="007F6464"/>
    <w:rsid w:val="00803F44"/>
    <w:rsid w:val="0081104B"/>
    <w:rsid w:val="00811950"/>
    <w:rsid w:val="00830FAA"/>
    <w:rsid w:val="00880ACD"/>
    <w:rsid w:val="00884468"/>
    <w:rsid w:val="008F2880"/>
    <w:rsid w:val="009060A1"/>
    <w:rsid w:val="00920292"/>
    <w:rsid w:val="00952720"/>
    <w:rsid w:val="0095339A"/>
    <w:rsid w:val="00962AE2"/>
    <w:rsid w:val="00971005"/>
    <w:rsid w:val="00974D2A"/>
    <w:rsid w:val="00984308"/>
    <w:rsid w:val="009B4CCB"/>
    <w:rsid w:val="009F3020"/>
    <w:rsid w:val="00A0059A"/>
    <w:rsid w:val="00A1537D"/>
    <w:rsid w:val="00A2007F"/>
    <w:rsid w:val="00A30860"/>
    <w:rsid w:val="00A37253"/>
    <w:rsid w:val="00A418D2"/>
    <w:rsid w:val="00A43C9B"/>
    <w:rsid w:val="00A56B92"/>
    <w:rsid w:val="00A65C97"/>
    <w:rsid w:val="00A65E7C"/>
    <w:rsid w:val="00A70763"/>
    <w:rsid w:val="00A85BFD"/>
    <w:rsid w:val="00AA6457"/>
    <w:rsid w:val="00AD4834"/>
    <w:rsid w:val="00B000C2"/>
    <w:rsid w:val="00B33A8C"/>
    <w:rsid w:val="00B36685"/>
    <w:rsid w:val="00B52018"/>
    <w:rsid w:val="00B6162C"/>
    <w:rsid w:val="00B9092F"/>
    <w:rsid w:val="00BB462A"/>
    <w:rsid w:val="00BC6733"/>
    <w:rsid w:val="00BD3E03"/>
    <w:rsid w:val="00BE3077"/>
    <w:rsid w:val="00BE6E96"/>
    <w:rsid w:val="00C161A4"/>
    <w:rsid w:val="00C40123"/>
    <w:rsid w:val="00C470D9"/>
    <w:rsid w:val="00C72236"/>
    <w:rsid w:val="00C81E4D"/>
    <w:rsid w:val="00CA2188"/>
    <w:rsid w:val="00CB6551"/>
    <w:rsid w:val="00D434DE"/>
    <w:rsid w:val="00D56A06"/>
    <w:rsid w:val="00D6069F"/>
    <w:rsid w:val="00DB6DAE"/>
    <w:rsid w:val="00DB7124"/>
    <w:rsid w:val="00DE4BAE"/>
    <w:rsid w:val="00E41F85"/>
    <w:rsid w:val="00E46BD3"/>
    <w:rsid w:val="00E52C1E"/>
    <w:rsid w:val="00E557C9"/>
    <w:rsid w:val="00E72AD5"/>
    <w:rsid w:val="00E80449"/>
    <w:rsid w:val="00EB7A66"/>
    <w:rsid w:val="00EE3374"/>
    <w:rsid w:val="00EF481F"/>
    <w:rsid w:val="00F02055"/>
    <w:rsid w:val="00F0760F"/>
    <w:rsid w:val="00F35E9F"/>
    <w:rsid w:val="00F703FE"/>
    <w:rsid w:val="00F879A6"/>
    <w:rsid w:val="00FA47B8"/>
    <w:rsid w:val="00FA4F24"/>
    <w:rsid w:val="00FE0C80"/>
    <w:rsid w:val="00FE3ED7"/>
    <w:rsid w:val="2A251B80"/>
    <w:rsid w:val="4A145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semiHidden/>
    <w:unhideWhenUsed/>
    <w:qFormat/>
    <w:uiPriority w:val="99"/>
    <w:pPr>
      <w:spacing w:after="120"/>
      <w:ind w:left="420" w:leftChars="2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2"/>
    <w:basedOn w:val="2"/>
    <w:link w:val="15"/>
    <w:unhideWhenUsed/>
    <w:qFormat/>
    <w:uiPriority w:val="99"/>
    <w:pPr>
      <w:spacing w:before="100" w:beforeAutospacing="1"/>
      <w:ind w:firstLine="420"/>
    </w:pPr>
    <w:rPr>
      <w:rFonts w:ascii="Times New Roman" w:hAnsi="Times New Roman" w:eastAsia="宋体" w:cs="Times New Roman"/>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5"/>
    <w:qFormat/>
    <w:uiPriority w:val="99"/>
    <w:rPr>
      <w:sz w:val="18"/>
      <w:szCs w:val="18"/>
    </w:rPr>
  </w:style>
  <w:style w:type="character" w:customStyle="1" w:styleId="12">
    <w:name w:val="页脚 Char"/>
    <w:basedOn w:val="10"/>
    <w:link w:val="4"/>
    <w:qFormat/>
    <w:uiPriority w:val="99"/>
    <w:rPr>
      <w:sz w:val="18"/>
      <w:szCs w:val="18"/>
    </w:rPr>
  </w:style>
  <w:style w:type="character" w:customStyle="1" w:styleId="13">
    <w:name w:val="批注框文本 Char"/>
    <w:basedOn w:val="10"/>
    <w:link w:val="3"/>
    <w:semiHidden/>
    <w:qFormat/>
    <w:uiPriority w:val="99"/>
    <w:rPr>
      <w:sz w:val="18"/>
      <w:szCs w:val="18"/>
    </w:rPr>
  </w:style>
  <w:style w:type="character" w:customStyle="1" w:styleId="14">
    <w:name w:val="正文文本缩进 Char"/>
    <w:basedOn w:val="10"/>
    <w:link w:val="2"/>
    <w:semiHidden/>
    <w:qFormat/>
    <w:uiPriority w:val="99"/>
  </w:style>
  <w:style w:type="character" w:customStyle="1" w:styleId="15">
    <w:name w:val="正文首行缩进 2 Char"/>
    <w:basedOn w:val="14"/>
    <w:link w:val="7"/>
    <w:qFormat/>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27</Pages>
  <Words>1583</Words>
  <Characters>9027</Characters>
  <Lines>75</Lines>
  <Paragraphs>21</Paragraphs>
  <TotalTime>1</TotalTime>
  <ScaleCrop>false</ScaleCrop>
  <LinksUpToDate>false</LinksUpToDate>
  <CharactersWithSpaces>10589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2020-07-05T01:51:00Z</dcterms:created>
  <dc:creator>lb</dc:creator>
  <cp:lastModifiedBy>走过……</cp:lastModifiedBy>
  <cp:lastPrinted>2020-07-23T00:51:00Z</cp:lastPrinted>
  <dcterms:modified xsi:type="dcterms:W3CDTF">2020-08-06T06:00:37Z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