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820" w:lineRule="exact"/>
        <w:jc w:val="center"/>
        <w:textAlignment w:val="auto"/>
        <w:rPr>
          <w:rFonts w:hint="default" w:ascii="Times New Roman" w:hAnsi="Times New Roman"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高政办字〔2021〕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高青县人民政府办公室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简体" w:cs="Times New Roman"/>
          <w:b w:val="0"/>
          <w:bCs w:val="0"/>
          <w:sz w:val="44"/>
          <w:szCs w:val="44"/>
          <w:lang w:val="en-US"/>
        </w:rPr>
      </w:pPr>
      <w:r>
        <w:rPr>
          <w:rFonts w:hint="default" w:ascii="Times New Roman" w:hAnsi="Times New Roman" w:eastAsia="方正小标宋简体" w:cs="Times New Roman"/>
          <w:b w:val="0"/>
          <w:bCs w:val="0"/>
          <w:sz w:val="44"/>
          <w:szCs w:val="44"/>
          <w:lang w:val="en-US" w:eastAsia="zh-CN"/>
        </w:rPr>
        <w:t>关于印发高青县应急物资储备体系建设规划（2020-2030年）的通知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各镇人民政府，各街道办事处，经济开发区管委会，县政府各部门，各有关单位：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高青县应急物资储备体系建设规划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2020-2030年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已经县政府同意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现印发给你们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请结合实际认真组织实施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高青县人民政府办公室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此件公开发布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高青县</w:t>
      </w:r>
      <w:r>
        <w:rPr>
          <w:rFonts w:hint="default" w:ascii="Times New Roman" w:hAnsi="Times New Roman" w:eastAsia="方正小标宋简体" w:cs="Times New Roman"/>
          <w:color w:val="auto"/>
          <w:sz w:val="44"/>
          <w:szCs w:val="44"/>
        </w:rPr>
        <w:t>应急物资储备体系建设规划</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2020-2030年</w:t>
      </w:r>
      <w:r>
        <w:rPr>
          <w:rFonts w:hint="default" w:ascii="Times New Roman" w:hAnsi="Times New Roman" w:eastAsia="方正小标宋简体" w:cs="Times New Roman"/>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为加强全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应急物资储备体系建设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提高应对处置突发事件能力和水平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保障人民生命财产安全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中华人民共和国国家安全法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山东省突发事件应对条例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山东省突发事件应急保障条例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等有关法律法规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山东省应急物资储备体系建设规划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2020-2030年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淄博市</w:t>
      </w:r>
      <w:r>
        <w:rPr>
          <w:rFonts w:hint="default" w:ascii="Times New Roman" w:hAnsi="Times New Roman" w:eastAsia="仿宋_GB2312" w:cs="Times New Roman"/>
          <w:color w:val="auto"/>
          <w:sz w:val="32"/>
          <w:szCs w:val="32"/>
        </w:rPr>
        <w:t>应急物资储备体系建设规划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2020-2030年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编制本规划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本规划期限为2020-2030年</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本规划所称应急物资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是指自然灾害、事故灾难、公共卫生和社会安全等突发事件防范与应对处置工作中必需的保障性物资和装备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按功能分为生活保障、医疗卫生、抢险救援三大类</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形势与现状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（一）形势背景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2020年初，在应对新中国成立以来发生的传播速度最快、感染范围最广、防控难度最大的新冠肺炎疫情防控中，习近平总书记主持召开中央全面深化改革委员会第十二次会议并发表重要讲话，要求健全统一的应急物资保障体系，把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要健全国家储备体系，科学调整储备的品类、规模、结构，提升储备效能。要建立国家统一的应急物资采购供应体系，对应急救援物资实行集中管理、统一调拨、统一配送，推动应急物资供应保障网更加高效安全可控。为认真贯彻落实习近平总书记关于加强应急物资保障体系建设重要讲话精神，县党委政府把加强应急物资保障体系建设列为重点攻坚任务，为进一步加强应急物资保障体系建设，制定《高青县应急物资储备体系建设规划（2020-2030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（二）突发事件风险分析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高青县位于淄博市北部，是淄博市辖区县之一。近年来，经济社会快速发展，公共安全形势较为严峻复杂，诸多隐患风险交织叠加。一是自然灾害较为严重，洪涝、干旱、雨雪、冰雹、寒潮等灾害种类多、发生频率高、造成损失大；二是城市化进程加快，生产和商贸活动频繁，致灾因素多，各类事故隐患和安全风险错综复杂。全县危化品企业29家，其中生产企业18家（全市危化品企业493家，其中生产企业252家），约占全市的7/100，危化品运输车辆44辆，重大危险源53处，重点监管化工工艺9种，重点监管危化品29种，化工爆炸泄露事故风险较大。此外还存在消防火灾事故等灾害风险；三是道路交通发展较快，自然环境复杂，病媒生物多样，传染病种类多，存在发生重大传染病突发疫情等公共卫生事件风险。四是面对改革处于攻坚期的社会形势，影响公共安全的风险还一定程度存在。根据突发事件风险评估结果，我县还存在食品药品安全、生物灾害、环境事件、交通事故、城市建筑造成人员伤亡事故等突发事件风险，可能对我县人民生命财产安全、经济发展和社会稳定造成威胁。为有效应对各类突发事件，需建立机制统一、高效灵敏的应急物资保障体系，确保应急物资关键时刻拿得出、调得快、用得上，最大限度减少突发事件损失，为经济社会发展提供有力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（三）应急物资储备现状分析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经过多年工作实践，全县各级各部门应急物资储备和保障能力已具备一定基础，在应对突发事件过程中发挥了重要保障作用。县应急部门成立以来，针对我县安全生产、自然灾害救援救助需求，加大应急物资储备力度。消防、公安等部门物资储备种类丰富、管理规范，自然资源、水利、交通、生态环保、农业农村、卫健等部门针对各自突发事件应对种类储备了一定的应急物资。但是同严峻复杂的公共安全形势和应急治理能力现代化要求相比，我县在应急物资储备品类、规模和储备方式等方面仍存在较大短板和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1．应急物资储备现状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我县已初步建立了由政府各职能部门组织的应急物资政府实物储备，消防救援队等专业队伍储备，但企业（商业）储备、产能储备等方式没有形成规范的模式，发挥作用不足，应急物资储备整体布局不均衡。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（1）政府实物储备现状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已初步建立生活保障类和抢险救援类政府实物储备。我县储备了一定量的救灾帐篷、折叠床、棉被、冲锋舟、潜水泵、挖掘机等。政府各职能部门和专业救援队伍及相关部门建有一定规模的物资储备库房，储备了危化品抢险救援、抗洪排涝、消防救援、森林火灾救援、农业林业病虫害防治、电网抢修、网络瘫痪、地震救援等物资，可满足一般灾害事故抢险救援需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公共卫生方面，我县县级储备已实行项目化运作，采取企业协议储备方式完成目前市、县储备要求。县疾控中心和县医院等各储备了一定量的疫情防控和医疗救治物资。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（2）企业（商业）储备现状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目前，县级已采取企业协议储备方式储备部分棉被。生活日用品由各镇（街道）采取与大型商场超市签约形式，由企业代政府储备实行商业动态储备模式，定期轮换。重大疫情防控物资与我县口罩生产企业签订协议，通过企业经营实现政府储备的物资轮换并满足商业储备规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（3）储备库现状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我县各突发事件应对部门建立了各自的应急物资储备库房，个别单位临时租赁库房。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（4）产能（储备）现状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经过前期调查了解，我县目前疫情防控物资口罩产能较为充足，其他应急物资如编织袋、毛巾被等企业产能不足。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2．存在的短板和不足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（1）应急物资储备体制还不够完善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机构改革后，防灾减灾救灾工作职能变化大，应急物资储备涉及部门多，目前尚缺乏集中管理与分级分类管理的制度机制，应急物资分级分类储备事权不明确。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（2）应急物资储备不完备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现有储备物资以受灾人员生活救助、公共卫生防疫、洪涝灾害救援为主，各类应急物资储备种类少、规模小。企业储备、产能储备尚未形成体系，专业队伍应急救援物资储备有待加强，应急物资社会化储备少。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（3）应急物资储备机制不健全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缺乏应急物资储备计划、储备标准、储备名录。物资统一应急采购机制未建立，缺乏统筹规划，资金保障机制、收储轮换机制不健全。征用补偿机制不健全，应急物资征用无相关制度支持。紧急调配和保障机制有待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（4）应急物资储备管理信息化水平不高。全县应急物资、装备、专业队伍等信息资源较为分散。信息化程度不高，应急物资管理水平有待提高。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以习近平新时代中国特色社会主义思想为指导，深入学习贯彻习近平总书记关于应急管理体系和能力现代化重要论述，全面贯彻党的十九大和十九届二中、三中、四中、五中全会精神，认真落实市委、市政府工作部署和县委、县政府有关要求，以建立健全集中统一的应急物资保障体系为目标，按照统一调拨、平时服务、灾时应急、采储结合、节约高效的原则，理顺体制、明确职责、优化布局、提升能力，完善应急物资储备管理制度、标准规范和管理机制，通过政府主导、市场化运作的方式，构建政府、商业、社会、使用单位相衔接的应急物资储备体系，确保关键时刻拿得出、调得快、用得上、有保证，有效应对较大突发事件，切实维护人民群众生命财产安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规划目标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以补短板强弱项为导向、以理顺体制机制为保障、以整合优化职能为支撑，2025年初步建成分级分类管理、反应迅速、保障有力的应急物资储备体系，全县应急物资储备能力和管理水平得到提升。2030年建成分级分类储备、规模适度、品类齐全、布局合理、管理有序的应急物资储备体系，实现统一规划、统一布局、统一管理和统一调度，增强防范应对处置突发事件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——应急物资管理体制机制健全完善。进一步健全完善突发事件应急物资管理体制机制，形成主管部门明确、职责分工明晰、管理职能完备、协作机制健全、灵敏高效、上下联动的应急物资管理体系。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应急物资储备体系科学完备。加快构建以政府实物储备为基础、企业（商业）储备和产能储备为辅助、社会化储备为补充的应急物资储备格局，逐步形成品类丰富、规模适度、布局完善、调拨高效的应急物资储备体系，满足应对处置较大突发事件的需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应急救援队伍装备持续改善。加强应急救援队伍装备配备，加快构建综合消防救援队伍和专业救援队伍互为支撑的装备保障机制，促进综合性消防救援队伍能力显著提升、专业救援队伍不断壮大、社会应急救援力量健康有序发展，有效提升应急救援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应急物资要素配置持续优化。建立应急物资生产调配、紧急调拨、采购等制度，提高应急状态下的要素高效协同配置能力。积极运用大数据、人工智能、云计算、物联网等数字技术，充分利用电商、物流等互联网平台，在应急管理、产业发展、资源调配等方面更好发挥作用。</w:t>
      </w:r>
    </w:p>
    <w:tbl>
      <w:tblPr>
        <w:tblStyle w:val="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08"/>
        <w:gridCol w:w="2224"/>
        <w:gridCol w:w="1100"/>
        <w:gridCol w:w="1115"/>
        <w:gridCol w:w="1073"/>
        <w:gridCol w:w="1085"/>
        <w:gridCol w:w="108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10156"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pacing w:val="0"/>
                <w:w w:val="100"/>
                <w:position w:val="0"/>
                <w:sz w:val="21"/>
                <w:szCs w:val="21"/>
                <w:shd w:val="clear" w:color="auto" w:fill="auto"/>
              </w:rPr>
              <w:t>专栏</w:t>
            </w:r>
            <w:r>
              <w:rPr>
                <w:rFonts w:hint="default" w:ascii="Times New Roman" w:hAnsi="Times New Roman" w:eastAsia="黑体" w:cs="Times New Roman"/>
                <w:b w:val="0"/>
                <w:bCs w:val="0"/>
                <w:color w:val="auto"/>
                <w:spacing w:val="0"/>
                <w:w w:val="100"/>
                <w:position w:val="0"/>
                <w:sz w:val="21"/>
                <w:szCs w:val="21"/>
                <w:shd w:val="clear" w:color="auto" w:fill="auto"/>
                <w:lang w:val="en-US" w:eastAsia="zh-CN"/>
              </w:rPr>
              <w:t xml:space="preserve">1   </w:t>
            </w:r>
            <w:r>
              <w:rPr>
                <w:rFonts w:hint="default" w:ascii="Times New Roman" w:hAnsi="Times New Roman" w:eastAsia="黑体" w:cs="Times New Roman"/>
                <w:b w:val="0"/>
                <w:bCs w:val="0"/>
                <w:color w:val="auto"/>
                <w:spacing w:val="0"/>
                <w:w w:val="100"/>
                <w:position w:val="0"/>
                <w:sz w:val="21"/>
                <w:szCs w:val="21"/>
                <w:shd w:val="clear" w:color="auto" w:fill="auto"/>
              </w:rPr>
              <w:t>应急物资储备能力目标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blHeader/>
          <w:jc w:val="center"/>
        </w:trPr>
        <w:tc>
          <w:tcPr>
            <w:tcW w:w="109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b w:val="0"/>
                <w:bCs w:val="0"/>
                <w:color w:val="auto"/>
                <w:sz w:val="32"/>
                <w:szCs w:val="32"/>
                <w:vertAlign w:val="baseline"/>
                <w:lang w:val="en-US" w:eastAsia="zh-CN"/>
              </w:rPr>
            </w:pPr>
            <w:r>
              <w:rPr>
                <w:rFonts w:hint="default" w:ascii="Times New Roman" w:hAnsi="Times New Roman" w:eastAsia="仿宋_GB2312" w:cs="Times New Roman"/>
                <w:color w:val="auto"/>
                <w:spacing w:val="0"/>
                <w:w w:val="100"/>
                <w:position w:val="0"/>
                <w:sz w:val="21"/>
                <w:szCs w:val="21"/>
                <w:shd w:val="clear" w:color="auto" w:fill="auto"/>
              </w:rPr>
              <w:t>品类</w:t>
            </w:r>
          </w:p>
        </w:tc>
        <w:tc>
          <w:tcPr>
            <w:tcW w:w="2520"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b w:val="0"/>
                <w:bCs w:val="0"/>
                <w:color w:val="auto"/>
                <w:sz w:val="32"/>
                <w:szCs w:val="32"/>
                <w:vertAlign w:val="baseline"/>
                <w:lang w:val="en-US" w:eastAsia="zh-CN"/>
              </w:rPr>
            </w:pPr>
            <w:r>
              <w:rPr>
                <w:rFonts w:hint="default" w:ascii="Times New Roman" w:hAnsi="Times New Roman" w:eastAsia="仿宋_GB2312" w:cs="Times New Roman"/>
                <w:color w:val="auto"/>
                <w:spacing w:val="0"/>
                <w:w w:val="100"/>
                <w:position w:val="0"/>
                <w:sz w:val="21"/>
                <w:szCs w:val="21"/>
                <w:shd w:val="clear" w:color="auto" w:fill="auto"/>
              </w:rPr>
              <w:t>总体规模</w:t>
            </w:r>
          </w:p>
        </w:tc>
        <w:tc>
          <w:tcPr>
            <w:tcW w:w="327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position w:val="0"/>
                <w:sz w:val="21"/>
                <w:szCs w:val="21"/>
                <w:shd w:val="clear" w:color="auto" w:fill="auto"/>
                <w:lang w:val="en-US" w:eastAsia="zh-CN"/>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2025年</w:t>
            </w:r>
          </w:p>
        </w:tc>
        <w:tc>
          <w:tcPr>
            <w:tcW w:w="327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position w:val="0"/>
                <w:sz w:val="21"/>
                <w:szCs w:val="21"/>
                <w:shd w:val="clear" w:color="auto" w:fill="auto"/>
                <w:lang w:val="en-US" w:eastAsia="zh-CN"/>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blHeader/>
          <w:jc w:val="center"/>
        </w:trPr>
        <w:tc>
          <w:tcPr>
            <w:tcW w:w="109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b w:val="0"/>
                <w:bCs w:val="0"/>
                <w:color w:val="auto"/>
                <w:sz w:val="32"/>
                <w:szCs w:val="32"/>
                <w:vertAlign w:val="baseline"/>
                <w:lang w:val="en-US" w:eastAsia="zh-CN"/>
              </w:rPr>
            </w:pPr>
          </w:p>
        </w:tc>
        <w:tc>
          <w:tcPr>
            <w:tcW w:w="2520"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b w:val="0"/>
                <w:bCs w:val="0"/>
                <w:color w:val="auto"/>
                <w:sz w:val="32"/>
                <w:szCs w:val="32"/>
                <w:vertAlign w:val="baseline"/>
                <w:lang w:val="en-US" w:eastAsia="zh-CN"/>
              </w:rPr>
            </w:pPr>
          </w:p>
        </w:tc>
        <w:tc>
          <w:tcPr>
            <w:tcW w:w="1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position w:val="0"/>
                <w:sz w:val="21"/>
                <w:szCs w:val="21"/>
                <w:shd w:val="clear" w:color="auto" w:fill="auto"/>
                <w:lang w:val="en-US" w:eastAsia="zh-CN"/>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政府储备</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position w:val="0"/>
                <w:sz w:val="21"/>
                <w:szCs w:val="21"/>
                <w:shd w:val="clear" w:color="auto" w:fill="auto"/>
                <w:lang w:val="en-US" w:eastAsia="zh-CN"/>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企业储备</w:t>
            </w:r>
          </w:p>
        </w:tc>
        <w:tc>
          <w:tcPr>
            <w:tcW w:w="10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position w:val="0"/>
                <w:sz w:val="21"/>
                <w:szCs w:val="21"/>
                <w:shd w:val="clear" w:color="auto" w:fill="auto"/>
                <w:lang w:val="en-US" w:eastAsia="zh-CN"/>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产能储备</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shd w:val="clear" w:color="auto" w:fill="auto"/>
                <w:lang w:val="en-US" w:eastAsia="zh-CN" w:bidi="ar-SA"/>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政府储备</w:t>
            </w:r>
          </w:p>
        </w:tc>
        <w:tc>
          <w:tcPr>
            <w:tcW w:w="1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shd w:val="clear" w:color="auto" w:fill="auto"/>
                <w:lang w:val="en-US" w:eastAsia="zh-CN" w:bidi="ar-SA"/>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企业储备</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shd w:val="clear" w:color="auto" w:fill="auto"/>
                <w:lang w:val="en-US" w:eastAsia="zh-CN" w:bidi="ar-SA"/>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产能储备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93"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2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生活保障类</w:t>
            </w:r>
          </w:p>
        </w:tc>
        <w:tc>
          <w:tcPr>
            <w:tcW w:w="2520" w:type="dxa"/>
            <w:gridSpan w:val="2"/>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到2025年</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达到保障4-6 万集中转移安置人口15天基本生活的规模</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到2030年</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达到保障4-6万集中转移安置人口30天基本生活的规模</w:t>
            </w:r>
            <w:r>
              <w:rPr>
                <w:rFonts w:hint="default" w:ascii="Times New Roman" w:hAnsi="Times New Roman" w:eastAsia="仿宋_GB2312" w:cs="Times New Roman"/>
                <w:color w:val="auto"/>
                <w:spacing w:val="0"/>
                <w:w w:val="100"/>
                <w:position w:val="0"/>
                <w:sz w:val="21"/>
                <w:szCs w:val="21"/>
                <w:shd w:val="clear" w:color="auto" w:fill="auto"/>
                <w:lang w:eastAsia="zh-CN"/>
              </w:rPr>
              <w:t>。</w:t>
            </w:r>
          </w:p>
        </w:tc>
        <w:tc>
          <w:tcPr>
            <w:tcW w:w="109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7天</w:t>
            </w:r>
          </w:p>
        </w:tc>
        <w:tc>
          <w:tcPr>
            <w:tcW w:w="111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5天</w:t>
            </w:r>
          </w:p>
        </w:tc>
        <w:tc>
          <w:tcPr>
            <w:tcW w:w="106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3天</w:t>
            </w:r>
          </w:p>
        </w:tc>
        <w:tc>
          <w:tcPr>
            <w:tcW w:w="10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10 天</w:t>
            </w:r>
          </w:p>
        </w:tc>
        <w:tc>
          <w:tcPr>
            <w:tcW w:w="10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7天</w:t>
            </w:r>
          </w:p>
        </w:tc>
        <w:tc>
          <w:tcPr>
            <w:tcW w:w="111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13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093" w:type="dxa"/>
            <w:vMerge w:val="restart"/>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医疗卫生类</w:t>
            </w:r>
          </w:p>
        </w:tc>
        <w:tc>
          <w:tcPr>
            <w:tcW w:w="252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到2025年，突发公共卫生事件类（Ⅰ类）应急物资储备达到保障2500人70天医疗救治的规模；突发公共卫生事件类（Ⅱ类）应急物资储备达到保障5000人15天医疗救治的规模。到2030年，以上物资分别达到保障5000人70天医疗救治和10000人21天紧急医学救援的规模。</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Ⅰ类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2500人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1个月</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Ⅰ类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2500人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10天</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Ⅰ类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2500人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1个月</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Ⅰ类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5000人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1个月</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Ⅰ类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5000人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10天</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Ⅰ类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5000人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p>
        </w:tc>
        <w:tc>
          <w:tcPr>
            <w:tcW w:w="2520" w:type="dxa"/>
            <w:gridSpan w:val="2"/>
            <w:vMerge w:val="continue"/>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Ⅱ类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5000人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7天</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Ⅱ类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5000人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5天</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Ⅱ类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5000人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3天</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Ⅱ类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1万人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7天</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Ⅱ类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1万人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7天</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Ⅱ类</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1万人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093"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抢险救援类</w:t>
            </w:r>
          </w:p>
        </w:tc>
        <w:tc>
          <w:tcPr>
            <w:tcW w:w="2520" w:type="dxa"/>
            <w:gridSpan w:val="2"/>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抢险救援类应急物资储备达到应对较大和一般突发事件防范应对需要的规模</w:t>
            </w:r>
            <w:r>
              <w:rPr>
                <w:rFonts w:hint="default" w:ascii="Times New Roman" w:hAnsi="Times New Roman" w:eastAsia="仿宋_GB2312" w:cs="Times New Roman"/>
                <w:color w:val="auto"/>
                <w:spacing w:val="0"/>
                <w:w w:val="100"/>
                <w:position w:val="0"/>
                <w:sz w:val="21"/>
                <w:szCs w:val="21"/>
                <w:shd w:val="clear" w:color="auto" w:fill="auto"/>
                <w:lang w:eastAsia="zh-CN"/>
              </w:rPr>
              <w:t>。</w:t>
            </w:r>
          </w:p>
        </w:tc>
        <w:tc>
          <w:tcPr>
            <w:tcW w:w="3273" w:type="dxa"/>
            <w:gridSpan w:val="3"/>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按队伍建设标准配备危化品事故救援、防汛、森林防灭火事故救援、地震灾害事故等装备</w:t>
            </w:r>
            <w:r>
              <w:rPr>
                <w:rFonts w:hint="default" w:ascii="Times New Roman" w:hAnsi="Times New Roman" w:eastAsia="仿宋_GB2312" w:cs="Times New Roman"/>
                <w:color w:val="auto"/>
                <w:spacing w:val="0"/>
                <w:w w:val="100"/>
                <w:position w:val="0"/>
                <w:sz w:val="21"/>
                <w:szCs w:val="21"/>
                <w:shd w:val="clear" w:color="auto" w:fill="auto"/>
                <w:lang w:eastAsia="zh-CN"/>
              </w:rPr>
              <w:t>。</w:t>
            </w:r>
          </w:p>
        </w:tc>
        <w:tc>
          <w:tcPr>
            <w:tcW w:w="3270" w:type="dxa"/>
            <w:gridSpan w:val="3"/>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形成应急保障物资2小时运输圈</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 xml:space="preserve">基本建成保证重点、辐射周边的应急物资储备体系 </w:t>
            </w:r>
            <w:r>
              <w:rPr>
                <w:rFonts w:hint="default" w:ascii="Times New Roman" w:hAnsi="Times New Roman" w:eastAsia="仿宋_GB2312" w:cs="Times New Roman"/>
                <w:color w:val="auto"/>
                <w:spacing w:val="0"/>
                <w:w w:val="100"/>
                <w:position w:val="0"/>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56"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pacing w:val="0"/>
                <w:w w:val="100"/>
                <w:position w:val="0"/>
                <w:sz w:val="21"/>
                <w:szCs w:val="21"/>
                <w:shd w:val="clear" w:color="auto" w:fill="auto"/>
              </w:rPr>
              <w:t>专栏2</w:t>
            </w:r>
            <w:r>
              <w:rPr>
                <w:rFonts w:hint="default" w:ascii="Times New Roman" w:hAnsi="Times New Roman" w:eastAsia="黑体" w:cs="Times New Roman"/>
                <w:b w:val="0"/>
                <w:bCs w:val="0"/>
                <w:color w:val="auto"/>
                <w:spacing w:val="0"/>
                <w:w w:val="100"/>
                <w:position w:val="0"/>
                <w:sz w:val="21"/>
                <w:szCs w:val="21"/>
                <w:shd w:val="clear" w:color="auto" w:fill="auto"/>
                <w:lang w:val="en-US" w:eastAsia="zh-CN"/>
              </w:rPr>
              <w:t xml:space="preserve">   </w:t>
            </w:r>
            <w:r>
              <w:rPr>
                <w:rFonts w:hint="default" w:ascii="Times New Roman" w:hAnsi="Times New Roman" w:eastAsia="黑体" w:cs="Times New Roman"/>
                <w:b w:val="0"/>
                <w:bCs w:val="0"/>
                <w:color w:val="auto"/>
                <w:spacing w:val="0"/>
                <w:w w:val="100"/>
                <w:position w:val="0"/>
                <w:sz w:val="21"/>
                <w:szCs w:val="21"/>
                <w:shd w:val="clear" w:color="auto" w:fill="auto"/>
              </w:rPr>
              <w:t>应急物资政府（实物）储备布局目标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56"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黑体" w:cs="Times New Roman"/>
                <w:b w:val="0"/>
                <w:bCs w:val="0"/>
                <w:color w:val="auto"/>
                <w:spacing w:val="0"/>
                <w:w w:val="100"/>
                <w:position w:val="0"/>
                <w:sz w:val="21"/>
                <w:szCs w:val="21"/>
                <w:shd w:val="clear" w:color="auto" w:fill="auto"/>
              </w:rPr>
            </w:pPr>
            <w:r>
              <w:rPr>
                <w:rFonts w:hint="default" w:ascii="Times New Roman" w:hAnsi="Times New Roman" w:eastAsia="仿宋_GB2312" w:cs="Times New Roman"/>
                <w:color w:val="auto"/>
                <w:spacing w:val="0"/>
                <w:w w:val="100"/>
                <w:position w:val="0"/>
                <w:sz w:val="21"/>
                <w:szCs w:val="21"/>
                <w:shd w:val="clear" w:color="auto" w:fill="auto"/>
              </w:rPr>
              <w:t>一、综合物资仓库布局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黑体" w:cs="Times New Roman"/>
                <w:b w:val="0"/>
                <w:bCs w:val="0"/>
                <w:color w:val="auto"/>
                <w:spacing w:val="0"/>
                <w:w w:val="100"/>
                <w:position w:val="0"/>
                <w:sz w:val="21"/>
                <w:szCs w:val="21"/>
                <w:shd w:val="clear" w:color="auto" w:fill="auto"/>
                <w:lang w:val="en-US" w:eastAsia="zh-CN"/>
              </w:rPr>
            </w:pPr>
            <w:r>
              <w:rPr>
                <w:rFonts w:hint="default" w:ascii="Times New Roman" w:hAnsi="Times New Roman" w:eastAsia="仿宋_GB2312" w:cs="Times New Roman"/>
                <w:b w:val="0"/>
                <w:bCs w:val="0"/>
                <w:color w:val="auto"/>
                <w:spacing w:val="0"/>
                <w:w w:val="100"/>
                <w:position w:val="0"/>
                <w:sz w:val="21"/>
                <w:szCs w:val="21"/>
                <w:shd w:val="clear" w:color="auto" w:fill="auto"/>
                <w:lang w:val="en-US" w:eastAsia="zh-CN"/>
              </w:rPr>
              <w:t>县级</w:t>
            </w:r>
          </w:p>
        </w:tc>
        <w:tc>
          <w:tcPr>
            <w:tcW w:w="875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default" w:ascii="Times New Roman" w:hAnsi="Times New Roman" w:eastAsia="仿宋_GB2312" w:cs="Times New Roman"/>
                <w:b w:val="0"/>
                <w:bCs w:val="0"/>
                <w:color w:val="auto"/>
                <w:spacing w:val="0"/>
                <w:w w:val="100"/>
                <w:position w:val="0"/>
                <w:sz w:val="21"/>
                <w:szCs w:val="21"/>
                <w:shd w:val="clear" w:color="auto" w:fill="auto"/>
                <w:lang w:eastAsia="zh-CN"/>
              </w:rPr>
            </w:pPr>
            <w:r>
              <w:rPr>
                <w:rFonts w:hint="default" w:ascii="Times New Roman" w:hAnsi="Times New Roman" w:eastAsia="仿宋_GB2312" w:cs="Times New Roman"/>
                <w:b w:val="0"/>
                <w:bCs w:val="0"/>
                <w:color w:val="auto"/>
                <w:spacing w:val="0"/>
                <w:w w:val="100"/>
                <w:position w:val="0"/>
                <w:sz w:val="21"/>
                <w:szCs w:val="21"/>
                <w:shd w:val="clear" w:color="auto" w:fill="auto"/>
                <w:lang w:val="en-US" w:eastAsia="zh-CN"/>
              </w:rPr>
              <w:t>建立</w:t>
            </w:r>
            <w:r>
              <w:rPr>
                <w:rFonts w:hint="default" w:ascii="Times New Roman" w:hAnsi="Times New Roman" w:eastAsia="仿宋_GB2312" w:cs="Times New Roman"/>
                <w:b w:val="0"/>
                <w:bCs w:val="0"/>
                <w:color w:val="auto"/>
                <w:spacing w:val="0"/>
                <w:w w:val="100"/>
                <w:position w:val="0"/>
                <w:sz w:val="21"/>
                <w:szCs w:val="21"/>
                <w:shd w:val="clear" w:color="auto" w:fill="auto"/>
              </w:rPr>
              <w:t>不低于2000</w:t>
            </w:r>
            <w:r>
              <w:rPr>
                <w:rFonts w:hint="default" w:ascii="Times New Roman" w:hAnsi="Times New Roman" w:eastAsia="仿宋_GB2312" w:cs="Times New Roman"/>
                <w:color w:val="auto"/>
                <w:spacing w:val="0"/>
                <w:w w:val="100"/>
                <w:position w:val="0"/>
                <w:sz w:val="21"/>
                <w:szCs w:val="21"/>
                <w:shd w:val="clear" w:color="auto" w:fill="auto"/>
                <w:lang w:val="en-US" w:eastAsia="en-US" w:bidi="en-US"/>
              </w:rPr>
              <w:t>m</w:t>
            </w:r>
            <w:r>
              <w:rPr>
                <w:rFonts w:hint="default" w:ascii="Times New Roman" w:hAnsi="Times New Roman" w:eastAsia="仿宋_GB2312" w:cs="Times New Roman"/>
                <w:color w:val="auto"/>
                <w:spacing w:val="0"/>
                <w:w w:val="100"/>
                <w:position w:val="0"/>
                <w:sz w:val="21"/>
                <w:szCs w:val="21"/>
                <w:shd w:val="clear" w:color="auto" w:fill="auto"/>
                <w:vertAlign w:val="superscript"/>
                <w:lang w:val="en-US" w:eastAsia="en-US" w:bidi="en-US"/>
              </w:rPr>
              <w:t>2</w:t>
            </w:r>
            <w:r>
              <w:rPr>
                <w:rFonts w:hint="default" w:ascii="Times New Roman" w:hAnsi="Times New Roman" w:eastAsia="仿宋_GB2312" w:cs="Times New Roman"/>
                <w:b w:val="0"/>
                <w:bCs w:val="0"/>
                <w:color w:val="auto"/>
                <w:spacing w:val="0"/>
                <w:w w:val="100"/>
                <w:position w:val="0"/>
                <w:sz w:val="21"/>
                <w:szCs w:val="21"/>
                <w:shd w:val="clear" w:color="auto" w:fill="auto"/>
                <w:lang w:val="en-US" w:eastAsia="zh-CN"/>
              </w:rPr>
              <w:t>的县</w:t>
            </w:r>
            <w:r>
              <w:rPr>
                <w:rFonts w:hint="default" w:ascii="Times New Roman" w:hAnsi="Times New Roman" w:eastAsia="仿宋_GB2312" w:cs="Times New Roman"/>
                <w:b w:val="0"/>
                <w:bCs w:val="0"/>
                <w:color w:val="auto"/>
                <w:spacing w:val="0"/>
                <w:w w:val="100"/>
                <w:position w:val="0"/>
                <w:sz w:val="21"/>
                <w:szCs w:val="21"/>
                <w:shd w:val="clear" w:color="auto" w:fill="auto"/>
              </w:rPr>
              <w:t>级综合应急物资</w:t>
            </w:r>
            <w:r>
              <w:rPr>
                <w:rFonts w:hint="default" w:ascii="Times New Roman" w:hAnsi="Times New Roman" w:eastAsia="仿宋_GB2312" w:cs="Times New Roman"/>
                <w:b w:val="0"/>
                <w:bCs w:val="0"/>
                <w:color w:val="auto"/>
                <w:spacing w:val="0"/>
                <w:w w:val="100"/>
                <w:position w:val="0"/>
                <w:sz w:val="21"/>
                <w:szCs w:val="21"/>
                <w:shd w:val="clear" w:color="auto" w:fill="auto"/>
                <w:lang w:val="en-US" w:eastAsia="zh-CN"/>
              </w:rPr>
              <w:t>储备库</w:t>
            </w:r>
            <w:r>
              <w:rPr>
                <w:rFonts w:hint="default" w:ascii="Times New Roman" w:hAnsi="Times New Roman" w:eastAsia="仿宋_GB2312" w:cs="Times New Roman"/>
                <w:b w:val="0"/>
                <w:bCs w:val="0"/>
                <w:color w:val="auto"/>
                <w:spacing w:val="0"/>
                <w:w w:val="100"/>
                <w:position w:val="0"/>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b w:val="0"/>
                <w:bCs w:val="0"/>
                <w:color w:val="auto"/>
                <w:spacing w:val="0"/>
                <w:w w:val="100"/>
                <w:position w:val="0"/>
                <w:sz w:val="21"/>
                <w:szCs w:val="21"/>
                <w:shd w:val="clear" w:color="auto" w:fill="auto"/>
                <w:lang w:val="en-US" w:eastAsia="zh-CN"/>
              </w:rPr>
            </w:pPr>
            <w:r>
              <w:rPr>
                <w:rFonts w:hint="default" w:ascii="Times New Roman" w:hAnsi="Times New Roman" w:eastAsia="仿宋_GB2312" w:cs="Times New Roman"/>
                <w:b w:val="0"/>
                <w:bCs w:val="0"/>
                <w:color w:val="auto"/>
                <w:spacing w:val="0"/>
                <w:w w:val="100"/>
                <w:position w:val="0"/>
                <w:sz w:val="21"/>
                <w:szCs w:val="21"/>
                <w:shd w:val="clear" w:color="auto" w:fill="auto"/>
                <w:lang w:val="en-US" w:eastAsia="zh-CN"/>
              </w:rPr>
              <w:t>镇（街道）级</w:t>
            </w:r>
          </w:p>
        </w:tc>
        <w:tc>
          <w:tcPr>
            <w:tcW w:w="875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default" w:ascii="Times New Roman" w:hAnsi="Times New Roman" w:eastAsia="仿宋_GB2312" w:cs="Times New Roman"/>
                <w:b w:val="0"/>
                <w:bCs w:val="0"/>
                <w:color w:val="auto"/>
                <w:spacing w:val="0"/>
                <w:w w:val="100"/>
                <w:position w:val="0"/>
                <w:sz w:val="21"/>
                <w:szCs w:val="21"/>
                <w:shd w:val="clear" w:color="auto" w:fill="auto"/>
                <w:lang w:eastAsia="zh-CN"/>
              </w:rPr>
            </w:pPr>
            <w:r>
              <w:rPr>
                <w:rFonts w:hint="default" w:ascii="Times New Roman" w:hAnsi="Times New Roman" w:eastAsia="仿宋_GB2312" w:cs="Times New Roman"/>
                <w:b w:val="0"/>
                <w:bCs w:val="0"/>
                <w:color w:val="auto"/>
                <w:spacing w:val="0"/>
                <w:w w:val="100"/>
                <w:position w:val="0"/>
                <w:sz w:val="21"/>
                <w:szCs w:val="21"/>
                <w:shd w:val="clear" w:color="auto" w:fill="auto"/>
                <w:lang w:val="en-US" w:eastAsia="zh-CN"/>
              </w:rPr>
              <w:t>镇（街道）</w:t>
            </w:r>
            <w:r>
              <w:rPr>
                <w:rFonts w:hint="default" w:ascii="Times New Roman" w:hAnsi="Times New Roman" w:eastAsia="仿宋_GB2312" w:cs="Times New Roman"/>
                <w:b w:val="0"/>
                <w:bCs w:val="0"/>
                <w:color w:val="auto"/>
                <w:spacing w:val="0"/>
                <w:w w:val="100"/>
                <w:position w:val="0"/>
                <w:sz w:val="21"/>
                <w:szCs w:val="21"/>
                <w:shd w:val="clear" w:color="auto" w:fill="auto"/>
              </w:rPr>
              <w:t>级综合应急物资仓库仓储面积原则上不低于</w:t>
            </w:r>
            <w:r>
              <w:rPr>
                <w:rFonts w:hint="default" w:ascii="Times New Roman" w:hAnsi="Times New Roman" w:eastAsia="仿宋_GB2312" w:cs="Times New Roman"/>
                <w:b w:val="0"/>
                <w:bCs w:val="0"/>
                <w:color w:val="auto"/>
                <w:spacing w:val="0"/>
                <w:w w:val="100"/>
                <w:position w:val="0"/>
                <w:sz w:val="21"/>
                <w:szCs w:val="21"/>
                <w:shd w:val="clear" w:color="auto" w:fill="auto"/>
                <w:lang w:val="en-US" w:eastAsia="zh-CN"/>
              </w:rPr>
              <w:t>1</w:t>
            </w:r>
            <w:r>
              <w:rPr>
                <w:rFonts w:hint="default" w:ascii="Times New Roman" w:hAnsi="Times New Roman" w:eastAsia="仿宋_GB2312" w:cs="Times New Roman"/>
                <w:b w:val="0"/>
                <w:bCs w:val="0"/>
                <w:color w:val="auto"/>
                <w:spacing w:val="0"/>
                <w:w w:val="100"/>
                <w:position w:val="0"/>
                <w:sz w:val="21"/>
                <w:szCs w:val="21"/>
                <w:shd w:val="clear" w:color="auto" w:fill="auto"/>
              </w:rPr>
              <w:t>000</w:t>
            </w:r>
            <w:r>
              <w:rPr>
                <w:rFonts w:hint="default" w:ascii="Times New Roman" w:hAnsi="Times New Roman" w:eastAsia="仿宋_GB2312" w:cs="Times New Roman"/>
                <w:color w:val="auto"/>
                <w:spacing w:val="0"/>
                <w:w w:val="100"/>
                <w:position w:val="0"/>
                <w:sz w:val="21"/>
                <w:szCs w:val="21"/>
                <w:shd w:val="clear" w:color="auto" w:fill="auto"/>
                <w:lang w:val="en-US" w:eastAsia="en-US" w:bidi="en-US"/>
              </w:rPr>
              <w:t>m</w:t>
            </w:r>
            <w:r>
              <w:rPr>
                <w:rFonts w:hint="default" w:ascii="Times New Roman" w:hAnsi="Times New Roman" w:eastAsia="仿宋_GB2312" w:cs="Times New Roman"/>
                <w:color w:val="auto"/>
                <w:spacing w:val="0"/>
                <w:w w:val="100"/>
                <w:position w:val="0"/>
                <w:sz w:val="21"/>
                <w:szCs w:val="21"/>
                <w:shd w:val="clear" w:color="auto" w:fill="auto"/>
                <w:vertAlign w:val="superscript"/>
                <w:lang w:val="en-US" w:eastAsia="en-US" w:bidi="en-US"/>
              </w:rPr>
              <w:t>2</w:t>
            </w:r>
            <w:r>
              <w:rPr>
                <w:rFonts w:hint="default" w:ascii="Times New Roman" w:hAnsi="Times New Roman" w:eastAsia="仿宋_GB2312" w:cs="Times New Roman"/>
                <w:b w:val="0"/>
                <w:bCs w:val="0"/>
                <w:color w:val="auto"/>
                <w:spacing w:val="0"/>
                <w:w w:val="100"/>
                <w:position w:val="0"/>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156"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仿宋_GB2312" w:cs="Times New Roman"/>
                <w:b w:val="0"/>
                <w:bCs w:val="0"/>
                <w:color w:val="auto"/>
                <w:spacing w:val="0"/>
                <w:w w:val="100"/>
                <w:position w:val="0"/>
                <w:sz w:val="21"/>
                <w:szCs w:val="21"/>
                <w:shd w:val="clear" w:color="auto" w:fill="auto"/>
              </w:rPr>
            </w:pPr>
            <w:r>
              <w:rPr>
                <w:rFonts w:hint="default" w:ascii="Times New Roman" w:hAnsi="Times New Roman" w:eastAsia="仿宋_GB2312" w:cs="Times New Roman"/>
                <w:color w:val="auto"/>
                <w:spacing w:val="0"/>
                <w:w w:val="100"/>
                <w:position w:val="0"/>
                <w:sz w:val="21"/>
                <w:szCs w:val="21"/>
                <w:shd w:val="clear" w:color="auto" w:fill="auto"/>
              </w:rPr>
              <w:t>二、医疗卫生物资仓库布局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6" w:type="dxa"/>
            <w:gridSpan w:val="9"/>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outlineLvl w:val="9"/>
              <w:rPr>
                <w:rFonts w:hint="default" w:ascii="Times New Roman" w:hAnsi="Times New Roman" w:eastAsia="仿宋_GB2312" w:cs="Times New Roman"/>
                <w:b w:val="0"/>
                <w:bCs w:val="0"/>
                <w:color w:val="auto"/>
                <w:spacing w:val="0"/>
                <w:w w:val="100"/>
                <w:position w:val="0"/>
                <w:sz w:val="21"/>
                <w:szCs w:val="21"/>
                <w:shd w:val="clear" w:color="auto" w:fill="auto"/>
                <w:lang w:eastAsia="zh-CN"/>
              </w:rPr>
            </w:pPr>
            <w:r>
              <w:rPr>
                <w:rFonts w:hint="default" w:ascii="Times New Roman" w:hAnsi="Times New Roman" w:eastAsia="仿宋_GB2312" w:cs="Times New Roman"/>
                <w:color w:val="auto"/>
                <w:spacing w:val="0"/>
                <w:w w:val="100"/>
                <w:position w:val="0"/>
                <w:sz w:val="21"/>
                <w:szCs w:val="21"/>
                <w:shd w:val="clear" w:color="auto" w:fill="auto"/>
              </w:rPr>
              <w:t>依托4家县级医院、县疾控中心、2家社区卫生服务中心、7家镇卫生院、7家民营医院建立卫生应急物资储备体系</w:t>
            </w:r>
            <w:r>
              <w:rPr>
                <w:rFonts w:hint="default" w:ascii="Times New Roman" w:hAnsi="Times New Roman" w:eastAsia="仿宋_GB2312" w:cs="Times New Roman"/>
                <w:color w:val="auto"/>
                <w:spacing w:val="0"/>
                <w:w w:val="100"/>
                <w:position w:val="0"/>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56"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黑体" w:cs="Times New Roman"/>
                <w:b w:val="0"/>
                <w:bCs w:val="0"/>
                <w:color w:val="auto"/>
                <w:spacing w:val="0"/>
                <w:w w:val="100"/>
                <w:position w:val="0"/>
                <w:sz w:val="21"/>
                <w:szCs w:val="21"/>
                <w:shd w:val="clear" w:color="auto" w:fill="auto"/>
              </w:rPr>
            </w:pPr>
            <w:r>
              <w:rPr>
                <w:rFonts w:hint="default" w:ascii="Times New Roman" w:hAnsi="Times New Roman" w:eastAsia="仿宋_GB2312" w:cs="Times New Roman"/>
                <w:color w:val="auto"/>
                <w:spacing w:val="0"/>
                <w:w w:val="100"/>
                <w:position w:val="0"/>
                <w:sz w:val="21"/>
                <w:szCs w:val="21"/>
                <w:shd w:val="clear" w:color="auto" w:fill="auto"/>
              </w:rPr>
              <w:t>三、专业性物资仓库布局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00" w:type="dxa"/>
            <w:gridSpan w:val="2"/>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危化品事故救援</w:t>
            </w:r>
          </w:p>
        </w:tc>
        <w:tc>
          <w:tcPr>
            <w:tcW w:w="8756"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outlineLvl w:val="9"/>
              <w:rPr>
                <w:rFonts w:hint="default" w:ascii="Times New Roman" w:hAnsi="Times New Roman" w:eastAsia="仿宋_GB2312" w:cs="Times New Roman"/>
                <w:color w:val="auto"/>
                <w:spacing w:val="0"/>
                <w:w w:val="100"/>
                <w:position w:val="0"/>
                <w:sz w:val="21"/>
                <w:szCs w:val="21"/>
                <w:shd w:val="clear" w:color="auto" w:fill="auto"/>
                <w:lang w:val="en-US" w:eastAsia="zh-CN"/>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 xml:space="preserve">依托县经济开发区化工园区、淄博飞源化工救援队、山东开泰石化救援队等3支兼职救援队伍加强各类抢险救援、个人防护物资储备。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00" w:type="dxa"/>
            <w:gridSpan w:val="2"/>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消防救援</w:t>
            </w:r>
          </w:p>
        </w:tc>
        <w:tc>
          <w:tcPr>
            <w:tcW w:w="8756" w:type="dxa"/>
            <w:gridSpan w:val="7"/>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auto"/>
              <w:outlineLvl w:val="9"/>
              <w:rPr>
                <w:rFonts w:hint="default" w:ascii="Times New Roman" w:hAnsi="Times New Roman" w:eastAsia="仿宋_GB2312" w:cs="Times New Roman"/>
                <w:b w:val="0"/>
                <w:bCs w:val="0"/>
                <w:color w:val="auto"/>
                <w:spacing w:val="0"/>
                <w:w w:val="100"/>
                <w:position w:val="0"/>
                <w:sz w:val="21"/>
                <w:szCs w:val="21"/>
                <w:highlight w:val="red"/>
                <w:shd w:val="clear" w:color="auto" w:fill="auto"/>
                <w:lang w:val="en-US"/>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依托县消防救援大队消防救援储备，形成以县级储备为中心，镇（街道）消防站储备为基础的消防储备体系。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00" w:type="dxa"/>
            <w:gridSpan w:val="2"/>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ar-SA"/>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ar-SA"/>
              </w:rPr>
              <w:t>防汛抗旱</w:t>
            </w:r>
          </w:p>
        </w:tc>
        <w:tc>
          <w:tcPr>
            <w:tcW w:w="8756" w:type="dxa"/>
            <w:gridSpan w:val="7"/>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ar-SA"/>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ar-SA"/>
              </w:rPr>
              <w:t>依托现有县水利局防汛抗旱物资仓库，通过改建或扩建提升现有防汛抗旱物资仓库储备能力；依托高青黄河大刘家管理段淤背区内修建大刘家防汛物资储备仓库，建筑面积1100平方米，极大改善物资储备条件。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00" w:type="dxa"/>
            <w:gridSpan w:val="2"/>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ar-SA"/>
              </w:rPr>
              <w:t>森林灭火</w:t>
            </w:r>
          </w:p>
        </w:tc>
        <w:tc>
          <w:tcPr>
            <w:tcW w:w="8756" w:type="dxa"/>
            <w:gridSpan w:val="7"/>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ar-SA"/>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ar-SA"/>
              </w:rPr>
              <w:t>各镇办仓储面积不低于50平方米。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gridSpan w:val="2"/>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w w:val="100"/>
                <w:position w:val="0"/>
                <w:sz w:val="21"/>
                <w:szCs w:val="21"/>
                <w:shd w:val="clear" w:color="auto" w:fill="auto"/>
              </w:rPr>
            </w:pPr>
            <w:r>
              <w:rPr>
                <w:rFonts w:hint="default" w:ascii="Times New Roman" w:hAnsi="Times New Roman" w:eastAsia="仿宋_GB2312" w:cs="Times New Roman"/>
                <w:color w:val="auto"/>
                <w:spacing w:val="0"/>
                <w:w w:val="100"/>
                <w:position w:val="0"/>
                <w:sz w:val="21"/>
                <w:szCs w:val="21"/>
                <w:shd w:val="clear" w:color="auto" w:fill="auto"/>
              </w:rPr>
              <w:t>环境事件</w:t>
            </w:r>
          </w:p>
        </w:tc>
        <w:tc>
          <w:tcPr>
            <w:tcW w:w="8756"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0" w:firstLineChars="0"/>
              <w:jc w:val="both"/>
              <w:textAlignment w:val="auto"/>
              <w:outlineLvl w:val="9"/>
              <w:rPr>
                <w:rFonts w:hint="default" w:ascii="Times New Roman" w:hAnsi="Times New Roman" w:eastAsia="黑体" w:cs="Times New Roman"/>
                <w:b w:val="0"/>
                <w:bCs w:val="0"/>
                <w:color w:val="auto"/>
                <w:spacing w:val="0"/>
                <w:w w:val="100"/>
                <w:position w:val="0"/>
                <w:sz w:val="21"/>
                <w:szCs w:val="21"/>
                <w:shd w:val="clear" w:color="auto" w:fill="auto"/>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依托山东开泰石化丙烯酸有限公司、淄博飞源化工有限公司、山东隆华新材料股份有限公司环境应急物资储备库，加强环境事件应急物质储备。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00" w:type="dxa"/>
            <w:gridSpan w:val="2"/>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其他专业物资储备库布局</w:t>
            </w:r>
          </w:p>
        </w:tc>
        <w:tc>
          <w:tcPr>
            <w:tcW w:w="8756" w:type="dxa"/>
            <w:gridSpan w:val="7"/>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以现有应急物资储备库为基础</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根据规划储备物资需求新建或改（扩）建专业物资储备库</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满足规划物资储备需求</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达到科学合理布局</w:t>
            </w:r>
            <w:r>
              <w:rPr>
                <w:rFonts w:hint="default" w:ascii="Times New Roman" w:hAnsi="Times New Roman" w:eastAsia="仿宋_GB2312" w:cs="Times New Roman"/>
                <w:color w:val="auto"/>
                <w:spacing w:val="0"/>
                <w:w w:val="100"/>
                <w:position w:val="0"/>
                <w:sz w:val="21"/>
                <w:szCs w:val="21"/>
                <w:shd w:val="clear" w:color="auto" w:fill="auto"/>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四、重点任务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（一）完善应急物资储备管理体制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1．加强应急物资统一管理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建立协调配合机制，整合优化分散在县有关部门单位的应急物资管理职能，加快构建党委、政府统一领导，应急管理部门统筹协调，统分结合的应急物资储备管理保障体制。建立应急物资监督评估和动态监测制度，探索建立应急物资储备效能评估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2．完善分级分类储备体系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（1）明确应急物资储备职能部门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我县历史突发事件情况和机构改革后的部门职能，明确各类突发事件处置责任部门。各级各有关部门单位分工协作、形成合力，共同构建涵盖应急物资采购、储备、调拨、配送、使用、回收全过程的责任链条。</w:t>
      </w:r>
    </w:p>
    <w:tbl>
      <w:tblPr>
        <w:tblStyle w:val="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7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20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pacing w:val="0"/>
                <w:w w:val="100"/>
                <w:position w:val="0"/>
                <w:sz w:val="21"/>
                <w:szCs w:val="21"/>
                <w:shd w:val="clear" w:color="auto" w:fill="auto"/>
              </w:rPr>
              <w:t>专栏3</w:t>
            </w:r>
            <w:r>
              <w:rPr>
                <w:rFonts w:hint="default" w:ascii="Times New Roman" w:hAnsi="Times New Roman" w:eastAsia="黑体" w:cs="Times New Roman"/>
                <w:b w:val="0"/>
                <w:bCs w:val="0"/>
                <w:color w:val="auto"/>
                <w:spacing w:val="0"/>
                <w:w w:val="100"/>
                <w:position w:val="0"/>
                <w:sz w:val="21"/>
                <w:szCs w:val="21"/>
                <w:shd w:val="clear" w:color="auto" w:fill="auto"/>
                <w:lang w:val="en-US" w:eastAsia="zh-CN"/>
              </w:rPr>
              <w:t xml:space="preserve">   </w:t>
            </w:r>
            <w:r>
              <w:rPr>
                <w:rFonts w:hint="default" w:ascii="Times New Roman" w:hAnsi="Times New Roman" w:eastAsia="黑体" w:cs="Times New Roman"/>
                <w:b w:val="0"/>
                <w:bCs w:val="0"/>
                <w:color w:val="auto"/>
                <w:spacing w:val="0"/>
                <w:w w:val="100"/>
                <w:position w:val="0"/>
                <w:sz w:val="21"/>
                <w:szCs w:val="21"/>
                <w:shd w:val="clear" w:color="auto" w:fill="auto"/>
              </w:rPr>
              <w:t>应急物资储备管理职能部门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生活保障类应急物资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应急、发展</w:t>
            </w:r>
            <w:r>
              <w:rPr>
                <w:rFonts w:hint="default" w:ascii="Times New Roman" w:hAnsi="Times New Roman" w:eastAsia="仿宋_GB2312" w:cs="Times New Roman"/>
                <w:color w:val="auto"/>
                <w:spacing w:val="0"/>
                <w:w w:val="100"/>
                <w:position w:val="0"/>
                <w:sz w:val="21"/>
                <w:szCs w:val="21"/>
                <w:shd w:val="clear" w:color="auto" w:fill="auto"/>
                <w:lang w:val="en-US" w:eastAsia="zh-CN"/>
              </w:rPr>
              <w:t>和</w:t>
            </w:r>
            <w:r>
              <w:rPr>
                <w:rFonts w:hint="default" w:ascii="Times New Roman" w:hAnsi="Times New Roman" w:eastAsia="仿宋_GB2312" w:cs="Times New Roman"/>
                <w:color w:val="auto"/>
                <w:spacing w:val="0"/>
                <w:w w:val="100"/>
                <w:position w:val="0"/>
                <w:sz w:val="21"/>
                <w:szCs w:val="21"/>
                <w:shd w:val="clear" w:color="auto" w:fill="auto"/>
              </w:rPr>
              <w:t>改革（粮食和储备）、商务等部门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公共卫生应急物资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卫生健康、发展改革、工业和信息化、应急等部门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洪涝灾害应急物资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应急、水利、</w:t>
            </w:r>
            <w:r>
              <w:rPr>
                <w:rFonts w:hint="default" w:ascii="Times New Roman" w:hAnsi="Times New Roman" w:eastAsia="仿宋_GB2312" w:cs="Times New Roman"/>
                <w:color w:val="auto"/>
                <w:spacing w:val="0"/>
                <w:w w:val="100"/>
                <w:position w:val="0"/>
                <w:sz w:val="21"/>
                <w:szCs w:val="21"/>
                <w:shd w:val="clear" w:color="auto" w:fill="auto"/>
                <w:lang w:val="en-US" w:eastAsia="zh-CN"/>
              </w:rPr>
              <w:t>综合行政执法</w:t>
            </w:r>
            <w:r>
              <w:rPr>
                <w:rFonts w:hint="default" w:ascii="Times New Roman" w:hAnsi="Times New Roman" w:eastAsia="仿宋_GB2312" w:cs="Times New Roman"/>
                <w:color w:val="auto"/>
                <w:spacing w:val="0"/>
                <w:w w:val="100"/>
                <w:position w:val="0"/>
                <w:sz w:val="21"/>
                <w:szCs w:val="21"/>
                <w:shd w:val="clear" w:color="auto" w:fill="auto"/>
              </w:rPr>
              <w:t>、黄河河务、消防救援等部门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危险化学品事故应急物资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应急、消防救援、生态环境、发展</w:t>
            </w:r>
            <w:r>
              <w:rPr>
                <w:rFonts w:hint="default" w:ascii="Times New Roman" w:hAnsi="Times New Roman" w:eastAsia="仿宋_GB2312" w:cs="Times New Roman"/>
                <w:color w:val="auto"/>
                <w:spacing w:val="0"/>
                <w:w w:val="100"/>
                <w:position w:val="0"/>
                <w:sz w:val="21"/>
                <w:szCs w:val="21"/>
                <w:shd w:val="clear" w:color="auto" w:fill="auto"/>
                <w:lang w:val="en-US" w:eastAsia="zh-CN"/>
              </w:rPr>
              <w:t>和</w:t>
            </w:r>
            <w:r>
              <w:rPr>
                <w:rFonts w:hint="default" w:ascii="Times New Roman" w:hAnsi="Times New Roman" w:eastAsia="仿宋_GB2312" w:cs="Times New Roman"/>
                <w:color w:val="auto"/>
                <w:spacing w:val="0"/>
                <w:w w:val="100"/>
                <w:position w:val="0"/>
                <w:sz w:val="21"/>
                <w:szCs w:val="21"/>
                <w:shd w:val="clear" w:color="auto" w:fill="auto"/>
              </w:rPr>
              <w:t>改革（能源）等部门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消防救援应急物资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综合性消防救援力量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森林火灾应急物资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lang w:eastAsia="zh-CN"/>
              </w:rPr>
              <w:t>自然资源</w:t>
            </w:r>
            <w:r>
              <w:rPr>
                <w:rFonts w:hint="default" w:ascii="Times New Roman" w:hAnsi="Times New Roman" w:eastAsia="仿宋_GB2312" w:cs="Times New Roman"/>
                <w:color w:val="auto"/>
                <w:spacing w:val="0"/>
                <w:w w:val="100"/>
                <w:position w:val="0"/>
                <w:sz w:val="21"/>
                <w:szCs w:val="21"/>
                <w:shd w:val="clear" w:color="auto" w:fill="auto"/>
              </w:rPr>
              <w:t>、应急、消防救援部门等部门（单位）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交通运输事故应急物资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交通运输部门、</w:t>
            </w:r>
            <w:r>
              <w:rPr>
                <w:rFonts w:hint="default" w:ascii="Times New Roman" w:hAnsi="Times New Roman" w:eastAsia="仿宋_GB2312" w:cs="Times New Roman"/>
                <w:color w:val="auto"/>
                <w:spacing w:val="0"/>
                <w:w w:val="100"/>
                <w:position w:val="0"/>
                <w:sz w:val="21"/>
                <w:szCs w:val="21"/>
                <w:shd w:val="clear" w:color="auto" w:fill="auto"/>
                <w:lang w:val="en-US" w:eastAsia="zh-CN"/>
              </w:rPr>
              <w:t>交警</w:t>
            </w:r>
            <w:r>
              <w:rPr>
                <w:rFonts w:hint="default" w:ascii="Times New Roman" w:hAnsi="Times New Roman" w:eastAsia="仿宋_GB2312" w:cs="Times New Roman"/>
                <w:color w:val="auto"/>
                <w:spacing w:val="0"/>
                <w:w w:val="100"/>
                <w:position w:val="0"/>
                <w:sz w:val="21"/>
                <w:szCs w:val="21"/>
                <w:shd w:val="clear" w:color="auto" w:fill="auto"/>
              </w:rPr>
              <w:t>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电力事故应急物资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lang w:val="en-US" w:eastAsia="zh-CN" w:bidi="zh-CN"/>
              </w:rPr>
            </w:pPr>
            <w:r>
              <w:rPr>
                <w:rFonts w:hint="default" w:ascii="Times New Roman" w:hAnsi="Times New Roman" w:eastAsia="仿宋_GB2312" w:cs="Times New Roman"/>
                <w:color w:val="auto"/>
                <w:spacing w:val="0"/>
                <w:w w:val="100"/>
                <w:position w:val="0"/>
                <w:sz w:val="21"/>
                <w:szCs w:val="21"/>
                <w:shd w:val="clear" w:color="auto" w:fill="auto"/>
              </w:rPr>
              <w:t>发展</w:t>
            </w:r>
            <w:r>
              <w:rPr>
                <w:rFonts w:hint="default" w:ascii="Times New Roman" w:hAnsi="Times New Roman" w:eastAsia="仿宋_GB2312" w:cs="Times New Roman"/>
                <w:color w:val="auto"/>
                <w:spacing w:val="0"/>
                <w:w w:val="100"/>
                <w:position w:val="0"/>
                <w:sz w:val="21"/>
                <w:szCs w:val="21"/>
                <w:shd w:val="clear" w:color="auto" w:fill="auto"/>
                <w:lang w:val="en-US" w:eastAsia="zh-CN"/>
              </w:rPr>
              <w:t>和</w:t>
            </w:r>
            <w:r>
              <w:rPr>
                <w:rFonts w:hint="default" w:ascii="Times New Roman" w:hAnsi="Times New Roman" w:eastAsia="仿宋_GB2312" w:cs="Times New Roman"/>
                <w:color w:val="auto"/>
                <w:spacing w:val="0"/>
                <w:w w:val="100"/>
                <w:position w:val="0"/>
                <w:sz w:val="21"/>
                <w:szCs w:val="21"/>
                <w:shd w:val="clear" w:color="auto" w:fill="auto"/>
              </w:rPr>
              <w:t>改革（能源）部门及供电公司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城市高层建筑倒塌应急物资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应急、消防救援、住房</w:t>
            </w:r>
            <w:r>
              <w:rPr>
                <w:rFonts w:hint="default" w:ascii="Times New Roman" w:hAnsi="Times New Roman" w:eastAsia="仿宋_GB2312" w:cs="Times New Roman"/>
                <w:color w:val="auto"/>
                <w:spacing w:val="0"/>
                <w:w w:val="100"/>
                <w:position w:val="0"/>
                <w:sz w:val="21"/>
                <w:szCs w:val="21"/>
                <w:shd w:val="clear" w:color="auto" w:fill="auto"/>
                <w:lang w:val="en-US" w:eastAsia="zh-CN"/>
              </w:rPr>
              <w:t>和</w:t>
            </w:r>
            <w:r>
              <w:rPr>
                <w:rFonts w:hint="default" w:ascii="Times New Roman" w:hAnsi="Times New Roman" w:eastAsia="仿宋_GB2312" w:cs="Times New Roman"/>
                <w:color w:val="auto"/>
                <w:spacing w:val="0"/>
                <w:w w:val="100"/>
                <w:position w:val="0"/>
                <w:sz w:val="21"/>
                <w:szCs w:val="21"/>
                <w:shd w:val="clear" w:color="auto" w:fill="auto"/>
              </w:rPr>
              <w:t>城乡建设（指导全</w:t>
            </w:r>
            <w:r>
              <w:rPr>
                <w:rFonts w:hint="default" w:ascii="Times New Roman" w:hAnsi="Times New Roman" w:eastAsia="仿宋_GB2312" w:cs="Times New Roman"/>
                <w:color w:val="auto"/>
                <w:spacing w:val="0"/>
                <w:w w:val="100"/>
                <w:position w:val="0"/>
                <w:sz w:val="21"/>
                <w:szCs w:val="21"/>
                <w:shd w:val="clear" w:color="auto" w:fill="auto"/>
                <w:lang w:val="en-US" w:eastAsia="zh-CN"/>
              </w:rPr>
              <w:t>县</w:t>
            </w:r>
            <w:r>
              <w:rPr>
                <w:rFonts w:hint="default" w:ascii="Times New Roman" w:hAnsi="Times New Roman" w:eastAsia="仿宋_GB2312" w:cs="Times New Roman"/>
                <w:color w:val="auto"/>
                <w:spacing w:val="0"/>
                <w:w w:val="100"/>
                <w:position w:val="0"/>
                <w:sz w:val="21"/>
                <w:szCs w:val="21"/>
                <w:shd w:val="clear" w:color="auto" w:fill="auto"/>
              </w:rPr>
              <w:t>城镇燃气、集中供热热力等应急物资）等部门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食品药品安全事件应急物资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市场监管、卫生健康等部门（单位）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环境事件应急物资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生态环境等部门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生物灾害应急物资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lang w:eastAsia="zh-CN"/>
              </w:rPr>
              <w:t>自然资源</w:t>
            </w:r>
            <w:r>
              <w:rPr>
                <w:rFonts w:hint="default" w:ascii="Times New Roman" w:hAnsi="Times New Roman" w:eastAsia="仿宋_GB2312" w:cs="Times New Roman"/>
                <w:color w:val="auto"/>
                <w:spacing w:val="0"/>
                <w:w w:val="100"/>
                <w:position w:val="0"/>
                <w:sz w:val="21"/>
                <w:szCs w:val="21"/>
                <w:shd w:val="clear" w:color="auto" w:fill="auto"/>
              </w:rPr>
              <w:t>、农业农村（畜牧兽医）部门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地震灾害应急物资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应急、发展</w:t>
            </w:r>
            <w:r>
              <w:rPr>
                <w:rFonts w:hint="default" w:ascii="Times New Roman" w:hAnsi="Times New Roman" w:eastAsia="仿宋_GB2312" w:cs="Times New Roman"/>
                <w:color w:val="auto"/>
                <w:spacing w:val="0"/>
                <w:w w:val="100"/>
                <w:position w:val="0"/>
                <w:sz w:val="21"/>
                <w:szCs w:val="21"/>
                <w:shd w:val="clear" w:color="auto" w:fill="auto"/>
                <w:lang w:val="en-US" w:eastAsia="zh-CN"/>
              </w:rPr>
              <w:t>和</w:t>
            </w:r>
            <w:r>
              <w:rPr>
                <w:rFonts w:hint="default" w:ascii="Times New Roman" w:hAnsi="Times New Roman" w:eastAsia="仿宋_GB2312" w:cs="Times New Roman"/>
                <w:color w:val="auto"/>
                <w:spacing w:val="0"/>
                <w:w w:val="100"/>
                <w:position w:val="0"/>
                <w:sz w:val="21"/>
                <w:szCs w:val="21"/>
                <w:shd w:val="clear" w:color="auto" w:fill="auto"/>
              </w:rPr>
              <w:t>改革（粮食和储备）、消防救援等部门（单位）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网络信息安全事件应急物资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县</w:t>
            </w:r>
            <w:r>
              <w:rPr>
                <w:rFonts w:hint="default" w:ascii="Times New Roman" w:hAnsi="Times New Roman" w:eastAsia="仿宋_GB2312" w:cs="Times New Roman"/>
                <w:color w:val="auto"/>
                <w:spacing w:val="0"/>
                <w:w w:val="100"/>
                <w:position w:val="0"/>
                <w:sz w:val="21"/>
                <w:szCs w:val="21"/>
                <w:shd w:val="clear" w:color="auto" w:fill="auto"/>
              </w:rPr>
              <w:t>委</w:t>
            </w:r>
            <w:r>
              <w:rPr>
                <w:rFonts w:hint="default" w:ascii="Times New Roman" w:hAnsi="Times New Roman" w:eastAsia="仿宋_GB2312" w:cs="Times New Roman"/>
                <w:color w:val="auto"/>
                <w:spacing w:val="0"/>
                <w:w w:val="100"/>
                <w:position w:val="0"/>
                <w:sz w:val="21"/>
                <w:szCs w:val="21"/>
                <w:shd w:val="clear" w:color="auto" w:fill="auto"/>
                <w:lang w:val="en-US" w:eastAsia="zh-CN"/>
              </w:rPr>
              <w:t>宣传部（网信中心）</w:t>
            </w:r>
            <w:r>
              <w:rPr>
                <w:rFonts w:hint="default" w:ascii="Times New Roman" w:hAnsi="Times New Roman" w:eastAsia="仿宋_GB2312" w:cs="Times New Roman"/>
                <w:color w:val="auto"/>
                <w:spacing w:val="0"/>
                <w:w w:val="100"/>
                <w:position w:val="0"/>
                <w:sz w:val="21"/>
                <w:szCs w:val="21"/>
                <w:shd w:val="clear" w:color="auto" w:fill="auto"/>
              </w:rPr>
              <w:t>、联通、电信、移动等单位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88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大规模群体性事件应急物资</w:t>
            </w:r>
          </w:p>
        </w:tc>
        <w:tc>
          <w:tcPr>
            <w:tcW w:w="73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rightChars="0" w:firstLine="0" w:firstLineChars="0"/>
              <w:jc w:val="left"/>
              <w:textAlignment w:val="auto"/>
              <w:outlineLvl w:val="9"/>
              <w:rPr>
                <w:rFonts w:hint="default" w:ascii="Times New Roman" w:hAnsi="Times New Roman" w:eastAsia="仿宋_GB2312" w:cs="Times New Roman"/>
                <w:color w:val="auto"/>
                <w:kern w:val="2"/>
                <w:sz w:val="21"/>
                <w:szCs w:val="21"/>
                <w:u w:val="none"/>
                <w:lang w:val="zh-CN" w:eastAsia="zh-CN" w:bidi="zh-CN"/>
              </w:rPr>
            </w:pPr>
            <w:r>
              <w:rPr>
                <w:rFonts w:hint="default" w:ascii="Times New Roman" w:hAnsi="Times New Roman" w:eastAsia="仿宋_GB2312" w:cs="Times New Roman"/>
                <w:color w:val="auto"/>
                <w:spacing w:val="0"/>
                <w:w w:val="100"/>
                <w:position w:val="0"/>
                <w:sz w:val="21"/>
                <w:szCs w:val="21"/>
                <w:shd w:val="clear" w:color="auto" w:fill="auto"/>
              </w:rPr>
              <w:t>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205" w:type="dxa"/>
            <w:gridSpan w:val="2"/>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firstLine="0" w:firstLineChars="0"/>
              <w:jc w:val="left"/>
              <w:textAlignment w:val="auto"/>
              <w:outlineLvl w:val="9"/>
              <w:rPr>
                <w:rFonts w:hint="default" w:ascii="Times New Roman" w:hAnsi="Times New Roman" w:eastAsia="仿宋_GB2312" w:cs="Times New Roman"/>
                <w:color w:val="auto"/>
                <w:spacing w:val="0"/>
                <w:w w:val="100"/>
                <w:position w:val="0"/>
                <w:sz w:val="21"/>
                <w:szCs w:val="21"/>
                <w:shd w:val="clear" w:color="auto" w:fill="auto"/>
                <w:lang w:eastAsia="zh-CN"/>
              </w:rPr>
            </w:pPr>
            <w:r>
              <w:rPr>
                <w:rFonts w:hint="default" w:ascii="Times New Roman" w:hAnsi="Times New Roman" w:eastAsia="仿宋_GB2312" w:cs="Times New Roman"/>
                <w:color w:val="auto"/>
                <w:spacing w:val="0"/>
                <w:w w:val="100"/>
                <w:position w:val="0"/>
                <w:sz w:val="21"/>
                <w:szCs w:val="21"/>
                <w:shd w:val="clear" w:color="auto" w:fill="auto"/>
              </w:rPr>
              <w:t>其他相关部门（单位）按职责承担应急物资储备保障任务</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并建立本部门（单位）应急物资储备制度</w:t>
            </w:r>
            <w:r>
              <w:rPr>
                <w:rFonts w:hint="default" w:ascii="Times New Roman" w:hAnsi="Times New Roman" w:eastAsia="仿宋_GB2312" w:cs="Times New Roman"/>
                <w:color w:val="auto"/>
                <w:spacing w:val="0"/>
                <w:w w:val="100"/>
                <w:position w:val="0"/>
                <w:sz w:val="21"/>
                <w:szCs w:val="21"/>
                <w:shd w:val="clear" w:color="auto" w:fill="auto"/>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leftChars="0" w:right="0" w:firstLine="0" w:firstLineChars="0"/>
              <w:jc w:val="left"/>
              <w:textAlignment w:val="auto"/>
              <w:outlineLvl w:val="9"/>
              <w:rPr>
                <w:rFonts w:hint="default" w:ascii="Times New Roman" w:hAnsi="Times New Roman" w:eastAsia="仿宋_GB2312" w:cs="Times New Roman"/>
                <w:color w:val="auto"/>
                <w:spacing w:val="0"/>
                <w:w w:val="100"/>
                <w:position w:val="0"/>
                <w:sz w:val="21"/>
                <w:szCs w:val="21"/>
                <w:shd w:val="clear" w:color="auto" w:fill="auto"/>
                <w:lang w:val="en-US" w:eastAsia="zh-CN"/>
              </w:rPr>
            </w:pPr>
            <w:r>
              <w:rPr>
                <w:rFonts w:hint="default" w:ascii="Times New Roman" w:hAnsi="Times New Roman" w:eastAsia="仿宋_GB2312" w:cs="Times New Roman"/>
                <w:color w:val="auto"/>
                <w:spacing w:val="0"/>
                <w:w w:val="100"/>
                <w:position w:val="0"/>
                <w:sz w:val="21"/>
                <w:szCs w:val="21"/>
                <w:shd w:val="clear" w:color="auto" w:fill="auto"/>
                <w:lang w:val="en-US" w:eastAsia="zh-CN"/>
              </w:rPr>
              <w:t>财政部门负责应急物资储备经费保障</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明确储备事权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明确县、镇（街道）级储备责任，根据防灾救灾工作实际，饮食保障类应急物资主要采取与大型商超签订协议方式，以县储备为主。灾害发生时，镇（街道）级应先动用本级储备物资，不足时请求县级支援。根据应对处置较大及一般突发事件所需，按照分级负责、相互协同的原则，结合历年突发事件发生频次、影响范围及地区特点等，兼顾跨区域救援需要，确定应急物资储备重点，储备符合区域突发事件特点的应急物资。各行业部门按职责承担应急物资储备任务，科学确定各类应急物资的储备规模和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建立健全分级响应协同保障机制。自然灾害、事故灾难或者公共卫生事件发生后，各级应先行动用本级应急物资储备。在本级储备难以保障时，可向上一级提出应急物资调用申请，调用申请应明确需要调用的应急物资种类、规格和数量及调运时间和地点等内容。统筹全县应急物资的调配调用，建立协同保障机制。经县委、县政府应急物资保障工作领导小组同意，由县应急局向县有关部门发出调拨指令，各有关部门单位要严格执行调拨指令，负责组织实施应急物资调运等工作，并及时报告应急物资调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（二）加强生活保障类物资储备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强化政府（实物）储备。发挥政府实物储备的民生保障主导作用，重点储备2大类4中类10小类生活保障应急物资，确保较大突发事件发生12小时内保障受灾人员得到初步救助，24小时内保障受灾人员得到基本生活救助。2025年、2030年县级政府储备能够保障0.5-0.7万人紧急集中转移安置人口的物资。自2021年起，逐年加大政府实物储备规模，到 2023年底，县、镇（街道）政府实物储备达到国家规定标准并实现动态平衡。</w:t>
      </w:r>
    </w:p>
    <w:tbl>
      <w:tblPr>
        <w:tblStyle w:val="5"/>
        <w:tblW w:w="10205" w:type="dxa"/>
        <w:jc w:val="center"/>
        <w:shd w:val="clear" w:color="auto" w:fill="auto"/>
        <w:tblLayout w:type="fixed"/>
        <w:tblCellMar>
          <w:top w:w="0" w:type="dxa"/>
          <w:left w:w="10" w:type="dxa"/>
          <w:bottom w:w="0" w:type="dxa"/>
          <w:right w:w="10" w:type="dxa"/>
        </w:tblCellMar>
      </w:tblPr>
      <w:tblGrid>
        <w:gridCol w:w="1919"/>
        <w:gridCol w:w="1371"/>
        <w:gridCol w:w="2286"/>
        <w:gridCol w:w="4629"/>
      </w:tblGrid>
      <w:tr>
        <w:tblPrEx>
          <w:tblCellMar>
            <w:top w:w="0" w:type="dxa"/>
            <w:left w:w="10" w:type="dxa"/>
            <w:bottom w:w="0" w:type="dxa"/>
            <w:right w:w="10" w:type="dxa"/>
          </w:tblCellMar>
        </w:tblPrEx>
        <w:trPr>
          <w:trHeight w:val="418" w:hRule="exact"/>
          <w:jc w:val="center"/>
        </w:trPr>
        <w:tc>
          <w:tcPr>
            <w:tcW w:w="9365" w:type="dxa"/>
            <w:gridSpan w:val="4"/>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cs="Times New Roman"/>
                <w:color w:val="auto"/>
                <w:sz w:val="20"/>
                <w:szCs w:val="20"/>
              </w:rPr>
            </w:pPr>
            <w:r>
              <w:rPr>
                <w:rFonts w:hint="default" w:ascii="Times New Roman" w:hAnsi="Times New Roman" w:eastAsia="宋体" w:cs="Times New Roman"/>
                <w:b/>
                <w:bCs/>
                <w:color w:val="auto"/>
                <w:spacing w:val="0"/>
                <w:w w:val="100"/>
                <w:position w:val="0"/>
                <w:sz w:val="20"/>
                <w:szCs w:val="20"/>
                <w:shd w:val="clear" w:color="auto" w:fill="auto"/>
              </w:rPr>
              <w:t>专栏</w:t>
            </w:r>
            <w:r>
              <w:rPr>
                <w:rFonts w:hint="default" w:ascii="Times New Roman" w:hAnsi="Times New Roman" w:eastAsia="Times New Roman" w:cs="Times New Roman"/>
                <w:color w:val="auto"/>
                <w:spacing w:val="0"/>
                <w:w w:val="100"/>
                <w:position w:val="0"/>
                <w:sz w:val="19"/>
                <w:szCs w:val="19"/>
                <w:shd w:val="clear" w:color="auto" w:fill="auto"/>
              </w:rPr>
              <w:t>4</w:t>
            </w:r>
            <w:r>
              <w:rPr>
                <w:rFonts w:hint="default" w:ascii="Times New Roman" w:hAnsi="Times New Roman" w:eastAsia="宋体" w:cs="Times New Roman"/>
                <w:b/>
                <w:bCs/>
                <w:color w:val="auto"/>
                <w:spacing w:val="0"/>
                <w:w w:val="100"/>
                <w:position w:val="0"/>
                <w:sz w:val="20"/>
                <w:szCs w:val="20"/>
                <w:shd w:val="clear" w:color="auto" w:fill="auto"/>
              </w:rPr>
              <w:t>生活保障类应急物资储备品类</w:t>
            </w:r>
          </w:p>
        </w:tc>
      </w:tr>
      <w:tr>
        <w:tblPrEx>
          <w:shd w:val="clear" w:color="auto" w:fill="auto"/>
          <w:tblCellMar>
            <w:top w:w="0" w:type="dxa"/>
            <w:left w:w="10" w:type="dxa"/>
            <w:bottom w:w="0" w:type="dxa"/>
            <w:right w:w="10" w:type="dxa"/>
          </w:tblCellMar>
        </w:tblPrEx>
        <w:trPr>
          <w:trHeight w:val="648" w:hRule="exact"/>
          <w:jc w:val="center"/>
        </w:trPr>
        <w:tc>
          <w:tcPr>
            <w:tcW w:w="1761"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pacing w:val="0"/>
                <w:w w:val="100"/>
                <w:position w:val="0"/>
                <w:sz w:val="21"/>
                <w:szCs w:val="21"/>
                <w:shd w:val="clear" w:color="auto" w:fill="auto"/>
              </w:rPr>
            </w:pPr>
            <w:r>
              <w:rPr>
                <w:rFonts w:hint="default" w:ascii="Times New Roman" w:hAnsi="Times New Roman" w:eastAsia="仿宋_GB2312" w:cs="Times New Roman"/>
                <w:color w:val="auto"/>
                <w:spacing w:val="0"/>
                <w:w w:val="100"/>
                <w:position w:val="0"/>
                <w:sz w:val="21"/>
                <w:szCs w:val="21"/>
                <w:shd w:val="clear" w:color="auto" w:fill="auto"/>
              </w:rPr>
              <w:t xml:space="preserve">应急保障类别 </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（大类）</w:t>
            </w:r>
          </w:p>
        </w:tc>
        <w:tc>
          <w:tcPr>
            <w:tcW w:w="125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pacing w:val="0"/>
                <w:w w:val="100"/>
                <w:position w:val="0"/>
                <w:sz w:val="21"/>
                <w:szCs w:val="21"/>
                <w:shd w:val="clear" w:color="auto" w:fill="auto"/>
              </w:rPr>
            </w:pPr>
            <w:r>
              <w:rPr>
                <w:rFonts w:hint="default" w:ascii="Times New Roman" w:hAnsi="Times New Roman" w:eastAsia="仿宋_GB2312" w:cs="Times New Roman"/>
                <w:color w:val="auto"/>
                <w:spacing w:val="0"/>
                <w:w w:val="100"/>
                <w:position w:val="0"/>
                <w:sz w:val="21"/>
                <w:szCs w:val="21"/>
                <w:shd w:val="clear" w:color="auto" w:fill="auto"/>
              </w:rPr>
              <w:t xml:space="preserve">任务类型 </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（中类）</w:t>
            </w:r>
          </w:p>
        </w:tc>
        <w:tc>
          <w:tcPr>
            <w:tcW w:w="209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作业方式或物资功能 （小类）</w:t>
            </w:r>
          </w:p>
        </w:tc>
        <w:tc>
          <w:tcPr>
            <w:tcW w:w="4248" w:type="dxa"/>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重点应急物资名称</w:t>
            </w:r>
          </w:p>
        </w:tc>
      </w:tr>
      <w:tr>
        <w:tblPrEx>
          <w:shd w:val="clear" w:color="auto" w:fill="auto"/>
          <w:tblCellMar>
            <w:top w:w="0" w:type="dxa"/>
            <w:left w:w="10" w:type="dxa"/>
            <w:bottom w:w="0" w:type="dxa"/>
            <w:right w:w="10" w:type="dxa"/>
          </w:tblCellMar>
        </w:tblPrEx>
        <w:trPr>
          <w:trHeight w:val="629" w:hRule="exact"/>
          <w:jc w:val="center"/>
        </w:trPr>
        <w:tc>
          <w:tcPr>
            <w:tcW w:w="1761" w:type="dxa"/>
            <w:vMerge w:val="restart"/>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left"/>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1.现场管理与保障</w:t>
            </w:r>
          </w:p>
        </w:tc>
        <w:tc>
          <w:tcPr>
            <w:tcW w:w="125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lang w:val="en-US" w:eastAsia="en-US" w:bidi="en-US"/>
              </w:rPr>
              <w:t xml:space="preserve">1. </w:t>
            </w:r>
            <w:r>
              <w:rPr>
                <w:rFonts w:hint="default" w:ascii="Times New Roman" w:hAnsi="Times New Roman" w:eastAsia="仿宋_GB2312" w:cs="Times New Roman"/>
                <w:color w:val="auto"/>
                <w:spacing w:val="0"/>
                <w:w w:val="100"/>
                <w:position w:val="0"/>
                <w:sz w:val="21"/>
                <w:szCs w:val="21"/>
                <w:shd w:val="clear" w:color="auto" w:fill="auto"/>
              </w:rPr>
              <w:t>1现场安全</w:t>
            </w:r>
          </w:p>
        </w:tc>
        <w:tc>
          <w:tcPr>
            <w:tcW w:w="209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lang w:val="en-US" w:eastAsia="en-US" w:bidi="en-US"/>
              </w:rPr>
              <w:t>1.1.</w:t>
            </w:r>
            <w:r>
              <w:rPr>
                <w:rFonts w:hint="default" w:ascii="Times New Roman" w:hAnsi="Times New Roman" w:eastAsia="仿宋_GB2312" w:cs="Times New Roman"/>
                <w:color w:val="auto"/>
                <w:spacing w:val="0"/>
                <w:w w:val="100"/>
                <w:position w:val="0"/>
                <w:sz w:val="21"/>
                <w:szCs w:val="21"/>
                <w:shd w:val="clear" w:color="auto" w:fill="auto"/>
              </w:rPr>
              <w:t>1现场照明</w:t>
            </w:r>
          </w:p>
        </w:tc>
        <w:tc>
          <w:tcPr>
            <w:tcW w:w="4248" w:type="dxa"/>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手电筒、探照灯、应急灯、移动式升降照明灯组、帐篷灯、蜡烛、荧光棒等</w:t>
            </w:r>
          </w:p>
        </w:tc>
      </w:tr>
      <w:tr>
        <w:tblPrEx>
          <w:tblCellMar>
            <w:top w:w="0" w:type="dxa"/>
            <w:left w:w="10" w:type="dxa"/>
            <w:bottom w:w="0" w:type="dxa"/>
            <w:right w:w="10" w:type="dxa"/>
          </w:tblCellMar>
        </w:tblPrEx>
        <w:trPr>
          <w:trHeight w:val="554" w:hRule="exact"/>
          <w:jc w:val="center"/>
        </w:trPr>
        <w:tc>
          <w:tcPr>
            <w:tcW w:w="1761"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125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lang w:val="en-US" w:eastAsia="en-US" w:bidi="en-US"/>
              </w:rPr>
              <w:t xml:space="preserve">1. </w:t>
            </w:r>
            <w:r>
              <w:rPr>
                <w:rFonts w:hint="default" w:ascii="Times New Roman" w:hAnsi="Times New Roman" w:eastAsia="仿宋_GB2312" w:cs="Times New Roman"/>
                <w:color w:val="auto"/>
                <w:spacing w:val="0"/>
                <w:w w:val="100"/>
                <w:position w:val="0"/>
                <w:sz w:val="21"/>
                <w:szCs w:val="21"/>
                <w:shd w:val="clear" w:color="auto" w:fill="auto"/>
              </w:rPr>
              <w:t>2能源动力 保障</w:t>
            </w:r>
          </w:p>
        </w:tc>
        <w:tc>
          <w:tcPr>
            <w:tcW w:w="209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lang w:val="en-US" w:eastAsia="en-US" w:bidi="en-US"/>
              </w:rPr>
              <w:t>1.2.</w:t>
            </w:r>
            <w:r>
              <w:rPr>
                <w:rFonts w:hint="default" w:ascii="Times New Roman" w:hAnsi="Times New Roman" w:eastAsia="仿宋_GB2312" w:cs="Times New Roman"/>
                <w:color w:val="auto"/>
                <w:spacing w:val="0"/>
                <w:w w:val="100"/>
                <w:position w:val="0"/>
                <w:sz w:val="21"/>
                <w:szCs w:val="21"/>
                <w:shd w:val="clear" w:color="auto" w:fill="auto"/>
              </w:rPr>
              <w:t>1应急动力</w:t>
            </w:r>
          </w:p>
        </w:tc>
        <w:tc>
          <w:tcPr>
            <w:tcW w:w="4248" w:type="dxa"/>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燃油发电机组</w:t>
            </w:r>
          </w:p>
        </w:tc>
      </w:tr>
      <w:tr>
        <w:tblPrEx>
          <w:shd w:val="clear" w:color="auto" w:fill="auto"/>
          <w:tblCellMar>
            <w:top w:w="0" w:type="dxa"/>
            <w:left w:w="10" w:type="dxa"/>
            <w:bottom w:w="0" w:type="dxa"/>
            <w:right w:w="10" w:type="dxa"/>
          </w:tblCellMar>
        </w:tblPrEx>
        <w:trPr>
          <w:trHeight w:val="1136" w:hRule="exact"/>
          <w:jc w:val="center"/>
        </w:trPr>
        <w:tc>
          <w:tcPr>
            <w:tcW w:w="1761" w:type="dxa"/>
            <w:vMerge w:val="restart"/>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2.生命救援与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生活救助</w:t>
            </w:r>
          </w:p>
        </w:tc>
        <w:tc>
          <w:tcPr>
            <w:tcW w:w="1258" w:type="dxa"/>
            <w:vMerge w:val="restart"/>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2.1人员庇护</w:t>
            </w:r>
          </w:p>
        </w:tc>
        <w:tc>
          <w:tcPr>
            <w:tcW w:w="209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2.1.1 临时住宿</w:t>
            </w:r>
          </w:p>
        </w:tc>
        <w:tc>
          <w:tcPr>
            <w:tcW w:w="4248" w:type="dxa"/>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帐篷（单帐篷、棉帐篷、功能性帐篷）宿营车（轮式、轨式）</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移动房屋（组装集装箱式、轨道式、轮式）</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折叠床</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蚊帐</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棉被</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 xml:space="preserve"> 睡袋</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火炉</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桌椅等</w:t>
            </w:r>
          </w:p>
        </w:tc>
      </w:tr>
      <w:tr>
        <w:tblPrEx>
          <w:shd w:val="clear" w:color="auto" w:fill="auto"/>
          <w:tblCellMar>
            <w:top w:w="0" w:type="dxa"/>
            <w:left w:w="10" w:type="dxa"/>
            <w:bottom w:w="0" w:type="dxa"/>
            <w:right w:w="10" w:type="dxa"/>
          </w:tblCellMar>
        </w:tblPrEx>
        <w:trPr>
          <w:trHeight w:val="418" w:hRule="exact"/>
          <w:jc w:val="center"/>
        </w:trPr>
        <w:tc>
          <w:tcPr>
            <w:tcW w:w="1761"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1258"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209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lang w:val="en-US" w:eastAsia="en-US" w:bidi="en-US"/>
              </w:rPr>
              <w:t>2.1.</w:t>
            </w:r>
            <w:r>
              <w:rPr>
                <w:rFonts w:hint="default" w:ascii="Times New Roman" w:hAnsi="Times New Roman" w:eastAsia="仿宋_GB2312" w:cs="Times New Roman"/>
                <w:color w:val="auto"/>
                <w:spacing w:val="0"/>
                <w:w w:val="100"/>
                <w:position w:val="0"/>
                <w:sz w:val="21"/>
                <w:szCs w:val="21"/>
                <w:shd w:val="clear" w:color="auto" w:fill="auto"/>
              </w:rPr>
              <w:t>2保暖衣物</w:t>
            </w:r>
          </w:p>
        </w:tc>
        <w:tc>
          <w:tcPr>
            <w:tcW w:w="4248" w:type="dxa"/>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棉大衣；防寒服；棉鞋；棉袜；毛毯等</w:t>
            </w:r>
          </w:p>
        </w:tc>
      </w:tr>
      <w:tr>
        <w:tblPrEx>
          <w:tblCellMar>
            <w:top w:w="0" w:type="dxa"/>
            <w:left w:w="10" w:type="dxa"/>
            <w:bottom w:w="0" w:type="dxa"/>
            <w:right w:w="10" w:type="dxa"/>
          </w:tblCellMar>
        </w:tblPrEx>
        <w:trPr>
          <w:trHeight w:val="921" w:hRule="exact"/>
          <w:jc w:val="center"/>
        </w:trPr>
        <w:tc>
          <w:tcPr>
            <w:tcW w:w="1761"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1258"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209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2.1.3 卫生保障</w:t>
            </w:r>
          </w:p>
        </w:tc>
        <w:tc>
          <w:tcPr>
            <w:tcW w:w="4248" w:type="dxa"/>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沐浴车</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简易厕所（移动、固定）</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垃圾箱（车、船）</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洒水车</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真空吸污车</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垃圾袋</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医用污物塑料袋</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消毒液</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洗洁用品</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个人卫生用品等</w:t>
            </w:r>
          </w:p>
        </w:tc>
      </w:tr>
      <w:tr>
        <w:tblPrEx>
          <w:shd w:val="clear" w:color="auto" w:fill="auto"/>
          <w:tblCellMar>
            <w:top w:w="0" w:type="dxa"/>
            <w:left w:w="10" w:type="dxa"/>
            <w:bottom w:w="0" w:type="dxa"/>
            <w:right w:w="10" w:type="dxa"/>
          </w:tblCellMar>
        </w:tblPrEx>
        <w:trPr>
          <w:trHeight w:val="766" w:hRule="exact"/>
          <w:jc w:val="center"/>
        </w:trPr>
        <w:tc>
          <w:tcPr>
            <w:tcW w:w="1761"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1258" w:type="dxa"/>
            <w:vMerge w:val="restart"/>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2.2饮食保障</w:t>
            </w:r>
          </w:p>
        </w:tc>
        <w:tc>
          <w:tcPr>
            <w:tcW w:w="209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leftChars="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lang w:val="en-US" w:eastAsia="en-US" w:bidi="en-US"/>
              </w:rPr>
              <w:t>2.2.1</w:t>
            </w:r>
            <w:r>
              <w:rPr>
                <w:rFonts w:hint="default" w:ascii="Times New Roman" w:hAnsi="Times New Roman" w:eastAsia="仿宋_GB2312" w:cs="Times New Roman"/>
                <w:color w:val="auto"/>
                <w:spacing w:val="0"/>
                <w:w w:val="100"/>
                <w:position w:val="0"/>
                <w:sz w:val="21"/>
                <w:szCs w:val="21"/>
                <w:shd w:val="clear" w:color="auto" w:fill="auto"/>
              </w:rPr>
              <w:t>食品加工</w:t>
            </w:r>
          </w:p>
        </w:tc>
        <w:tc>
          <w:tcPr>
            <w:tcW w:w="4248" w:type="dxa"/>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炊事车（轮式、轨式）；主副食半成品加工车；移动厨房；野外灶具；炊具；餐具等</w:t>
            </w:r>
          </w:p>
        </w:tc>
      </w:tr>
      <w:tr>
        <w:tblPrEx>
          <w:tblCellMar>
            <w:top w:w="0" w:type="dxa"/>
            <w:left w:w="10" w:type="dxa"/>
            <w:bottom w:w="0" w:type="dxa"/>
            <w:right w:w="10" w:type="dxa"/>
          </w:tblCellMar>
        </w:tblPrEx>
        <w:trPr>
          <w:trHeight w:val="385" w:hRule="exact"/>
          <w:jc w:val="center"/>
        </w:trPr>
        <w:tc>
          <w:tcPr>
            <w:tcW w:w="1761"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1258"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209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lang w:val="en-US" w:eastAsia="en-US" w:bidi="en-US"/>
              </w:rPr>
              <w:t>2.2.2</w:t>
            </w:r>
            <w:r>
              <w:rPr>
                <w:rFonts w:hint="default" w:ascii="Times New Roman" w:hAnsi="Times New Roman" w:eastAsia="仿宋_GB2312" w:cs="Times New Roman"/>
                <w:color w:val="auto"/>
                <w:spacing w:val="0"/>
                <w:w w:val="100"/>
                <w:position w:val="0"/>
                <w:sz w:val="21"/>
                <w:szCs w:val="21"/>
                <w:shd w:val="clear" w:color="auto" w:fill="auto"/>
              </w:rPr>
              <w:t>饮用水净化</w:t>
            </w:r>
          </w:p>
        </w:tc>
        <w:tc>
          <w:tcPr>
            <w:tcW w:w="4248" w:type="dxa"/>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应急净水车；过滤净化机（器）水箱；水袋等</w:t>
            </w:r>
          </w:p>
        </w:tc>
      </w:tr>
      <w:tr>
        <w:tblPrEx>
          <w:shd w:val="clear" w:color="auto" w:fill="auto"/>
          <w:tblCellMar>
            <w:top w:w="0" w:type="dxa"/>
            <w:left w:w="10" w:type="dxa"/>
            <w:bottom w:w="0" w:type="dxa"/>
            <w:right w:w="10" w:type="dxa"/>
          </w:tblCellMar>
        </w:tblPrEx>
        <w:trPr>
          <w:trHeight w:val="765" w:hRule="exact"/>
          <w:jc w:val="center"/>
        </w:trPr>
        <w:tc>
          <w:tcPr>
            <w:tcW w:w="1761"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1258"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209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2.2.3 粮油食品供应</w:t>
            </w:r>
          </w:p>
        </w:tc>
        <w:tc>
          <w:tcPr>
            <w:tcW w:w="4248" w:type="dxa"/>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面粉</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大米</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小包装成品粮</w:t>
            </w:r>
            <w:r>
              <w:rPr>
                <w:rFonts w:hint="default" w:ascii="Times New Roman" w:hAnsi="Times New Roman" w:eastAsia="仿宋_GB2312" w:cs="Times New Roman"/>
                <w:color w:val="auto"/>
                <w:spacing w:val="0"/>
                <w:w w:val="100"/>
                <w:position w:val="0"/>
                <w:sz w:val="21"/>
                <w:szCs w:val="21"/>
                <w:shd w:val="clear" w:color="auto" w:fill="auto"/>
                <w:lang w:eastAsia="zh-CN"/>
              </w:rPr>
              <w:t>；</w:t>
            </w:r>
            <w:r>
              <w:rPr>
                <w:rFonts w:hint="default" w:ascii="Times New Roman" w:hAnsi="Times New Roman" w:eastAsia="仿宋_GB2312" w:cs="Times New Roman"/>
                <w:color w:val="auto"/>
                <w:spacing w:val="0"/>
                <w:w w:val="100"/>
                <w:position w:val="0"/>
                <w:sz w:val="21"/>
                <w:szCs w:val="21"/>
                <w:shd w:val="clear" w:color="auto" w:fill="auto"/>
              </w:rPr>
              <w:t>方便食品（罐 头、压缩食品、真空包装食品）包装成品油等</w:t>
            </w:r>
          </w:p>
        </w:tc>
      </w:tr>
      <w:tr>
        <w:tblPrEx>
          <w:shd w:val="clear" w:color="auto" w:fill="auto"/>
          <w:tblCellMar>
            <w:top w:w="0" w:type="dxa"/>
            <w:left w:w="10" w:type="dxa"/>
            <w:bottom w:w="0" w:type="dxa"/>
            <w:right w:w="10" w:type="dxa"/>
          </w:tblCellMar>
        </w:tblPrEx>
        <w:trPr>
          <w:trHeight w:val="460" w:hRule="exact"/>
          <w:jc w:val="center"/>
        </w:trPr>
        <w:tc>
          <w:tcPr>
            <w:tcW w:w="1761"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1258"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2098" w:type="dxa"/>
            <w:tcBorders>
              <w:top w:val="single" w:color="auto" w:sz="4" w:space="0"/>
              <w:lef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lang w:val="en-US" w:eastAsia="en-US" w:bidi="en-US"/>
              </w:rPr>
              <w:t>2.2.</w:t>
            </w:r>
            <w:r>
              <w:rPr>
                <w:rFonts w:hint="default" w:ascii="Times New Roman" w:hAnsi="Times New Roman" w:eastAsia="仿宋_GB2312" w:cs="Times New Roman"/>
                <w:color w:val="auto"/>
                <w:spacing w:val="0"/>
                <w:w w:val="100"/>
                <w:position w:val="0"/>
                <w:sz w:val="21"/>
                <w:szCs w:val="21"/>
                <w:shd w:val="clear" w:color="auto" w:fill="auto"/>
              </w:rPr>
              <w:t>4其他食品供应</w:t>
            </w:r>
          </w:p>
        </w:tc>
        <w:tc>
          <w:tcPr>
            <w:tcW w:w="4248" w:type="dxa"/>
            <w:tcBorders>
              <w:top w:val="single" w:color="auto" w:sz="4" w:space="0"/>
              <w:left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肉禽、蛋品、蔬菜、食用盐及其它调味品等</w:t>
            </w:r>
          </w:p>
        </w:tc>
      </w:tr>
      <w:tr>
        <w:tblPrEx>
          <w:shd w:val="clear" w:color="auto" w:fill="auto"/>
          <w:tblCellMar>
            <w:top w:w="0" w:type="dxa"/>
            <w:left w:w="10" w:type="dxa"/>
            <w:bottom w:w="0" w:type="dxa"/>
            <w:right w:w="10" w:type="dxa"/>
          </w:tblCellMar>
        </w:tblPrEx>
        <w:trPr>
          <w:trHeight w:val="422" w:hRule="exact"/>
          <w:jc w:val="center"/>
        </w:trPr>
        <w:tc>
          <w:tcPr>
            <w:tcW w:w="1761" w:type="dxa"/>
            <w:vMerge w:val="continue"/>
            <w:tcBorders>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1258" w:type="dxa"/>
            <w:vMerge w:val="continue"/>
            <w:tcBorders>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outlineLvl w:val="9"/>
              <w:rPr>
                <w:rFonts w:hint="default" w:ascii="Times New Roman" w:hAnsi="Times New Roman" w:eastAsia="仿宋_GB2312" w:cs="Times New Roman"/>
                <w:color w:val="auto"/>
                <w:sz w:val="21"/>
                <w:szCs w:val="21"/>
              </w:rPr>
            </w:pPr>
          </w:p>
        </w:tc>
        <w:tc>
          <w:tcPr>
            <w:tcW w:w="2098" w:type="dxa"/>
            <w:tcBorders>
              <w:top w:val="single" w:color="auto" w:sz="4" w:space="0"/>
              <w:left w:val="single" w:color="auto" w:sz="4" w:space="0"/>
              <w:bottom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lang w:val="en-US" w:eastAsia="en-US" w:bidi="en-US"/>
              </w:rPr>
              <w:t>2.2.5</w:t>
            </w:r>
            <w:r>
              <w:rPr>
                <w:rFonts w:hint="default" w:ascii="Times New Roman" w:hAnsi="Times New Roman" w:eastAsia="仿宋_GB2312" w:cs="Times New Roman"/>
                <w:color w:val="auto"/>
                <w:spacing w:val="0"/>
                <w:w w:val="100"/>
                <w:position w:val="0"/>
                <w:sz w:val="21"/>
                <w:szCs w:val="21"/>
                <w:shd w:val="clear" w:color="auto" w:fill="auto"/>
              </w:rPr>
              <w:t>生活用水供应</w:t>
            </w:r>
          </w:p>
        </w:tc>
        <w:tc>
          <w:tcPr>
            <w:tcW w:w="424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firstLineChars="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pacing w:val="0"/>
                <w:w w:val="100"/>
                <w:position w:val="0"/>
                <w:sz w:val="21"/>
                <w:szCs w:val="21"/>
                <w:shd w:val="clear" w:color="auto" w:fill="auto"/>
              </w:rPr>
              <w:t>应急运水车；瓶装水；桶装水等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2．优化提升仓储设施建设布局。升级改造县级救灾物资储备库。依托山东高青国家粮食储备库，加快标准化应急物资储备库建设，增强仓储功能，县级综合应急物资仓库达到2500㎡。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3．加强企业（商业）和产能储备。对于突发事件发生后需要快速供应且难以长期储存的物资，实行企业（商业）储备。2025年，企业（商业）储备能够保障0.5-0.7万紧急集中转移安置人口5天所需的物资，产能储备能够保障0.5-0.7万紧急集中转移安置人口3天所需的物资。2030年，企业（商业）储备能够保障0.5-0.7万紧急集中转移安置人口7天所需的物资，产能储备能够保障0.5-0.7万紧急集中转移安置人口13天所需的物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主要储备矿泉水、肉食品、食盐、食糖以及少量的成品粮、食用油等生存或生活必需品。各职能部门应选择实力强、信誉好的企业作为承储企业，每年年初组织对企业（商业）和产能储备合同进行修订完善。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（三）加强医疗卫生类物资储备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科学确定储备品类和规模。按照突发公共卫生事件日均医用物资消耗上限，不少于1个月的用量，重点储备人员安全防护、紧急医疗救护等应急物资。县政府储备分别能够保障2500-5000人、1500-3000人1个月的卫生防疫类和7-10天的医疗救治类应急物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2025年，县级商业储备能够保障2500人10天突发公共卫生事件（Ⅰ类）和5000人5天医学紧急救援类（Ⅱ类）应急物资的需求；县级产能储备能够保障2500人1个月突发公共卫生事件（Ⅰ类）和5000人3天医学紧急救援类（Ⅱ类）应急物资的需求。</w:t>
      </w:r>
    </w:p>
    <w:tbl>
      <w:tblPr>
        <w:tblStyle w:val="5"/>
        <w:tblW w:w="9358" w:type="dxa"/>
        <w:jc w:val="center"/>
        <w:shd w:val="clear" w:color="auto" w:fill="auto"/>
        <w:tblLayout w:type="fixed"/>
        <w:tblCellMar>
          <w:top w:w="0" w:type="dxa"/>
          <w:left w:w="10" w:type="dxa"/>
          <w:bottom w:w="0" w:type="dxa"/>
          <w:right w:w="10" w:type="dxa"/>
        </w:tblCellMar>
      </w:tblPr>
      <w:tblGrid>
        <w:gridCol w:w="1458"/>
        <w:gridCol w:w="1437"/>
        <w:gridCol w:w="2222"/>
        <w:gridCol w:w="4241"/>
      </w:tblGrid>
      <w:tr>
        <w:tblPrEx>
          <w:shd w:val="clear" w:color="auto" w:fill="auto"/>
          <w:tblCellMar>
            <w:top w:w="0" w:type="dxa"/>
            <w:left w:w="10" w:type="dxa"/>
            <w:bottom w:w="0" w:type="dxa"/>
            <w:right w:w="10" w:type="dxa"/>
          </w:tblCellMar>
        </w:tblPrEx>
        <w:trPr>
          <w:trHeight w:val="629" w:hRule="exact"/>
          <w:tblHeader/>
          <w:jc w:val="center"/>
        </w:trPr>
        <w:tc>
          <w:tcPr>
            <w:tcW w:w="9358" w:type="dxa"/>
            <w:gridSpan w:val="4"/>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专栏5</w:t>
            </w:r>
            <w:r>
              <w:rPr>
                <w:rFonts w:hint="default" w:ascii="Times New Roman" w:hAnsi="Times New Roman" w:eastAsia="黑体" w:cs="Times New Roman"/>
                <w:b w:val="0"/>
                <w:bCs w:val="0"/>
                <w:color w:val="auto"/>
                <w:spacing w:val="0"/>
                <w:w w:val="100"/>
                <w:position w:val="0"/>
                <w:sz w:val="21"/>
                <w:szCs w:val="21"/>
                <w:shd w:val="clear" w:color="auto" w:fill="auto"/>
                <w:lang w:val="en-US" w:eastAsia="zh-CN"/>
              </w:rPr>
              <w:t xml:space="preserve">  </w:t>
            </w: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 xml:space="preserve"> 医疗卫生类应急物资储备品类</w:t>
            </w:r>
          </w:p>
        </w:tc>
      </w:tr>
      <w:tr>
        <w:tblPrEx>
          <w:tblCellMar>
            <w:top w:w="0" w:type="dxa"/>
            <w:left w:w="10" w:type="dxa"/>
            <w:bottom w:w="0" w:type="dxa"/>
            <w:right w:w="10" w:type="dxa"/>
          </w:tblCellMar>
        </w:tblPrEx>
        <w:trPr>
          <w:trHeight w:val="859" w:hRule="exact"/>
          <w:tblHeader/>
          <w:jc w:val="center"/>
        </w:trPr>
        <w:tc>
          <w:tcPr>
            <w:tcW w:w="1458"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应急保障类</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（大类）</w:t>
            </w:r>
          </w:p>
        </w:tc>
        <w:tc>
          <w:tcPr>
            <w:tcW w:w="143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任务类型</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（中类）</w:t>
            </w:r>
          </w:p>
        </w:tc>
        <w:tc>
          <w:tcPr>
            <w:tcW w:w="2222"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作业方式或物资功能</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（小类）</w:t>
            </w:r>
          </w:p>
        </w:tc>
        <w:tc>
          <w:tcPr>
            <w:tcW w:w="424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重点应急物资名称</w:t>
            </w:r>
          </w:p>
        </w:tc>
      </w:tr>
      <w:tr>
        <w:tblPrEx>
          <w:shd w:val="clear" w:color="auto" w:fill="auto"/>
          <w:tblCellMar>
            <w:top w:w="0" w:type="dxa"/>
            <w:left w:w="10" w:type="dxa"/>
            <w:bottom w:w="0" w:type="dxa"/>
            <w:right w:w="10" w:type="dxa"/>
          </w:tblCellMar>
        </w:tblPrEx>
        <w:trPr>
          <w:trHeight w:val="1308" w:hRule="exact"/>
          <w:jc w:val="center"/>
        </w:trPr>
        <w:tc>
          <w:tcPr>
            <w:tcW w:w="1458" w:type="dxa"/>
            <w:vMerge w:val="restart"/>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1.医疗卫生类应急物资</w:t>
            </w:r>
          </w:p>
        </w:tc>
        <w:tc>
          <w:tcPr>
            <w:tcW w:w="143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1.1现场监测</w:t>
            </w:r>
          </w:p>
        </w:tc>
        <w:tc>
          <w:tcPr>
            <w:tcW w:w="2222"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1.1.1疫病监测</w:t>
            </w:r>
          </w:p>
        </w:tc>
        <w:tc>
          <w:tcPr>
            <w:tcW w:w="424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电子测温仪；现场采样仪(器、箱)；生物样品运输箱；红外监测仪；核酸检测试剂盒等</w:t>
            </w:r>
          </w:p>
        </w:tc>
      </w:tr>
      <w:tr>
        <w:tblPrEx>
          <w:tblCellMar>
            <w:top w:w="0" w:type="dxa"/>
            <w:left w:w="10" w:type="dxa"/>
            <w:bottom w:w="0" w:type="dxa"/>
            <w:right w:w="10" w:type="dxa"/>
          </w:tblCellMar>
        </w:tblPrEx>
        <w:trPr>
          <w:trHeight w:val="835" w:hRule="exact"/>
          <w:jc w:val="center"/>
        </w:trPr>
        <w:tc>
          <w:tcPr>
            <w:tcW w:w="1458"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p>
        </w:tc>
        <w:tc>
          <w:tcPr>
            <w:tcW w:w="1437"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1.2人员安全防护</w:t>
            </w:r>
          </w:p>
        </w:tc>
        <w:tc>
          <w:tcPr>
            <w:tcW w:w="2222"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1.2.1卫生防疫</w:t>
            </w:r>
          </w:p>
        </w:tc>
        <w:tc>
          <w:tcPr>
            <w:tcW w:w="424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防护服；防护口罩；防护眼镜；防护鞋帽；乳胶手套或橡胶手套等</w:t>
            </w:r>
          </w:p>
        </w:tc>
      </w:tr>
      <w:tr>
        <w:tblPrEx>
          <w:shd w:val="clear" w:color="auto" w:fill="auto"/>
          <w:tblCellMar>
            <w:top w:w="0" w:type="dxa"/>
            <w:left w:w="10" w:type="dxa"/>
            <w:bottom w:w="0" w:type="dxa"/>
            <w:right w:w="10" w:type="dxa"/>
          </w:tblCellMar>
        </w:tblPrEx>
        <w:trPr>
          <w:trHeight w:val="1050" w:hRule="exact"/>
          <w:jc w:val="center"/>
        </w:trPr>
        <w:tc>
          <w:tcPr>
            <w:tcW w:w="1458"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p>
        </w:tc>
        <w:tc>
          <w:tcPr>
            <w:tcW w:w="1437" w:type="dxa"/>
            <w:vMerge w:val="restart"/>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1.3应急医疗救护</w:t>
            </w:r>
          </w:p>
        </w:tc>
        <w:tc>
          <w:tcPr>
            <w:tcW w:w="2222"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1.3.1伤员固定与转运</w:t>
            </w:r>
          </w:p>
        </w:tc>
        <w:tc>
          <w:tcPr>
            <w:tcW w:w="424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颈托；躯肢体固定托架(气囊)；关节夹板；担架；隔离担架；急救车等</w:t>
            </w:r>
          </w:p>
        </w:tc>
      </w:tr>
      <w:tr>
        <w:tblPrEx>
          <w:shd w:val="clear" w:color="auto" w:fill="auto"/>
          <w:tblCellMar>
            <w:top w:w="0" w:type="dxa"/>
            <w:left w:w="10" w:type="dxa"/>
            <w:bottom w:w="0" w:type="dxa"/>
            <w:right w:w="10" w:type="dxa"/>
          </w:tblCellMar>
        </w:tblPrEx>
        <w:trPr>
          <w:trHeight w:val="2323" w:hRule="exact"/>
          <w:jc w:val="center"/>
        </w:trPr>
        <w:tc>
          <w:tcPr>
            <w:tcW w:w="1458"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p>
        </w:tc>
        <w:tc>
          <w:tcPr>
            <w:tcW w:w="1437"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p>
        </w:tc>
        <w:tc>
          <w:tcPr>
            <w:tcW w:w="2222" w:type="dxa"/>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13.2院前急救</w:t>
            </w:r>
          </w:p>
        </w:tc>
        <w:tc>
          <w:tcPr>
            <w:tcW w:w="424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急救箱或背囊；除颤起搏器；输液泵；心肺复苏机；简易呼吸器；多人吸氧器；便携呼吸机；氧气机(瓶袋)；高效轻便制氧设备；手术床；麻醉机；监护仪；小型移动手术车；洗眼器；重伤员皮肤洗消装置；脱脂纱布、敷料；输液袋等</w:t>
            </w:r>
          </w:p>
        </w:tc>
      </w:tr>
      <w:tr>
        <w:tblPrEx>
          <w:tblCellMar>
            <w:top w:w="0" w:type="dxa"/>
            <w:left w:w="10" w:type="dxa"/>
            <w:bottom w:w="0" w:type="dxa"/>
            <w:right w:w="10" w:type="dxa"/>
          </w:tblCellMar>
        </w:tblPrEx>
        <w:trPr>
          <w:trHeight w:val="1020" w:hRule="exact"/>
          <w:jc w:val="center"/>
        </w:trPr>
        <w:tc>
          <w:tcPr>
            <w:tcW w:w="1458" w:type="dxa"/>
            <w:vMerge w:val="continue"/>
            <w:tcBorders>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p>
        </w:tc>
        <w:tc>
          <w:tcPr>
            <w:tcW w:w="1437" w:type="dxa"/>
            <w:vMerge w:val="continue"/>
            <w:tcBorders>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p>
        </w:tc>
        <w:tc>
          <w:tcPr>
            <w:tcW w:w="222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1.3.3药品疫苗</w:t>
            </w:r>
          </w:p>
        </w:tc>
        <w:tc>
          <w:tcPr>
            <w:tcW w:w="42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仿宋_GB2312" w:cs="Times New Roman"/>
                <w:color w:val="auto"/>
                <w:spacing w:val="0"/>
                <w:w w:val="100"/>
                <w:kern w:val="2"/>
                <w:position w:val="0"/>
                <w:sz w:val="21"/>
                <w:szCs w:val="21"/>
                <w:u w:val="none"/>
                <w:shd w:val="clear" w:color="auto" w:fill="auto"/>
                <w:lang w:val="zh-CN" w:eastAsia="zh-CN" w:bidi="zh-CN"/>
              </w:rPr>
            </w:pPr>
            <w:r>
              <w:rPr>
                <w:rFonts w:hint="default" w:ascii="Times New Roman" w:hAnsi="Times New Roman" w:eastAsia="仿宋_GB2312" w:cs="Times New Roman"/>
                <w:color w:val="auto"/>
                <w:spacing w:val="0"/>
                <w:w w:val="100"/>
                <w:kern w:val="2"/>
                <w:position w:val="0"/>
                <w:sz w:val="21"/>
                <w:szCs w:val="21"/>
                <w:u w:val="none"/>
                <w:shd w:val="clear" w:color="auto" w:fill="auto"/>
                <w:lang w:val="en-US" w:eastAsia="zh-CN" w:bidi="zh-CN"/>
              </w:rPr>
              <w:t>抗生素、解热镇痛、麻醉、解毒、抗过敏、抗寄生虫等各类常用药；血浆；人用疫苗；抗毒血清等</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2030年，县级商业储备能够保障5000人10天突发公共卫生事件（Ⅰ类）和10000人7天医学紧急救援类（Ⅱ类）应急物资的需求；县级产能储备能够保障5000人1个月突发公共卫生事件（I类）和10000人7天医学紧急救援类（Ⅱ类）应急物资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2．提升专业仓储能力。依托4家县级医院、县疾控中心、2家社区卫生服务中心、7家镇卫生院、7家民营医院建立卫生应急物资储备体系。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强化产能储备。立足我县产业实际，支持应急征用企业为保障生产医疗卫生物资实施的稳产、扩产、转产等技术改造。支持相关科研机构及企业研发疫苗、药品、试剂、医疗器械，支持中医药有效治疗技术和药物研发，加快公共卫生领域科技成果转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（四）加强抢险救援类物资储备</w:t>
      </w:r>
      <w:r>
        <w:rPr>
          <w:rFonts w:hint="default" w:ascii="Times New Roman" w:hAnsi="Times New Roman" w:eastAsia="仿宋_GB2312" w:cs="Times New Roman"/>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抢险救援类物资以政府（实物）储备和专业队伍能力储备为主要储备方式。县政府储备能够保障应对处置较大及一般洪涝灾害、地震地质灾害、安全生产事故等应急物资。企业（商业）储备重点面向具有使用频率不高、市场供应充足、不具备政府储存条件等特点的抢险救援物资。产能储备重点面向具有急需程度低、生产周期短、能迅速投产或转产，需求量大且易损易耗或保质期短等特点的抢险救援物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1．危化品事故。依托县消防救援大队消防救援储备库和</w:t>
      </w:r>
      <w:r>
        <w:rPr>
          <w:rFonts w:hint="default" w:ascii="Times New Roman" w:hAnsi="Times New Roman" w:eastAsia="仿宋_GB2312" w:cs="Times New Roman"/>
          <w:color w:val="auto"/>
          <w:sz w:val="32"/>
          <w:szCs w:val="32"/>
          <w:lang w:val="en-US" w:eastAsia="zh-CN"/>
        </w:rPr>
        <w:t>山东开泰石化丙烯酸有限公司、淄博飞源化工有限公司、山东隆华新材料股份有限公司现有储备库</w:t>
      </w:r>
      <w:r>
        <w:rPr>
          <w:rFonts w:hint="default" w:ascii="Times New Roman" w:hAnsi="Times New Roman" w:eastAsia="仿宋_GB2312" w:cs="Times New Roman"/>
          <w:b w:val="0"/>
          <w:bCs w:val="0"/>
          <w:color w:val="auto"/>
          <w:sz w:val="32"/>
          <w:szCs w:val="32"/>
          <w:lang w:val="en-US" w:eastAsia="zh-CN"/>
        </w:rPr>
        <w:t xml:space="preserve">储备各类抢险救援、个人防护等物资。重点储备工程抢险与专业处置、现场管理与保障、生命救援与生活救助3大类，包括火灾处置、堵漏作业装备与材料、陆地运输、环境监测、现场警戒等16小类，消防机器人、泡沫消防车、排烟消防车、照明消防车、防化洗消消防车等应急物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2．洪涝灾害。改造升级现有水利部门、综合行政执法部门和黄河河务部门物资储备库，</w:t>
      </w:r>
      <w:r>
        <w:rPr>
          <w:rFonts w:hint="default" w:ascii="Times New Roman" w:hAnsi="Times New Roman" w:eastAsia="仿宋_GB2312" w:cs="Times New Roman"/>
          <w:color w:val="auto"/>
          <w:sz w:val="32"/>
          <w:szCs w:val="32"/>
        </w:rPr>
        <w:t>依托县消防救援大队消防救援储备库</w:t>
      </w:r>
      <w:r>
        <w:rPr>
          <w:rFonts w:hint="default" w:ascii="Times New Roman" w:hAnsi="Times New Roman" w:eastAsia="仿宋_GB2312" w:cs="Times New Roman"/>
          <w:b w:val="0"/>
          <w:bCs w:val="0"/>
          <w:color w:val="auto"/>
          <w:sz w:val="32"/>
          <w:szCs w:val="32"/>
          <w:lang w:val="en-US" w:eastAsia="zh-CN"/>
        </w:rPr>
        <w:t>，重点储备工程抢险（防御）与专业处置、生命救援与生活救助、现场管理与保障3大类物资，包括陆地运输、岩土工程施工、防洪排涝作业、水工工程作业等12小类，冲锋舟、救生衣、水泵、探照灯、发电机、应急灯、挡水子堤、吸水膨胀袋、砂石料、块石等应急物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森林火灾。依托县消防救援大队消防救援储备库、各镇（街道）和县自然资源局所属高城林场森林防灭火器材库等,重点储备工程抢险与专业处置类物资,包括火灾处置、消防防护、无线通讯、专用车辆类4小类,便携式灭火机、串联水泵等25种应急物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4．地震灾害。</w:t>
      </w:r>
      <w:r>
        <w:rPr>
          <w:rFonts w:hint="default" w:ascii="Times New Roman" w:hAnsi="Times New Roman" w:eastAsia="仿宋_GB2312" w:cs="Times New Roman"/>
          <w:color w:val="auto"/>
          <w:sz w:val="32"/>
          <w:szCs w:val="32"/>
        </w:rPr>
        <w:t>依托县消防救援大队消防救援储备库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重点储备工程抢险与专业处置、现场管理与保障、生命救援与生活救助3大类，流动地震监测台、汽油发电机、救灾专用单（棉）帐篷、地震现场应急防护装备、生命探测仪、液压破拆工具组合等应急物资。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5．其他。其他抢险救援物资储备由相关职能部门（单位）根据需求利用原有仓储设施或新建、租赁等方式进行储备。保障任务和实际需求采用适当方式储备。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p>
    <w:tbl>
      <w:tblPr>
        <w:tblStyle w:val="6"/>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center"/>
              <w:textAlignment w:val="auto"/>
              <w:outlineLvl w:val="9"/>
              <w:rPr>
                <w:rFonts w:hint="default" w:ascii="Times New Roman" w:hAnsi="Times New Roman" w:eastAsia="仿宋_GB2312" w:cs="Times New Roman"/>
                <w:b w:val="0"/>
                <w:bCs w:val="0"/>
                <w:color w:val="auto"/>
                <w:sz w:val="32"/>
                <w:szCs w:val="32"/>
                <w:vertAlign w:val="baseline"/>
                <w:lang w:val="en-US" w:eastAsia="zh-CN"/>
              </w:rPr>
            </w:pPr>
            <w:r>
              <w:rPr>
                <w:rFonts w:hint="default" w:ascii="Times New Roman" w:hAnsi="Times New Roman" w:eastAsia="黑体" w:cs="Times New Roman"/>
                <w:color w:val="auto"/>
                <w:spacing w:val="0"/>
                <w:w w:val="100"/>
                <w:position w:val="0"/>
                <w:sz w:val="21"/>
                <w:szCs w:val="21"/>
                <w:shd w:val="clear" w:color="auto" w:fill="auto"/>
              </w:rPr>
              <w:t>专栏</w:t>
            </w:r>
            <w:r>
              <w:rPr>
                <w:rFonts w:hint="default" w:ascii="Times New Roman" w:hAnsi="Times New Roman" w:eastAsia="黑体" w:cs="Times New Roman"/>
                <w:b w:val="0"/>
                <w:bCs w:val="0"/>
                <w:color w:val="auto"/>
                <w:spacing w:val="0"/>
                <w:w w:val="100"/>
                <w:position w:val="0"/>
                <w:sz w:val="21"/>
                <w:szCs w:val="21"/>
                <w:shd w:val="clear" w:color="auto" w:fill="auto"/>
              </w:rPr>
              <w:t>6</w:t>
            </w:r>
            <w:r>
              <w:rPr>
                <w:rFonts w:hint="default" w:ascii="Times New Roman" w:hAnsi="Times New Roman" w:eastAsia="黑体" w:cs="Times New Roman"/>
                <w:b w:val="0"/>
                <w:bCs w:val="0"/>
                <w:color w:val="auto"/>
                <w:spacing w:val="0"/>
                <w:w w:val="100"/>
                <w:position w:val="0"/>
                <w:sz w:val="21"/>
                <w:szCs w:val="21"/>
                <w:shd w:val="clear" w:color="auto" w:fill="auto"/>
                <w:lang w:val="en-US" w:eastAsia="zh-CN"/>
              </w:rPr>
              <w:t xml:space="preserve">  </w:t>
            </w:r>
            <w:r>
              <w:rPr>
                <w:rFonts w:hint="default" w:ascii="Times New Roman" w:hAnsi="Times New Roman" w:eastAsia="黑体" w:cs="Times New Roman"/>
                <w:color w:val="auto"/>
                <w:spacing w:val="0"/>
                <w:w w:val="100"/>
                <w:position w:val="0"/>
                <w:sz w:val="21"/>
                <w:szCs w:val="21"/>
                <w:shd w:val="clear" w:color="auto" w:fill="auto"/>
              </w:rPr>
              <w:t>其他抢险救援物资储备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1.生物灾害。农业病虫害应急物资包括生物灾害监测、药剂喷洒设备、防控药剂等。林业病虫害应急物资依托县及林场储备。应急物资包括生物灾害监测、药剂喷洒设备、杀虫药剂、疫木处置装备等。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2.食品药品安全事件。由各职能部门根据需求采用适当方式储备。应急物资包括检测车辆、快检装备等。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3.环境事件。依托山东开泰石化丙烯酸有限公司、淄博飞源化工有限公司、山东隆华新材料股份有限公司现有储备库进行应急物资储备。应急物资包括污染物处理物品与工具、环境监测装置，以及化学与放射防护用品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4.公共交通枢纽瘫痪。由各职能部门根据需求采用适当方式储备。应急物资包括陆地运输、应急动力、公路桥梁抢修等类。</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5.大面积停电。由各职能部门根据需求采用适当方式储备。应急物资包括电网抢修作业、现场照明、无线通信、应急动力等。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6.城市高层建筑倒塌。由各职能部门根据需求采用适当方式储备。应急物资包括现场管理与保障、工程抢险与专业处置等。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default" w:ascii="Times New Roman" w:hAnsi="Times New Roman" w:eastAsia="仿宋_GB2312" w:cs="Times New Roman"/>
                <w:b w:val="0"/>
                <w:bCs w:val="0"/>
                <w:color w:val="auto"/>
                <w:sz w:val="21"/>
                <w:szCs w:val="21"/>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7.大规模网络瘫痪。由各职能部门根据需求采用适当方式储备。应急物资包括通信设施抢修、通用防护、现场警戒、无线通信、通信抢修恢复、应急动力、水工工程作业、网络通信、现场照明、防洪排涝作业、临时住宿、陆地运输。</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outlineLvl w:val="9"/>
              <w:rPr>
                <w:rFonts w:hint="default" w:ascii="Times New Roman" w:hAnsi="Times New Roman" w:eastAsia="仿宋_GB2312" w:cs="Times New Roman"/>
                <w:b w:val="0"/>
                <w:bCs w:val="0"/>
                <w:color w:val="auto"/>
                <w:sz w:val="32"/>
                <w:szCs w:val="32"/>
                <w:vertAlign w:val="baseline"/>
                <w:lang w:val="en-US" w:eastAsia="zh-CN"/>
              </w:rPr>
            </w:pPr>
            <w:r>
              <w:rPr>
                <w:rFonts w:hint="default" w:ascii="Times New Roman" w:hAnsi="Times New Roman" w:eastAsia="仿宋_GB2312" w:cs="Times New Roman"/>
                <w:b w:val="0"/>
                <w:bCs w:val="0"/>
                <w:color w:val="auto"/>
                <w:sz w:val="21"/>
                <w:szCs w:val="21"/>
                <w:vertAlign w:val="baseline"/>
                <w:lang w:val="en-US" w:eastAsia="zh-CN"/>
              </w:rPr>
              <w:t>8.大规模群体性聚集事件。由职能部门根据需求采用适当方式储备。应急物资包括群众饮食、住宿帐篷、现场照明、保暖衣物等。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（五）加强应急救援队伍装备配备</w:t>
      </w:r>
      <w:r>
        <w:rPr>
          <w:rFonts w:hint="default" w:ascii="Times New Roman" w:hAnsi="Times New Roman" w:eastAsia="仿宋_GB2312" w:cs="Times New Roman"/>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1．专业队伍能力储备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专业队伍能力储备是应急救援类物资装备的重要储备方式。县级形成以</w:t>
      </w:r>
      <w:r>
        <w:rPr>
          <w:rFonts w:hint="default" w:ascii="Times New Roman" w:hAnsi="Times New Roman" w:eastAsia="仿宋_GB2312" w:cs="Times New Roman"/>
          <w:color w:val="auto"/>
          <w:sz w:val="32"/>
          <w:szCs w:val="32"/>
        </w:rPr>
        <w:t>综合性消防救援队伍</w:t>
      </w:r>
      <w:r>
        <w:rPr>
          <w:rFonts w:hint="default" w:ascii="Times New Roman" w:hAnsi="Times New Roman" w:eastAsia="仿宋_GB2312" w:cs="Times New Roman"/>
          <w:color w:val="auto"/>
          <w:sz w:val="32"/>
          <w:szCs w:val="32"/>
          <w:lang w:val="en-US" w:eastAsia="zh-CN"/>
        </w:rPr>
        <w:t>为主力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lang w:val="en-US" w:eastAsia="zh-CN"/>
        </w:rPr>
        <w:t>4支专业救援队伍为协同的队伍体系，按相关规定标准和实际需求配备相应物资装备，满足第一时间应对处置一般及较大突发事件需要。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rPr>
        <w:t>综合性消防救援队伍</w:t>
      </w:r>
      <w:r>
        <w:rPr>
          <w:rFonts w:hint="default" w:ascii="Times New Roman" w:hAnsi="Times New Roman" w:eastAsia="仿宋_GB2312" w:cs="Times New Roman"/>
          <w:b w:val="0"/>
          <w:bCs w:val="0"/>
          <w:color w:val="auto"/>
          <w:sz w:val="32"/>
          <w:szCs w:val="32"/>
          <w:lang w:val="en-US" w:eastAsia="zh-CN"/>
        </w:rPr>
        <w:t>装备物资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rPr>
        <w:t>根据我县应急救援工作需要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增加需要的消防救援和消防防护物资装备</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（2）卫生应急队伍储备物资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加大对现有7支县级卫生应急队伍应急物资配备，规范提升卫生应急队伍的紧急救援能力，推动紧急救援车辆、便携式医用氧气瓶、便携式无创急救呼吸机等重要医疗救援物资装备及防护物资的配备。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（3）防汛抗旱队伍装备物资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规划建设1支县级防汛抗旱（水旱灾害防御）专业队伍，配备水上救援机器人、管涌探测仪、大流量移动泵站等重要物资。强化大芦湖水库管理单位常备队伍建设，并足额配备装备器材。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（4）森林消防兼职队伍装备物资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rPr>
        <w:t>各镇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街道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建立1支10-20人兼职森林防火队伍，配备风力灭火机、泡沫灭火器及铁锨砍刀头灯等常规用具。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（5）县级安全生产专业应急救援队伍装备物资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加强危化品爆炸事故救援等县级安全生产专业应急救援队伍建设，按照救援工作需求配备相应物资装备。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2．社会应急救援力量装备物资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依托志愿者队伍、企事业单位、村居力量，促进社会应急救援抢险队伍建设和物资装备配备。鼓励、支持、引导志愿者应急救援力量向专业化、规范化发展，指导其按照功能定位储备应急物资。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（六）加强特殊稀缺类物资储备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特殊稀缺类物资对于应对处置重大突发事件作用巨大且价值较高、市场稀缺，以政府储备和专业队伍储备为主，企业储备和产能储备为补充；对于短期内急需的工程机械装备，尽量通过社会化储备方式储备。实战化物资装备，重点依托综合性救援队伍和县级专业救援队伍配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（七）增强应急物资要素配置能力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建立应急采购调拨机制。分级分类评估应急物资需求，制定应急物资采购储备规划，健全应急物资分级分类储备标准和目录，科学确定政府（实物）储备、企业（商业）储备、生产能力储备的比例及数量。按需制定应急物资年度采购计划，规范采购流程，提高采购效率。建立健全统一高效的调拨机制，完善调拨程序，规范调拨流程，形成上下联动、横向协作、部门互动、资源共享的应急物资调拨保障制度，确保应急物资调拨快捷顺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建立集中存储轮换机制。按照总量稳定、用旧储新、等量补充、动态轮换的原则，建立分级负责、紧密衔接、科学高效的应急物资轮换管理制度，科学确定应急物资储存期限，结合洪涝、干旱、雨雪冰雹等自然灾害和危化品事故等以及救援队伍装备配备的不同特点，通过供应周转、调拨使用、市场销售、返厂轮换、代储轮换等模式，适时倒库更新，实现应急物资储备的良性循环，最大限度发挥物资存储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建立保障联动机制。建立政府（实物）储备、企业（商业）储备、产能储备、专业队伍储备和社会化储备互联互通的应急物资保障联动机制。根据应对处置需求，依次动用实物、队伍、企业、产能等储备，以紧急采购、临时征用、社会捐赠等作为补充，形成稳定可靠的应急物资供应链。建立应急状态下紧急生产、紧急采购等紧急保障机制，构建全县统一、联通全国的应急物资采购供应平台。规范完善应急物资紧急生产程序，统一组织原材料供应，安排定点生产，强化能源要素保障，确保生产供应有序有力。积极推进应急物资储备军民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建立高效运输配送机制。建立上下贯通的应急物资优先通道和快速通行、快速通关机制，提高应急物流配送效率。借助社会力量，与大型物流企业深入合作，提高应急物资分发和配送能力，实现物资调运1小时县内全覆盖，30分钟中心城区全覆盖。强化运力保障，做好冷链运输车辆、重型载货汽车、危险货物运输车辆等运力储备。依托社会化服务力量，构建社会运力储备队伍，并针对征用的社会运输资源建立补偿机制。加强公路、铁路、桥梁等运营管理，规划应急绿色通道，完善应急抢险救援车辆快速优先通行，确保应急运输通道畅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建立应急物资社会化储备机制。对不宜由政府储备的易耗类、保质期短的物资和大型装备，统筹利用企业、个人仓储设施，采取签订协议储备合同、协议供货合同、委托代储等多种方式，实施社会化储备。统筹利用企业、个人仓储设施，采取签订协议储备合同、协议供货合同、委托代储等多种方式，实施社会化储备。鼓励、引导、指导企事业单位、社会组织和家庭储备必要应急物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6．加大对应急物资产业的政策扶持。加大政策扶持力度，优化产业发展环境，推动应急物资产业发展。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（八）建设完善应急物资储备信息系统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应急物资储备管理系统总体架构。按照集中管理、统一调拨、平时服务、灾时应急、采储结合、节约高效的原则，构筑上下贯通的统一应急物资管理信息化平台。统一实现机构、人员、设施、物资、装备的全方位数字化管理，涵盖应急物资采购、储备、运输、调拨、配送、使用、回收全过程，为日常管理和灾时指挥调度提供信息化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2．建设应急物资信息资源库。制定信息系统数据标准，统一分类编码和命名规范，建立全县统一的应急物资信息资源库，涵盖县政府（实物）储备、企业（商业）储备、产能储备、专业队伍能力储备和社会化储备，以及国内外应急物资生产企业、上下游配套企业等信息，实施有效的信息化管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建设应急物资管理系统。通过数据共享机制，实现各部门应急物资、储备库、队伍、装备等信息的动态更新、统一汇聚和展示，对应急物资储备情况实施全周期动态监测预警，实现应急物资管理全过程100%数字化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建设应急物资调配系统。借助云计算、大数据、人工智能、物联网、移动互联、区块链等先进技术，根据突发事件物资需求，整合信息并深度挖掘，形成应急物资调配的全景视图，实现应急物资需求、调拨、运输、紧急生产、分发配送、征用、捐赠全流程整合管理。运用人工智能技术对沉淀的信息价值进行充分挖掘，为后续决策提供辅助支持，推动应急物资调配智能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加强各级党委政府对应急物资储备管理工作的组织领导，统筹推进本规划实施，建立工作协调机制，研究确定应急物资储备管理有关重要政策、机制创新、重大事项、重大工程建设等问题。各级政府及其有关部门根据职责分工，落实工作责任，制定实施意见，强化统筹协调，形成工作合力，加快推进规划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（二）强化政策扶持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各级要加强对政府应急物资储备资金的预算管理，年度储备计划应当与经济社会发展水平和财政收支状况相适应，与本级预算相衔接，保障应急物资储备。财政、应急等部门要结合推进县以下财政事权和支出责任划分改革要求，加强对应急物资储备项目的事前绩效评估，评估结果作为申请预算的重要条件。健全落实适用于应急物资商业储备和产能储备的财政税收优惠政策。整合各类信息资源，建立健全生产企业、经营企业、社会组织等多方参与的应急物资共用共享机制，制定征用补偿制度，实现应急物资供需有效衔接。充分发挥各类保险机构作用，丰富保险种类，扩大商业保险承保和赔付范围，完善风险分担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（三）完善制度保障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建立完善应急物资储备管理制度，对应急物资储备管理的职责分工、采购储备、仓储管理、调拨运输、分发使用、回收报废、经费保障等进行规范。加快制定各类专业救援队伍装备配备等专项标准，健全应急物资紧急征用和补偿等制度，完善物资轮换退出保障机制，推进应急物资储备保障规范化、标准化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（四）加强监督评估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县有关部门要结合实际，分解细化总体目标、分类目标和重点任务，确定年度工作目标，制定工作方案，落实责任部门和责任人，明确时间表、路线图，积极稳妥组织实施。对于各级党委政府确定的应急物资保障重点建设项目，要保障资金投入，加快落实各项建设条件，推动项目实施。县有关部门建立规划实施动态评估机制，跟踪督导落实，适时对各县直部门（单位）应急物资保障体系建设情况进行监督检查，确保规划落实。</w:t>
      </w: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eastAsia" w:ascii="Times New Roman" w:hAnsi="Times New Roman" w:eastAsia="宋体" w:cs="Times New Roman"/>
          <w:color w:val="auto"/>
          <w:kern w:val="0"/>
          <w:sz w:val="22"/>
          <w:szCs w:val="22"/>
          <w:lang w:eastAsia="zh-CN"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22"/>
          <w:szCs w:val="22"/>
          <w:lang w:eastAsia="en-US" w:bidi="en-US"/>
        </w:rPr>
      </w:pPr>
    </w:p>
    <w:p>
      <w:pPr>
        <w:keepNext w:val="0"/>
        <w:keepLines w:val="0"/>
        <w:pageBreakBefore w:val="0"/>
        <w:widowControl w:val="0"/>
        <w:kinsoku/>
        <w:wordWrap/>
        <w:overflowPunct/>
        <w:topLinePunct w:val="0"/>
        <w:autoSpaceDE/>
        <w:autoSpaceDN/>
        <w:bidi w:val="0"/>
        <w:adjustRightInd/>
        <w:snapToGrid/>
        <w:spacing w:after="200" w:line="252" w:lineRule="auto"/>
        <w:jc w:val="left"/>
        <w:rPr>
          <w:rFonts w:hint="default" w:ascii="Times New Roman" w:hAnsi="Times New Roman" w:eastAsia="宋体" w:cs="Times New Roman"/>
          <w:color w:val="auto"/>
          <w:kern w:val="0"/>
          <w:sz w:val="10"/>
          <w:szCs w:val="10"/>
          <w:lang w:eastAsia="en-US" w:bidi="en-US"/>
        </w:rPr>
      </w:pPr>
      <w:r>
        <w:rPr>
          <w:rFonts w:hint="default" w:ascii="Times New Roman" w:hAnsi="Times New Roman" w:cs="Times New Roman"/>
          <w:sz w:val="10"/>
          <w:szCs w:val="10"/>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333375</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26.25pt;height:0.05pt;width:442.2pt;z-index:251661312;mso-width-relative:page;mso-height-relative:page;" filled="f" stroked="t" coordsize="21600,21600" o:gfxdata="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Jz8M1wAAAAgBAAAPAAAAAAAAAAEAIAAAACIAAABkcnMvZG93bnJldi54bWxQ&#10;SwECFAAUAAAACACHTuJAgIr77/gBAADmAwAADgAAAAAAAAABACAAAAAmAQAAZHJzL2Uyb0RvYy54&#10;bWxQSwUGAAAAAAYABgBZAQAAkA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rPr>
          <w:rFonts w:hint="default" w:ascii="Times New Roman" w:hAnsi="Times New Roman" w:eastAsia="宋体" w:cs="Times New Roman"/>
          <w:lang w:eastAsia="zh-CN"/>
        </w:rPr>
      </w:pPr>
      <w:r>
        <w:rPr>
          <w:rFonts w:hint="default" w:ascii="Times New Roman" w:hAnsi="Times New Roman" w:cs="Times New Roman"/>
          <w:sz w:val="22"/>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392430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30.9pt;height:0.05pt;width:442.2pt;z-index:251662336;mso-width-relative:page;mso-height-relative:page;" filled="f" stroked="t" coordsize="21600,21600" o:gfxdata="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N8HlHWAAAACAEAAA8AAAAAAAAAAQAgAAAAIgAAAGRycy9kb3ducmV2LnhtbFBLAQIU&#10;ABQAAAAIAIdO4kAtl0Cu9QEAAOY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eastAsia="zh-CN"/>
        </w:rPr>
        <w:t>高青县人民政府办公室</w:t>
      </w:r>
      <w:r>
        <w:rPr>
          <w:rFonts w:hint="default" w:ascii="Times New Roman" w:hAnsi="Times New Roman" w:eastAsia="仿宋_GB2312" w:cs="Times New Roman"/>
          <w:sz w:val="28"/>
          <w:szCs w:val="28"/>
          <w:lang w:val="en-US" w:eastAsia="zh-CN"/>
        </w:rPr>
        <w:t xml:space="preserve">                       2021年3月23日印发</w:t>
      </w:r>
    </w:p>
    <w:sectPr>
      <w:footerReference r:id="rId4" w:type="default"/>
      <w:pgSz w:w="11906" w:h="16838"/>
      <w:pgMar w:top="2098" w:right="1474" w:bottom="1984" w:left="1587" w:header="851" w:footer="124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after="200" w:line="252" w:lineRule="auto"/>
                            <w:jc w:val="left"/>
                            <w:rPr>
                              <w:rFonts w:hint="default" w:ascii="宋体" w:hAnsi="宋体" w:eastAsia="宋体" w:cs="宋体"/>
                              <w:sz w:val="24"/>
                              <w:szCs w:val="24"/>
                              <w:lang w:val="en-US" w:eastAsia="zh-CN" w:bidi="en-US"/>
                            </w:rPr>
                          </w:pPr>
                          <w:r>
                            <w:rPr>
                              <w:rFonts w:hint="eastAsia" w:ascii="宋体" w:hAnsi="宋体" w:cs="宋体"/>
                              <w:sz w:val="24"/>
                              <w:szCs w:val="24"/>
                              <w:lang w:val="en-US" w:eastAsia="zh-CN" w:bidi="en-US"/>
                            </w:rPr>
                            <w:t>— 1 —</w:t>
                          </w:r>
                        </w:p>
                        <w:p>
                          <w:pPr>
                            <w:pStyle w:val="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spacing w:after="200" w:line="252" w:lineRule="auto"/>
                      <w:jc w:val="left"/>
                      <w:rPr>
                        <w:rFonts w:hint="default" w:ascii="宋体" w:hAnsi="宋体" w:eastAsia="宋体" w:cs="宋体"/>
                        <w:sz w:val="24"/>
                        <w:szCs w:val="24"/>
                        <w:lang w:val="en-US" w:eastAsia="zh-CN" w:bidi="en-US"/>
                      </w:rPr>
                    </w:pPr>
                    <w:r>
                      <w:rPr>
                        <w:rFonts w:hint="eastAsia" w:ascii="宋体" w:hAnsi="宋体" w:cs="宋体"/>
                        <w:sz w:val="24"/>
                        <w:szCs w:val="24"/>
                        <w:lang w:val="en-US" w:eastAsia="zh-CN" w:bidi="en-US"/>
                      </w:rPr>
                      <w:t>— 1 —</w:t>
                    </w:r>
                  </w:p>
                  <w:p>
                    <w:pPr>
                      <w:pStyle w:val="3"/>
                      <w:rPr>
                        <w:rFonts w:hint="eastAsia" w:eastAsiaTheme="minor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heme="minorHAnsi" w:hAnsiTheme="minorHAnsi" w:eastAsiaTheme="minorEastAsia" w:cstheme="minorBidi"/>
        <w:kern w:val="2"/>
        <w:sz w:val="18"/>
        <w:szCs w:val="24"/>
        <w:lang w:val="en-US" w:eastAsia="zh-CN" w:bidi="ar-SA"/>
      </w:rPr>
    </w:pPr>
    <w:r>
      <w:rPr>
        <w:rFonts w:asciiTheme="minorHAnsi" w:hAnsiTheme="minorHAnsi" w:eastAsiaTheme="minorEastAsia" w:cstheme="minorBidi"/>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94737"/>
    <w:multiLevelType w:val="singleLevel"/>
    <w:tmpl w:val="A2294737"/>
    <w:lvl w:ilvl="0" w:tentative="0">
      <w:start w:val="2"/>
      <w:numFmt w:val="decimal"/>
      <w:suff w:val="nothing"/>
      <w:lvlText w:val="（%1）"/>
      <w:lvlJc w:val="left"/>
    </w:lvl>
  </w:abstractNum>
  <w:abstractNum w:abstractNumId="1">
    <w:nsid w:val="BCBA3471"/>
    <w:multiLevelType w:val="singleLevel"/>
    <w:tmpl w:val="BCBA34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6133C"/>
    <w:rsid w:val="04130A49"/>
    <w:rsid w:val="09267B91"/>
    <w:rsid w:val="094A1507"/>
    <w:rsid w:val="14ED67AA"/>
    <w:rsid w:val="15D328A5"/>
    <w:rsid w:val="188A1731"/>
    <w:rsid w:val="1F0A6531"/>
    <w:rsid w:val="20886411"/>
    <w:rsid w:val="222945E9"/>
    <w:rsid w:val="22B11716"/>
    <w:rsid w:val="26FF1C9C"/>
    <w:rsid w:val="2ADA4FD4"/>
    <w:rsid w:val="2E3D1A89"/>
    <w:rsid w:val="400A3DF3"/>
    <w:rsid w:val="49D6133C"/>
    <w:rsid w:val="49F814A7"/>
    <w:rsid w:val="4F6C3063"/>
    <w:rsid w:val="53FF1C47"/>
    <w:rsid w:val="612E4DB4"/>
    <w:rsid w:val="65117CD8"/>
    <w:rsid w:val="673C7843"/>
    <w:rsid w:val="6EA3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其他"/>
    <w:basedOn w:val="1"/>
    <w:qFormat/>
    <w:uiPriority w:val="0"/>
    <w:pPr>
      <w:widowControl w:val="0"/>
      <w:shd w:val="clear" w:color="auto" w:fill="FFFFFF"/>
      <w:spacing w:line="422" w:lineRule="auto"/>
      <w:ind w:firstLine="400"/>
    </w:pPr>
    <w:rPr>
      <w:rFonts w:ascii="MingLiU" w:hAnsi="MingLiU" w:eastAsia="MingLiU" w:cs="MingLiU"/>
      <w:sz w:val="28"/>
      <w:szCs w:val="28"/>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2021-02-22T02:54:00Z</dcterms:created>
  <dc:creator>LHY</dc:creator>
  <cp:lastModifiedBy>Administrator</cp:lastModifiedBy>
  <cp:lastPrinted>2021-03-17T08:44:00Z</cp:lastPrinted>
  <dcterms:modified xsi:type="dcterms:W3CDTF">2021-03-31T07:34:16Z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0_btnclosed</vt:lpwstr>
  </property>
  <property fmtid="{D5CDD505-2E9C-101B-9397-08002B2CF9AE}" pid="4" name="ICV">
    <vt:lpwstr>0032810F65EB4A8DA8F411CFD7FF9FC5</vt:lpwstr>
  </property>
</Properties>
</file>