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color w:val="FF0000"/>
          <w:spacing w:val="-20"/>
          <w:w w:val="58"/>
          <w:sz w:val="140"/>
          <w:szCs w:val="144"/>
          <w:lang w:eastAsia="zh-CN"/>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jc w:val="center"/>
        <w:textAlignment w:val="auto"/>
        <w:rPr>
          <w:rFonts w:ascii="Times New Roman" w:hAnsi="Times New Roman" w:eastAsia="仿宋"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jc w:val="center"/>
        <w:textAlignment w:val="auto"/>
        <w:rPr>
          <w:rFonts w:ascii="Times New Roman" w:hAnsi="Times New Roman" w:eastAsia="仿宋" w:cs="Times New Roman"/>
          <w:sz w:val="32"/>
          <w:szCs w:val="32"/>
        </w:rPr>
      </w:pPr>
    </w:p>
    <w:p>
      <w:pPr>
        <w:pStyle w:val="3"/>
        <w:keepNext w:val="0"/>
        <w:keepLines w:val="0"/>
        <w:pageBreakBefore w:val="0"/>
        <w:widowControl w:val="0"/>
        <w:kinsoku/>
        <w:wordWrap/>
        <w:overflowPunct/>
        <w:topLinePunct w:val="0"/>
        <w:autoSpaceDE/>
        <w:autoSpaceDN/>
        <w:bidi w:val="0"/>
        <w:adjustRightInd/>
        <w:snapToGrid/>
        <w:spacing w:before="156" w:beforeLines="50" w:line="560" w:lineRule="exact"/>
        <w:ind w:firstLine="640" w:firstLineChars="200"/>
        <w:jc w:val="center"/>
        <w:textAlignment w:val="auto"/>
        <w:rPr>
          <w:rFonts w:ascii="Times New Roman" w:hAnsi="Times New Roman" w:eastAsia="仿宋" w:cs="Times New Roman"/>
          <w:sz w:val="32"/>
          <w:szCs w:val="32"/>
        </w:rPr>
      </w:pPr>
      <w:r>
        <w:rPr>
          <w:rFonts w:ascii="Times New Roman" w:hAnsi="Times New Roman" w:eastAsia="仿宋" w:cs="Times New Roman"/>
          <w:sz w:val="32"/>
          <w:szCs w:val="32"/>
        </w:rPr>
        <w:cr/>
      </w:r>
      <w:r>
        <w:rPr>
          <w:rFonts w:hint="eastAsia" w:ascii="仿宋_GB2312" w:hAnsi="仿宋_GB2312" w:eastAsia="仿宋_GB2312" w:cs="仿宋_GB2312"/>
          <w:sz w:val="32"/>
          <w:szCs w:val="32"/>
        </w:rPr>
        <w:t>高政</w:t>
      </w:r>
      <w:r>
        <w:rPr>
          <w:rFonts w:hint="eastAsia" w:ascii="仿宋_GB2312" w:hAnsi="仿宋_GB2312" w:eastAsia="仿宋_GB2312" w:cs="仿宋_GB2312"/>
          <w:sz w:val="32"/>
          <w:szCs w:val="32"/>
          <w:lang w:eastAsia="zh-CN"/>
        </w:rPr>
        <w:t>办字</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21</w:t>
      </w:r>
      <w:r>
        <w:rPr>
          <w:rFonts w:hint="eastAsia" w:ascii="仿宋_GB2312" w:hAnsi="仿宋_GB2312" w:eastAsia="仿宋_GB2312" w:cs="仿宋_GB2312"/>
          <w:sz w:val="32"/>
          <w:szCs w:val="32"/>
        </w:rPr>
        <w:t>〕</w:t>
      </w:r>
      <w:r>
        <w:rPr>
          <w:rFonts w:hint="eastAsia" w:ascii="Times New Roman" w:hAnsi="Times New Roman" w:eastAsia="仿宋_GB2312" w:cs="Times New Roman"/>
          <w:sz w:val="32"/>
          <w:szCs w:val="32"/>
          <w:lang w:val="en-US" w:eastAsia="zh-CN"/>
        </w:rPr>
        <w:t>18</w:t>
      </w:r>
      <w:r>
        <w:rPr>
          <w:rFonts w:hint="eastAsia" w:ascii="仿宋_GB2312" w:hAnsi="仿宋_GB2312" w:eastAsia="仿宋_GB2312" w:cs="仿宋_GB2312"/>
          <w:sz w:val="32"/>
          <w:szCs w:val="32"/>
        </w:rPr>
        <w:t>号</w:t>
      </w:r>
    </w:p>
    <w:p>
      <w:pPr>
        <w:pStyle w:val="3"/>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both"/>
        <w:textAlignment w:val="auto"/>
        <w:outlineLvl w:val="9"/>
        <w:rPr>
          <w:rFonts w:hAnsi="宋体"/>
          <w:b/>
          <w:sz w:val="36"/>
          <w:szCs w:val="36"/>
        </w:rPr>
      </w:pPr>
    </w:p>
    <w:p>
      <w:pPr>
        <w:pStyle w:val="6"/>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高青县人民政府办公室</w:t>
      </w:r>
    </w:p>
    <w:p>
      <w:pPr>
        <w:pStyle w:val="6"/>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关于印发高青县全面推行行政指导工作</w:t>
      </w:r>
    </w:p>
    <w:p>
      <w:pPr>
        <w:pStyle w:val="6"/>
        <w:keepNext w:val="0"/>
        <w:keepLines w:val="0"/>
        <w:pageBreakBefore w:val="0"/>
        <w:widowControl w:val="0"/>
        <w:suppressLineNumbers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实施方案的通知</w:t>
      </w:r>
    </w:p>
    <w:p>
      <w:pPr>
        <w:pStyle w:val="6"/>
        <w:keepNext w:val="0"/>
        <w:keepLines w:val="0"/>
        <w:pageBreakBefore w:val="0"/>
        <w:widowControl w:val="0"/>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sz w:val="32"/>
          <w:szCs w:val="32"/>
          <w:lang w:eastAsia="zh-CN"/>
        </w:rPr>
      </w:pPr>
    </w:p>
    <w:p>
      <w:pPr>
        <w:pStyle w:val="6"/>
        <w:keepNext w:val="0"/>
        <w:keepLines w:val="0"/>
        <w:pageBreakBefore w:val="0"/>
        <w:widowControl w:val="0"/>
        <w:suppressLineNumbers w:val="0"/>
        <w:kinsoku/>
        <w:wordWrap/>
        <w:overflowPunct/>
        <w:topLinePunct w:val="0"/>
        <w:autoSpaceDE/>
        <w:autoSpaceDN/>
        <w:bidi w:val="0"/>
        <w:adjustRightInd/>
        <w:snapToGrid/>
        <w:spacing w:line="520" w:lineRule="exact"/>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各镇人民政府，各街道办事处，经济开发区管委会，县政府各部门，各有关单位：</w:t>
      </w:r>
    </w:p>
    <w:p>
      <w:pPr>
        <w:pStyle w:val="6"/>
        <w:keepNext w:val="0"/>
        <w:keepLines w:val="0"/>
        <w:pageBreakBefore w:val="0"/>
        <w:widowControl w:val="0"/>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《高青县全面推行行政指导工作实施方案》已经县政府同意，现印发给你们，请结合实际，抓好贯彻落实。</w:t>
      </w:r>
    </w:p>
    <w:p>
      <w:pPr>
        <w:pStyle w:val="6"/>
        <w:keepNext w:val="0"/>
        <w:keepLines w:val="0"/>
        <w:pageBreakBefore w:val="0"/>
        <w:widowControl w:val="0"/>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sz w:val="32"/>
          <w:szCs w:val="32"/>
          <w:lang w:val="en-US" w:eastAsia="zh-CN"/>
        </w:rPr>
      </w:pPr>
    </w:p>
    <w:p>
      <w:pPr>
        <w:pStyle w:val="6"/>
        <w:keepNext w:val="0"/>
        <w:keepLines w:val="0"/>
        <w:pageBreakBefore w:val="0"/>
        <w:widowControl w:val="0"/>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sz w:val="32"/>
          <w:szCs w:val="32"/>
          <w:lang w:val="en-US" w:eastAsia="zh-CN"/>
        </w:rPr>
      </w:pPr>
    </w:p>
    <w:p>
      <w:pPr>
        <w:pStyle w:val="6"/>
        <w:keepNext w:val="0"/>
        <w:keepLines w:val="0"/>
        <w:pageBreakBefore w:val="0"/>
        <w:widowControl w:val="0"/>
        <w:suppressLineNumbers w:val="0"/>
        <w:kinsoku/>
        <w:wordWrap w:val="0"/>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eastAsia="zh-CN"/>
        </w:rPr>
        <w:t>高青县人民政府办公室</w:t>
      </w:r>
      <w:r>
        <w:rPr>
          <w:rFonts w:hint="eastAsia" w:ascii="Times New Roman" w:hAnsi="Times New Roman" w:eastAsia="仿宋_GB2312" w:cs="仿宋_GB2312"/>
          <w:sz w:val="32"/>
          <w:szCs w:val="32"/>
          <w:lang w:val="en-US" w:eastAsia="zh-CN"/>
        </w:rPr>
        <w:t xml:space="preserve">    </w:t>
      </w:r>
    </w:p>
    <w:p>
      <w:pPr>
        <w:pStyle w:val="6"/>
        <w:keepNext w:val="0"/>
        <w:keepLines w:val="0"/>
        <w:pageBreakBefore w:val="0"/>
        <w:widowControl w:val="0"/>
        <w:suppressLineNumbers w:val="0"/>
        <w:kinsoku/>
        <w:wordWrap w:val="0"/>
        <w:overflowPunct/>
        <w:topLinePunct w:val="0"/>
        <w:autoSpaceDE/>
        <w:autoSpaceDN/>
        <w:bidi w:val="0"/>
        <w:adjustRightInd/>
        <w:snapToGrid/>
        <w:spacing w:line="520" w:lineRule="exact"/>
        <w:ind w:firstLine="640" w:firstLineChars="200"/>
        <w:jc w:val="right"/>
        <w:textAlignment w:val="auto"/>
        <w:rPr>
          <w:rFonts w:hint="default"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 xml:space="preserve">2021年5月21日    </w:t>
      </w:r>
    </w:p>
    <w:p>
      <w:pPr>
        <w:pStyle w:val="6"/>
        <w:keepNext w:val="0"/>
        <w:keepLines w:val="0"/>
        <w:pageBreakBefore w:val="0"/>
        <w:widowControl w:val="0"/>
        <w:suppressLineNumbers w:val="0"/>
        <w:kinsoku/>
        <w:wordWrap/>
        <w:overflowPunct/>
        <w:topLinePunct w:val="0"/>
        <w:autoSpaceDE/>
        <w:autoSpaceDN/>
        <w:bidi w:val="0"/>
        <w:adjustRightInd/>
        <w:snapToGrid/>
        <w:spacing w:line="520" w:lineRule="exact"/>
        <w:ind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（此件公开发布）</w:t>
      </w:r>
    </w:p>
    <w:p>
      <w:pPr>
        <w:keepNext w:val="0"/>
        <w:keepLines w:val="0"/>
        <w:pageBreakBefore w:val="0"/>
        <w:widowControl w:val="0"/>
        <w:kinsoku/>
        <w:overflowPunct/>
        <w:topLinePunct w:val="0"/>
        <w:autoSpaceDE/>
        <w:autoSpaceDN/>
        <w:bidi w:val="0"/>
        <w:adjustRightInd/>
        <w:snapToGrid/>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br w:type="page"/>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高青县全面推行行政指导工作实施方案</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Times New Roman" w:hAnsi="Times New Roman" w:eastAsia="方正小标宋简体" w:cs="方正小标宋简体"/>
          <w:sz w:val="44"/>
          <w:szCs w:val="44"/>
          <w:lang w:val="en-US" w:eastAsia="zh-CN"/>
        </w:rPr>
      </w:pP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按照</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淄博市人民政府办公室关于全面推行行政指导工作的通知</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eastAsia="zh-CN"/>
        </w:rPr>
        <w:t>淄政办字</w:t>
      </w:r>
      <w:r>
        <w:rPr>
          <w:rFonts w:hint="eastAsia" w:ascii="Times New Roman" w:hAnsi="Times New Roman" w:eastAsia="仿宋_GB2312" w:cs="仿宋_GB2312"/>
          <w:sz w:val="32"/>
          <w:szCs w:val="32"/>
        </w:rPr>
        <w:t>〔20</w:t>
      </w:r>
      <w:r>
        <w:rPr>
          <w:rFonts w:hint="eastAsia" w:ascii="Times New Roman" w:hAnsi="Times New Roman" w:eastAsia="仿宋_GB2312" w:cs="仿宋_GB2312"/>
          <w:sz w:val="32"/>
          <w:szCs w:val="32"/>
          <w:lang w:val="en-US" w:eastAsia="zh-CN"/>
        </w:rPr>
        <w:t>21</w:t>
      </w:r>
      <w:r>
        <w:rPr>
          <w:rFonts w:hint="eastAsia" w:ascii="Times New Roman" w:hAnsi="Times New Roman" w:eastAsia="仿宋_GB2312" w:cs="仿宋_GB2312"/>
          <w:sz w:val="32"/>
          <w:szCs w:val="32"/>
        </w:rPr>
        <w:t>〕</w:t>
      </w:r>
      <w:r>
        <w:rPr>
          <w:rFonts w:hint="eastAsia" w:ascii="Times New Roman" w:hAnsi="Times New Roman" w:eastAsia="仿宋_GB2312" w:cs="仿宋_GB2312"/>
          <w:sz w:val="32"/>
          <w:szCs w:val="32"/>
          <w:lang w:val="en-US" w:eastAsia="zh-CN"/>
        </w:rPr>
        <w:t>32</w:t>
      </w:r>
      <w:r>
        <w:rPr>
          <w:rFonts w:hint="eastAsia" w:ascii="Times New Roman" w:hAnsi="Times New Roman" w:eastAsia="仿宋_GB2312" w:cs="仿宋_GB2312"/>
          <w:sz w:val="32"/>
          <w:szCs w:val="32"/>
        </w:rPr>
        <w:t>号）</w:t>
      </w:r>
      <w:r>
        <w:rPr>
          <w:rFonts w:hint="eastAsia" w:ascii="Times New Roman" w:hAnsi="Times New Roman" w:eastAsia="仿宋_GB2312" w:cs="仿宋_GB2312"/>
          <w:sz w:val="32"/>
          <w:szCs w:val="32"/>
          <w:lang w:eastAsia="zh-CN"/>
        </w:rPr>
        <w:t>要求，</w:t>
      </w:r>
      <w:r>
        <w:rPr>
          <w:rFonts w:hint="eastAsia" w:ascii="Times New Roman" w:hAnsi="Times New Roman" w:eastAsia="仿宋_GB2312" w:cs="仿宋_GB2312"/>
          <w:sz w:val="32"/>
          <w:szCs w:val="32"/>
          <w:lang w:val="en-US" w:eastAsia="zh-CN"/>
        </w:rPr>
        <w:t>为创新行政管理方式，加快推进法治政府、服务型政府建设，</w:t>
      </w:r>
      <w:r>
        <w:rPr>
          <w:rFonts w:hint="eastAsia" w:ascii="Times New Roman" w:hAnsi="Times New Roman" w:eastAsia="仿宋_GB2312" w:cs="仿宋_GB2312"/>
          <w:sz w:val="32"/>
          <w:szCs w:val="32"/>
        </w:rPr>
        <w:t>结合</w:t>
      </w:r>
      <w:r>
        <w:rPr>
          <w:rFonts w:hint="eastAsia" w:ascii="Times New Roman" w:hAnsi="Times New Roman" w:eastAsia="仿宋_GB2312" w:cs="仿宋_GB2312"/>
          <w:sz w:val="32"/>
          <w:szCs w:val="32"/>
          <w:lang w:eastAsia="zh-CN"/>
        </w:rPr>
        <w:t>我县</w:t>
      </w:r>
      <w:r>
        <w:rPr>
          <w:rFonts w:hint="eastAsia" w:ascii="Times New Roman" w:hAnsi="Times New Roman" w:eastAsia="仿宋_GB2312" w:cs="仿宋_GB2312"/>
          <w:sz w:val="32"/>
          <w:szCs w:val="32"/>
        </w:rPr>
        <w:t>工作实际</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制定</w:t>
      </w:r>
      <w:r>
        <w:rPr>
          <w:rFonts w:hint="eastAsia" w:ascii="Times New Roman" w:hAnsi="Times New Roman" w:eastAsia="仿宋_GB2312" w:cs="仿宋_GB2312"/>
          <w:sz w:val="32"/>
          <w:szCs w:val="32"/>
          <w:lang w:eastAsia="zh-CN"/>
        </w:rPr>
        <w:t>本</w:t>
      </w:r>
      <w:r>
        <w:rPr>
          <w:rFonts w:hint="eastAsia" w:ascii="Times New Roman" w:hAnsi="Times New Roman" w:eastAsia="仿宋_GB2312" w:cs="仿宋_GB2312"/>
          <w:sz w:val="32"/>
          <w:szCs w:val="32"/>
        </w:rPr>
        <w:t>方案。</w:t>
      </w:r>
    </w:p>
    <w:p>
      <w:pPr>
        <w:pStyle w:val="6"/>
        <w:keepNext w:val="0"/>
        <w:keepLines w:val="0"/>
        <w:pageBreakBefore w:val="0"/>
        <w:widowControl w:val="0"/>
        <w:numPr>
          <w:ilvl w:val="0"/>
          <w:numId w:val="1"/>
        </w:numPr>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rPr>
        <w:t>基本原则</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Times New Roman" w:hAnsi="Times New Roman" w:eastAsia="黑体" w:cs="黑体"/>
          <w:sz w:val="32"/>
          <w:szCs w:val="32"/>
        </w:rPr>
      </w:pPr>
      <w:r>
        <w:rPr>
          <w:rFonts w:ascii="Times New Roman" w:hAnsi="Times New Roman" w:eastAsia="仿宋_GB2312" w:cs="仿宋_GB2312"/>
          <w:color w:val="000000"/>
          <w:kern w:val="0"/>
          <w:sz w:val="31"/>
          <w:szCs w:val="31"/>
          <w:lang w:val="en-US" w:eastAsia="zh-CN" w:bidi="ar"/>
        </w:rPr>
        <w:t>行政指导具有非强制性、民主性、灵活性等特点</w:t>
      </w:r>
      <w:r>
        <w:rPr>
          <w:rFonts w:hint="eastAsia" w:ascii="Times New Roman" w:hAnsi="Times New Roman" w:eastAsia="仿宋_GB2312" w:cs="仿宋_GB2312"/>
          <w:color w:val="000000"/>
          <w:kern w:val="0"/>
          <w:sz w:val="31"/>
          <w:szCs w:val="31"/>
          <w:lang w:val="en-US" w:eastAsia="zh-CN" w:bidi="ar"/>
        </w:rPr>
        <w:t>，</w:t>
      </w:r>
      <w:r>
        <w:rPr>
          <w:rFonts w:ascii="Times New Roman" w:hAnsi="Times New Roman" w:eastAsia="仿宋_GB2312" w:cs="仿宋_GB2312"/>
          <w:color w:val="000000"/>
          <w:kern w:val="0"/>
          <w:sz w:val="31"/>
          <w:szCs w:val="31"/>
          <w:lang w:val="en-US" w:eastAsia="zh-CN" w:bidi="ar"/>
        </w:rPr>
        <w:t>对优化服</w:t>
      </w:r>
      <w:r>
        <w:rPr>
          <w:rFonts w:hint="eastAsia" w:ascii="Times New Roman" w:hAnsi="Times New Roman" w:eastAsia="仿宋_GB2312" w:cs="仿宋_GB2312"/>
          <w:color w:val="000000"/>
          <w:kern w:val="0"/>
          <w:sz w:val="31"/>
          <w:szCs w:val="31"/>
          <w:lang w:val="en-US" w:eastAsia="zh-CN" w:bidi="ar"/>
        </w:rPr>
        <w:t>务、完善监管、维护经济社会秩序和推动经济社会和谐发展，以及为公民、法人和社会组织服务等方面具有重要意义，是行政执法方式的有益补充，各镇办、各行政执法部门要将行政指导融入行政执法全领域、全过程。开展行政指导要遵循以下原则</w:t>
      </w:r>
      <w:r>
        <w:rPr>
          <w:rFonts w:ascii="Times New Roman" w:hAnsi="Times New Roman" w:eastAsia="仿宋" w:cs="仿宋"/>
          <w:color w:val="000000"/>
          <w:kern w:val="0"/>
          <w:sz w:val="31"/>
          <w:szCs w:val="31"/>
          <w:lang w:val="en-US" w:eastAsia="zh-CN" w:bidi="ar"/>
        </w:rPr>
        <w:t>:</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楷体" w:cs="楷体"/>
          <w:sz w:val="32"/>
          <w:szCs w:val="32"/>
          <w:lang w:val="en-US" w:eastAsia="zh-CN"/>
        </w:rPr>
        <w:t>（一）</w:t>
      </w:r>
      <w:r>
        <w:rPr>
          <w:rFonts w:hint="eastAsia" w:ascii="Times New Roman" w:hAnsi="Times New Roman" w:eastAsia="楷体" w:cs="楷体"/>
          <w:sz w:val="32"/>
          <w:szCs w:val="32"/>
          <w:lang w:eastAsia="zh-CN"/>
        </w:rPr>
        <w:t>自愿原则。</w:t>
      </w:r>
      <w:r>
        <w:rPr>
          <w:rFonts w:hint="eastAsia" w:ascii="Times New Roman" w:hAnsi="Times New Roman" w:eastAsia="仿宋_GB2312" w:cs="仿宋_GB2312"/>
          <w:sz w:val="32"/>
          <w:szCs w:val="32"/>
          <w:lang w:eastAsia="zh-CN"/>
        </w:rPr>
        <w:t>实施行政指导应当以行政相对人自愿为前提，能够被当事人认可。不得采取强制或者变相强制等方式迫使行政相对人接受行政指导。</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楷体" w:cs="楷体"/>
          <w:sz w:val="32"/>
          <w:szCs w:val="32"/>
          <w:lang w:val="en-US" w:eastAsia="zh-CN"/>
        </w:rPr>
        <w:t>（二）合法原则。</w:t>
      </w:r>
      <w:r>
        <w:rPr>
          <w:rFonts w:hint="eastAsia" w:ascii="Times New Roman" w:hAnsi="Times New Roman" w:eastAsia="仿宋_GB2312" w:cs="仿宋_GB2312"/>
          <w:sz w:val="32"/>
          <w:szCs w:val="32"/>
          <w:lang w:eastAsia="zh-CN"/>
        </w:rPr>
        <w:t>行政指导的工作内容和实施方式应当在法定职责范围内进行，不得超越法定权限，违反法定程序，不得侵害行政相对人的合法权益。</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楷体" w:cs="楷体"/>
          <w:sz w:val="32"/>
          <w:szCs w:val="32"/>
          <w:lang w:val="en-US" w:eastAsia="zh-CN"/>
        </w:rPr>
        <w:t>（三）合理原则。</w:t>
      </w:r>
      <w:r>
        <w:rPr>
          <w:rFonts w:hint="eastAsia" w:ascii="Times New Roman" w:hAnsi="Times New Roman" w:eastAsia="仿宋_GB2312" w:cs="仿宋_GB2312"/>
          <w:sz w:val="32"/>
          <w:szCs w:val="32"/>
          <w:lang w:eastAsia="zh-CN"/>
        </w:rPr>
        <w:t>应当优先采取行政指导的方式实现管理目的，采取的方法应当必要、适当。</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楷体" w:cs="楷体"/>
          <w:sz w:val="32"/>
          <w:szCs w:val="32"/>
          <w:lang w:val="en-US" w:eastAsia="zh-CN"/>
        </w:rPr>
        <w:t>（四）公正公开原则。</w:t>
      </w:r>
      <w:r>
        <w:rPr>
          <w:rFonts w:hint="eastAsia" w:ascii="Times New Roman" w:hAnsi="Times New Roman" w:eastAsia="仿宋_GB2312" w:cs="仿宋_GB2312"/>
          <w:sz w:val="32"/>
          <w:szCs w:val="32"/>
          <w:lang w:eastAsia="zh-CN"/>
        </w:rPr>
        <w:t>实施行政指导的事项应当公开，对待行政相对人要一律平等。</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楷体" w:cs="楷体"/>
          <w:sz w:val="32"/>
          <w:szCs w:val="32"/>
          <w:lang w:val="en-US" w:eastAsia="zh-CN"/>
        </w:rPr>
        <w:t>（五）便民利民原则。</w:t>
      </w:r>
      <w:r>
        <w:rPr>
          <w:rFonts w:hint="eastAsia" w:ascii="Times New Roman" w:hAnsi="Times New Roman" w:eastAsia="仿宋_GB2312" w:cs="仿宋_GB2312"/>
          <w:sz w:val="32"/>
          <w:szCs w:val="32"/>
          <w:lang w:eastAsia="zh-CN"/>
        </w:rPr>
        <w:t>实施行政指导应当针对不同事项采取灵活多样的方法，为行政</w:t>
      </w:r>
      <w:r>
        <w:rPr>
          <w:rFonts w:hint="eastAsia" w:ascii="Times New Roman" w:hAnsi="Times New Roman" w:eastAsia="仿宋_GB2312" w:cs="仿宋_GB2312"/>
          <w:kern w:val="2"/>
          <w:sz w:val="32"/>
          <w:szCs w:val="32"/>
          <w:lang w:val="en-US" w:eastAsia="zh-CN" w:bidi="ar-SA"/>
        </w:rPr>
        <w:t>相对人</w:t>
      </w:r>
      <w:r>
        <w:rPr>
          <w:rFonts w:hint="eastAsia" w:ascii="Times New Roman" w:hAnsi="Times New Roman" w:eastAsia="仿宋_GB2312" w:cs="仿宋_GB2312"/>
          <w:sz w:val="32"/>
          <w:szCs w:val="32"/>
          <w:lang w:eastAsia="zh-CN"/>
        </w:rPr>
        <w:t>提供优质便利服务。实施行政指导要兼顾社会效果和个人权益，做到既维护正常的经济社会管理秩序，又能使行政相对人受益。</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楷体" w:cs="楷体"/>
          <w:sz w:val="32"/>
          <w:szCs w:val="32"/>
          <w:lang w:val="en-US" w:eastAsia="zh-CN"/>
        </w:rPr>
        <w:t>（六）效能原则。</w:t>
      </w:r>
      <w:r>
        <w:rPr>
          <w:rFonts w:hint="eastAsia" w:ascii="Times New Roman" w:hAnsi="Times New Roman" w:eastAsia="仿宋_GB2312" w:cs="仿宋_GB2312"/>
          <w:sz w:val="32"/>
          <w:szCs w:val="32"/>
          <w:lang w:eastAsia="zh-CN"/>
        </w:rPr>
        <w:t>实施行政指导尽量做到简明高效，以最小的投入取得最大效益。将效率和效益作为衡量行政指导的标准，不得开展无实效或者无实质内容的行政指导，不得给行政相对人带来不必要的负担。</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黑体"/>
          <w:sz w:val="32"/>
          <w:szCs w:val="32"/>
          <w:lang w:val="en-US" w:eastAsia="zh-CN"/>
        </w:rPr>
      </w:pPr>
      <w:r>
        <w:rPr>
          <w:rFonts w:hint="eastAsia" w:ascii="Times New Roman" w:hAnsi="Times New Roman" w:eastAsia="黑体" w:cs="黑体"/>
          <w:sz w:val="32"/>
          <w:szCs w:val="32"/>
          <w:lang w:val="en-US" w:eastAsia="zh-CN"/>
        </w:rPr>
        <w:t>二、实施方式</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left"/>
        <w:textAlignment w:val="auto"/>
        <w:rPr>
          <w:rFonts w:hint="eastAsia" w:ascii="Times New Roman" w:hAnsi="Times New Roman" w:eastAsia="楷体" w:cs="楷体"/>
          <w:sz w:val="32"/>
          <w:szCs w:val="32"/>
          <w:lang w:val="en-US" w:eastAsia="zh-CN"/>
        </w:rPr>
      </w:pPr>
      <w:r>
        <w:rPr>
          <w:rFonts w:hint="eastAsia" w:ascii="Times New Roman" w:hAnsi="Times New Roman" w:eastAsia="仿宋_GB2312" w:cs="仿宋_GB2312"/>
          <w:color w:val="000000"/>
          <w:kern w:val="0"/>
          <w:sz w:val="31"/>
          <w:szCs w:val="31"/>
          <w:lang w:val="en-US" w:eastAsia="zh-CN" w:bidi="ar"/>
        </w:rPr>
        <w:t>各镇办、</w:t>
      </w:r>
      <w:r>
        <w:rPr>
          <w:rFonts w:ascii="Times New Roman" w:hAnsi="Times New Roman" w:eastAsia="仿宋_GB2312" w:cs="仿宋_GB2312"/>
          <w:color w:val="000000"/>
          <w:kern w:val="0"/>
          <w:sz w:val="31"/>
          <w:szCs w:val="31"/>
          <w:lang w:val="en-US" w:eastAsia="zh-CN" w:bidi="ar"/>
        </w:rPr>
        <w:t>各行政执法</w:t>
      </w:r>
      <w:r>
        <w:rPr>
          <w:rFonts w:hint="eastAsia" w:ascii="Times New Roman" w:hAnsi="Times New Roman" w:eastAsia="仿宋_GB2312" w:cs="仿宋_GB2312"/>
          <w:color w:val="000000"/>
          <w:kern w:val="0"/>
          <w:sz w:val="31"/>
          <w:szCs w:val="31"/>
          <w:lang w:val="en-US" w:eastAsia="zh-CN" w:bidi="ar"/>
        </w:rPr>
        <w:t>部门</w:t>
      </w:r>
      <w:r>
        <w:rPr>
          <w:rFonts w:ascii="Times New Roman" w:hAnsi="Times New Roman" w:eastAsia="仿宋_GB2312" w:cs="仿宋_GB2312"/>
          <w:color w:val="000000"/>
          <w:kern w:val="0"/>
          <w:sz w:val="31"/>
          <w:szCs w:val="31"/>
          <w:lang w:val="en-US" w:eastAsia="zh-CN" w:bidi="ar"/>
        </w:rPr>
        <w:t>办理行政指导事项</w:t>
      </w:r>
      <w:r>
        <w:rPr>
          <w:rFonts w:hint="eastAsia" w:ascii="Times New Roman" w:hAnsi="Times New Roman" w:eastAsia="仿宋_GB2312" w:cs="仿宋_GB2312"/>
          <w:color w:val="000000"/>
          <w:kern w:val="0"/>
          <w:sz w:val="31"/>
          <w:szCs w:val="31"/>
          <w:lang w:val="en-US" w:eastAsia="zh-CN" w:bidi="ar"/>
        </w:rPr>
        <w:t>，</w:t>
      </w:r>
      <w:r>
        <w:rPr>
          <w:rFonts w:ascii="Times New Roman" w:hAnsi="Times New Roman" w:eastAsia="仿宋_GB2312" w:cs="仿宋_GB2312"/>
          <w:color w:val="000000"/>
          <w:kern w:val="0"/>
          <w:sz w:val="31"/>
          <w:szCs w:val="31"/>
          <w:lang w:val="en-US" w:eastAsia="zh-CN" w:bidi="ar"/>
        </w:rPr>
        <w:t>可以根据不同</w:t>
      </w:r>
      <w:r>
        <w:rPr>
          <w:rFonts w:hint="eastAsia" w:ascii="Times New Roman" w:hAnsi="Times New Roman" w:eastAsia="仿宋_GB2312" w:cs="仿宋_GB2312"/>
          <w:color w:val="000000"/>
          <w:kern w:val="0"/>
          <w:sz w:val="31"/>
          <w:szCs w:val="31"/>
          <w:lang w:val="en-US" w:eastAsia="zh-CN" w:bidi="ar"/>
        </w:rPr>
        <w:t>领域、不同事项，采取灵活多样的方式，具体可以采取以下方式</w:t>
      </w:r>
      <w:r>
        <w:rPr>
          <w:rFonts w:hint="eastAsia" w:ascii="Times New Roman" w:hAnsi="Times New Roman" w:eastAsia="仿宋" w:cs="仿宋"/>
          <w:color w:val="000000"/>
          <w:kern w:val="0"/>
          <w:sz w:val="31"/>
          <w:szCs w:val="31"/>
          <w:lang w:val="en-US" w:eastAsia="zh-CN" w:bidi="ar"/>
        </w:rPr>
        <w:t>：</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 w:cs="楷体"/>
          <w:sz w:val="32"/>
          <w:szCs w:val="32"/>
          <w:lang w:val="en-US" w:eastAsia="zh-CN"/>
        </w:rPr>
        <w:t>（一）政策指引。</w:t>
      </w:r>
      <w:r>
        <w:rPr>
          <w:rFonts w:hint="eastAsia" w:ascii="Times New Roman" w:hAnsi="Times New Roman" w:eastAsia="仿宋_GB2312" w:cs="仿宋_GB2312"/>
          <w:sz w:val="32"/>
          <w:szCs w:val="32"/>
          <w:lang w:val="en-US" w:eastAsia="zh-CN"/>
        </w:rPr>
        <w:t>利用掌握行业政策的优势，通过信息公开等对行政相对人进行引导，提供</w:t>
      </w:r>
      <w:r>
        <w:rPr>
          <w:rFonts w:hint="eastAsia" w:ascii="Times New Roman" w:hAnsi="Times New Roman" w:eastAsia="仿宋_GB2312" w:cs="仿宋_GB2312"/>
          <w:kern w:val="2"/>
          <w:sz w:val="32"/>
          <w:szCs w:val="32"/>
          <w:lang w:val="en-US" w:eastAsia="zh-CN" w:bidi="ar-SA"/>
        </w:rPr>
        <w:t>服务</w:t>
      </w:r>
      <w:r>
        <w:rPr>
          <w:rFonts w:hint="eastAsia" w:ascii="Times New Roman" w:hAnsi="Times New Roman" w:eastAsia="仿宋_GB2312" w:cs="仿宋_GB2312"/>
          <w:sz w:val="32"/>
          <w:szCs w:val="32"/>
          <w:lang w:val="en-US" w:eastAsia="zh-CN"/>
        </w:rPr>
        <w:t>。</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 w:cs="楷体"/>
          <w:sz w:val="32"/>
          <w:szCs w:val="32"/>
          <w:lang w:val="en-US" w:eastAsia="zh-CN"/>
        </w:rPr>
        <w:t>（二）意见建议。</w:t>
      </w:r>
      <w:r>
        <w:rPr>
          <w:rFonts w:hint="eastAsia" w:ascii="Times New Roman" w:hAnsi="Times New Roman" w:eastAsia="仿宋_GB2312" w:cs="仿宋_GB2312"/>
          <w:sz w:val="32"/>
          <w:szCs w:val="32"/>
          <w:lang w:val="en-US" w:eastAsia="zh-CN"/>
        </w:rPr>
        <w:t>根据管理职能和专业知识，为行政相对人“出主意、提建议”，引导其合法经营，建立和完善各项管理制度，规范自身行为，促进健康发展。</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 w:cs="楷体"/>
          <w:sz w:val="32"/>
          <w:szCs w:val="32"/>
          <w:lang w:val="en-US" w:eastAsia="zh-CN"/>
        </w:rPr>
        <w:t>（三）提示提醒。</w:t>
      </w:r>
      <w:r>
        <w:rPr>
          <w:rFonts w:hint="eastAsia" w:ascii="Times New Roman" w:hAnsi="Times New Roman" w:eastAsia="仿宋_GB2312" w:cs="仿宋_GB2312"/>
          <w:sz w:val="32"/>
          <w:szCs w:val="32"/>
          <w:lang w:val="en-US" w:eastAsia="zh-CN"/>
        </w:rPr>
        <w:t>在执法检查过程中，对于行政相对人可能出现行政违法、民事侵权或者违约等问题的，可以制定行政指导意见书，</w:t>
      </w:r>
      <w:r>
        <w:rPr>
          <w:rFonts w:hint="eastAsia" w:ascii="Times New Roman" w:hAnsi="Times New Roman" w:eastAsia="仿宋_GB2312" w:cs="仿宋_GB2312"/>
          <w:kern w:val="2"/>
          <w:sz w:val="32"/>
          <w:szCs w:val="32"/>
          <w:lang w:val="en-US" w:eastAsia="zh-CN" w:bidi="ar-SA"/>
        </w:rPr>
        <w:t>提示</w:t>
      </w:r>
      <w:r>
        <w:rPr>
          <w:rFonts w:hint="eastAsia" w:ascii="Times New Roman" w:hAnsi="Times New Roman" w:eastAsia="仿宋_GB2312" w:cs="仿宋_GB2312"/>
          <w:sz w:val="32"/>
          <w:szCs w:val="32"/>
          <w:lang w:val="en-US" w:eastAsia="zh-CN"/>
        </w:rPr>
        <w:t>其及时纠正。根据群众投诉举报情况和日常执法数据分析等，对某些时段、某些领域违法频率高或者可能发生违法行为等情形的，及时向行政相对人宣传、解释法律法规，告知管理要求，提示、提醒其按照法律规定和政策要求履行义务，加强自律，最大限度地减少违法违规行为。</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 w:cs="楷体"/>
          <w:sz w:val="32"/>
          <w:szCs w:val="32"/>
          <w:lang w:val="en-US" w:eastAsia="zh-CN"/>
        </w:rPr>
        <w:t>（四）劝导警示。</w:t>
      </w:r>
      <w:r>
        <w:rPr>
          <w:rFonts w:hint="eastAsia" w:ascii="Times New Roman" w:hAnsi="Times New Roman" w:eastAsia="仿宋_GB2312" w:cs="仿宋_GB2312"/>
          <w:sz w:val="32"/>
          <w:szCs w:val="32"/>
          <w:lang w:val="en-US" w:eastAsia="zh-CN"/>
        </w:rPr>
        <w:t>对违法情节轻微、无主观故意并及时纠正、没有造成危害后果的，根据本单位梳理的“不罚清单”，告知其立即纠正违法行为，规劝其承诺不再发生类似违法行为。</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 w:cs="楷体"/>
          <w:sz w:val="32"/>
          <w:szCs w:val="32"/>
          <w:lang w:val="en-US" w:eastAsia="zh-CN"/>
        </w:rPr>
        <w:t>（五）示范引领。</w:t>
      </w:r>
      <w:r>
        <w:rPr>
          <w:rFonts w:hint="eastAsia" w:ascii="Times New Roman" w:hAnsi="Times New Roman" w:eastAsia="仿宋_GB2312" w:cs="仿宋_GB2312"/>
          <w:sz w:val="32"/>
          <w:szCs w:val="32"/>
          <w:lang w:val="en-US" w:eastAsia="zh-CN"/>
        </w:rPr>
        <w:t>通过给予行政相对人表扬鼓励等，引导其从事某种特定活动，达到管理目的。</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楷体" w:cs="楷体"/>
          <w:sz w:val="32"/>
          <w:szCs w:val="32"/>
          <w:lang w:val="en-US" w:eastAsia="zh-CN"/>
        </w:rPr>
        <w:t>（六）案件回访。</w:t>
      </w:r>
      <w:r>
        <w:rPr>
          <w:rFonts w:hint="eastAsia" w:ascii="Times New Roman" w:hAnsi="Times New Roman" w:eastAsia="仿宋_GB2312" w:cs="仿宋_GB2312"/>
          <w:sz w:val="32"/>
          <w:szCs w:val="32"/>
          <w:lang w:val="en-US" w:eastAsia="zh-CN"/>
        </w:rPr>
        <w:t>对重大执法案件或者在一定范围、一定领域具有普遍影响的案件，定期或者不定期地进行回访，指导整改。同时举一反三，发布典型案例，指导行政相对人自觉遵守法律法规。</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eastAsia="zh-CN"/>
        </w:rPr>
        <w:t>三</w:t>
      </w:r>
      <w:r>
        <w:rPr>
          <w:rFonts w:hint="eastAsia" w:ascii="Times New Roman" w:hAnsi="Times New Roman" w:eastAsia="黑体" w:cs="黑体"/>
          <w:sz w:val="32"/>
          <w:szCs w:val="32"/>
        </w:rPr>
        <w:t>、实施步骤</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 w:cs="楷体"/>
          <w:sz w:val="32"/>
          <w:szCs w:val="32"/>
          <w:lang w:eastAsia="zh-CN"/>
        </w:rPr>
      </w:pPr>
      <w:r>
        <w:rPr>
          <w:rFonts w:hint="eastAsia" w:ascii="Times New Roman" w:hAnsi="Times New Roman" w:eastAsia="楷体" w:cs="楷体"/>
          <w:sz w:val="32"/>
          <w:szCs w:val="32"/>
        </w:rPr>
        <w:t>（</w:t>
      </w:r>
      <w:r>
        <w:rPr>
          <w:rFonts w:hint="eastAsia" w:ascii="Times New Roman" w:hAnsi="Times New Roman" w:eastAsia="楷体" w:cs="楷体"/>
          <w:sz w:val="32"/>
          <w:szCs w:val="32"/>
          <w:lang w:eastAsia="zh-CN"/>
        </w:rPr>
        <w:t>一</w:t>
      </w:r>
      <w:r>
        <w:rPr>
          <w:rFonts w:hint="eastAsia" w:ascii="Times New Roman" w:hAnsi="Times New Roman" w:eastAsia="楷体" w:cs="楷体"/>
          <w:sz w:val="32"/>
          <w:szCs w:val="32"/>
        </w:rPr>
        <w:t>）</w:t>
      </w:r>
      <w:r>
        <w:rPr>
          <w:rFonts w:hint="eastAsia" w:ascii="Times New Roman" w:hAnsi="Times New Roman" w:eastAsia="楷体" w:cs="楷体"/>
          <w:sz w:val="32"/>
          <w:szCs w:val="32"/>
          <w:lang w:eastAsia="zh-CN"/>
        </w:rPr>
        <w:t>制定方案和目录清单</w:t>
      </w:r>
      <w:r>
        <w:rPr>
          <w:rFonts w:hint="eastAsia" w:ascii="Times New Roman" w:hAnsi="Times New Roman" w:eastAsia="楷体" w:cs="楷体"/>
          <w:sz w:val="32"/>
          <w:szCs w:val="32"/>
        </w:rPr>
        <w:t>（</w:t>
      </w:r>
      <w:r>
        <w:rPr>
          <w:rFonts w:hint="eastAsia" w:ascii="Times New Roman" w:hAnsi="Times New Roman" w:eastAsia="楷体" w:cs="楷体"/>
          <w:sz w:val="32"/>
          <w:szCs w:val="32"/>
          <w:lang w:val="en-US" w:eastAsia="zh-CN"/>
        </w:rPr>
        <w:t>2021年5月25日前</w:t>
      </w:r>
      <w:r>
        <w:rPr>
          <w:rFonts w:hint="eastAsia" w:ascii="Times New Roman" w:hAnsi="Times New Roman" w:eastAsia="楷体" w:cs="楷体"/>
          <w:sz w:val="32"/>
          <w:szCs w:val="32"/>
        </w:rPr>
        <w:t>）</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仿宋_GB2312"/>
          <w:sz w:val="32"/>
          <w:szCs w:val="32"/>
          <w:lang w:eastAsia="zh-CN"/>
        </w:rPr>
        <w:t>各镇办、</w:t>
      </w:r>
      <w:r>
        <w:rPr>
          <w:rFonts w:hint="eastAsia" w:ascii="Times New Roman" w:hAnsi="Times New Roman" w:eastAsia="仿宋_GB2312" w:cs="仿宋_GB2312"/>
          <w:sz w:val="32"/>
          <w:szCs w:val="32"/>
        </w:rPr>
        <w:t>各行政执法</w:t>
      </w:r>
      <w:r>
        <w:rPr>
          <w:rFonts w:hint="eastAsia" w:ascii="Times New Roman" w:hAnsi="Times New Roman" w:eastAsia="仿宋_GB2312" w:cs="仿宋_GB2312"/>
          <w:sz w:val="32"/>
          <w:szCs w:val="32"/>
          <w:lang w:eastAsia="zh-CN"/>
        </w:rPr>
        <w:t>部门</w:t>
      </w:r>
      <w:r>
        <w:rPr>
          <w:rFonts w:hint="eastAsia" w:ascii="Times New Roman" w:hAnsi="Times New Roman" w:eastAsia="仿宋_GB2312" w:cs="仿宋_GB2312"/>
          <w:kern w:val="2"/>
          <w:sz w:val="32"/>
          <w:szCs w:val="32"/>
          <w:lang w:val="en-US" w:eastAsia="zh-CN" w:bidi="ar-SA"/>
        </w:rPr>
        <w:t>要</w:t>
      </w:r>
      <w:r>
        <w:rPr>
          <w:rFonts w:hint="eastAsia" w:ascii="Times New Roman" w:hAnsi="Times New Roman" w:eastAsia="仿宋_GB2312" w:cs="Times New Roman"/>
          <w:color w:val="auto"/>
          <w:sz w:val="32"/>
          <w:szCs w:val="32"/>
          <w:lang w:eastAsia="zh-CN"/>
        </w:rPr>
        <w:t>结合工作实际制定</w:t>
      </w:r>
      <w:r>
        <w:rPr>
          <w:rFonts w:hint="default" w:ascii="Times New Roman" w:hAnsi="Times New Roman" w:eastAsia="仿宋_GB2312" w:cs="Times New Roman"/>
          <w:color w:val="auto"/>
          <w:sz w:val="32"/>
          <w:szCs w:val="32"/>
          <w:lang w:eastAsia="zh-CN"/>
        </w:rPr>
        <w:t>全面推行行政指导工作的实施方案</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明确工作目标、要求、方法和步骤</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细化工作落实措施</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制定完善行政指导程序和行政指导文书；</w:t>
      </w:r>
      <w:r>
        <w:rPr>
          <w:rFonts w:hint="eastAsia" w:ascii="Times New Roman" w:hAnsi="Times New Roman" w:eastAsia="仿宋_GB2312" w:cs="Times New Roman"/>
          <w:color w:val="auto"/>
          <w:sz w:val="32"/>
          <w:szCs w:val="32"/>
          <w:lang w:eastAsia="zh-CN"/>
        </w:rPr>
        <w:t>同时，</w:t>
      </w:r>
      <w:r>
        <w:rPr>
          <w:rFonts w:hint="default" w:ascii="Times New Roman" w:hAnsi="Times New Roman" w:eastAsia="仿宋_GB2312" w:cs="Times New Roman"/>
          <w:color w:val="auto"/>
          <w:sz w:val="32"/>
          <w:szCs w:val="32"/>
          <w:lang w:eastAsia="zh-CN"/>
        </w:rPr>
        <w:t>参照本</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lang w:eastAsia="zh-CN"/>
        </w:rPr>
        <w:t>的权责清单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按照全领域覆盖的原则梳理编制行政指导事项目录清单。</w:t>
      </w:r>
      <w:r>
        <w:rPr>
          <w:rFonts w:hint="eastAsia" w:ascii="Times New Roman" w:hAnsi="Times New Roman" w:eastAsia="仿宋_GB2312" w:cs="Times New Roman"/>
          <w:color w:val="auto"/>
          <w:sz w:val="32"/>
          <w:szCs w:val="32"/>
          <w:lang w:eastAsia="zh-CN"/>
        </w:rPr>
        <w:t>行政指导事项目录</w:t>
      </w:r>
      <w:r>
        <w:rPr>
          <w:rFonts w:hint="default" w:ascii="Times New Roman" w:hAnsi="Times New Roman" w:eastAsia="仿宋_GB2312" w:cs="Times New Roman"/>
          <w:color w:val="auto"/>
          <w:sz w:val="32"/>
          <w:szCs w:val="32"/>
          <w:lang w:eastAsia="zh-CN"/>
        </w:rPr>
        <w:t>清单要在政府网站或通过其他方式向社会公开</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同时上传</w:t>
      </w:r>
      <w:r>
        <w:rPr>
          <w:rFonts w:hint="eastAsia" w:ascii="Times New Roman" w:hAnsi="Times New Roman" w:eastAsia="仿宋_GB2312" w:cs="Times New Roman"/>
          <w:color w:val="auto"/>
          <w:sz w:val="32"/>
          <w:szCs w:val="32"/>
          <w:lang w:eastAsia="zh-CN"/>
        </w:rPr>
        <w:t>到</w:t>
      </w:r>
      <w:r>
        <w:rPr>
          <w:rFonts w:hint="default" w:ascii="Times New Roman" w:hAnsi="Times New Roman" w:eastAsia="仿宋_GB2312" w:cs="Times New Roman"/>
          <w:color w:val="auto"/>
          <w:sz w:val="32"/>
          <w:szCs w:val="32"/>
          <w:lang w:eastAsia="zh-CN"/>
        </w:rPr>
        <w:t>淄博市涉企检查</w:t>
      </w:r>
      <w:r>
        <w:rPr>
          <w:rFonts w:hint="eastAsia" w:ascii="Times New Roman" w:hAnsi="Times New Roman" w:eastAsia="仿宋_GB2312" w:cs="Times New Roman"/>
          <w:color w:val="auto"/>
          <w:sz w:val="32"/>
          <w:szCs w:val="32"/>
          <w:lang w:eastAsia="zh-CN"/>
        </w:rPr>
        <w:t>网络</w:t>
      </w:r>
      <w:r>
        <w:rPr>
          <w:rFonts w:hint="default" w:ascii="Times New Roman" w:hAnsi="Times New Roman" w:eastAsia="仿宋_GB2312" w:cs="Times New Roman"/>
          <w:color w:val="auto"/>
          <w:sz w:val="32"/>
          <w:szCs w:val="32"/>
          <w:lang w:eastAsia="zh-CN"/>
        </w:rPr>
        <w:t>备案系统“行政指导专区”。</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楷体" w:cs="楷体"/>
          <w:sz w:val="32"/>
          <w:szCs w:val="32"/>
        </w:rPr>
      </w:pPr>
      <w:r>
        <w:rPr>
          <w:rFonts w:hint="eastAsia" w:ascii="Times New Roman" w:hAnsi="Times New Roman" w:eastAsia="楷体" w:cs="楷体"/>
          <w:sz w:val="32"/>
          <w:szCs w:val="32"/>
          <w:lang w:eastAsia="zh-CN"/>
        </w:rPr>
        <w:t>（二）</w:t>
      </w:r>
      <w:r>
        <w:rPr>
          <w:rFonts w:hint="eastAsia" w:ascii="Times New Roman" w:hAnsi="Times New Roman" w:eastAsia="楷体_GB2312" w:cs="楷体_GB2312"/>
          <w:color w:val="000000"/>
          <w:kern w:val="0"/>
          <w:sz w:val="31"/>
          <w:szCs w:val="31"/>
          <w:lang w:val="en-US" w:eastAsia="zh-CN" w:bidi="ar"/>
        </w:rPr>
        <w:t>组织实施阶段</w:t>
      </w:r>
      <w:r>
        <w:rPr>
          <w:rFonts w:hint="eastAsia" w:ascii="Times New Roman" w:hAnsi="Times New Roman" w:eastAsia="楷体" w:cs="楷体"/>
          <w:sz w:val="32"/>
          <w:szCs w:val="32"/>
        </w:rPr>
        <w:t>（</w:t>
      </w:r>
      <w:r>
        <w:rPr>
          <w:rFonts w:hint="eastAsia" w:ascii="Times New Roman" w:hAnsi="Times New Roman" w:eastAsia="楷体" w:cs="楷体"/>
          <w:sz w:val="32"/>
          <w:szCs w:val="32"/>
          <w:lang w:eastAsia="zh-CN"/>
        </w:rPr>
        <w:t>长期开展</w:t>
      </w:r>
      <w:r>
        <w:rPr>
          <w:rFonts w:hint="eastAsia" w:ascii="Times New Roman" w:hAnsi="Times New Roman" w:eastAsia="楷体" w:cs="楷体"/>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仿宋_GB2312"/>
          <w:sz w:val="32"/>
          <w:szCs w:val="32"/>
          <w:lang w:eastAsia="zh-CN"/>
        </w:rPr>
        <w:t>各镇办、</w:t>
      </w:r>
      <w:r>
        <w:rPr>
          <w:rFonts w:hint="eastAsia" w:ascii="Times New Roman" w:hAnsi="Times New Roman" w:eastAsia="仿宋_GB2312" w:cs="仿宋_GB2312"/>
          <w:sz w:val="32"/>
          <w:szCs w:val="32"/>
        </w:rPr>
        <w:t>各行政执法</w:t>
      </w:r>
      <w:r>
        <w:rPr>
          <w:rFonts w:hint="eastAsia" w:ascii="Times New Roman" w:hAnsi="Times New Roman" w:eastAsia="仿宋_GB2312" w:cs="仿宋_GB2312"/>
          <w:sz w:val="32"/>
          <w:szCs w:val="32"/>
          <w:lang w:eastAsia="zh-CN"/>
        </w:rPr>
        <w:t>部门</w:t>
      </w:r>
      <w:r>
        <w:rPr>
          <w:rFonts w:hint="default" w:ascii="Times New Roman" w:hAnsi="Times New Roman" w:eastAsia="仿宋_GB2312" w:cs="Times New Roman"/>
          <w:color w:val="auto"/>
          <w:sz w:val="32"/>
          <w:szCs w:val="32"/>
          <w:lang w:eastAsia="zh-CN"/>
        </w:rPr>
        <w:t>将行政指导融入到行政执法全过程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贯穿在行政执法的事前、事中、事后各执法环节</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做到行政指导在行政执法的全过程覆盖。要切实发挥</w:t>
      </w:r>
      <w:r>
        <w:rPr>
          <w:rFonts w:hint="eastAsia" w:ascii="Times New Roman" w:hAnsi="Times New Roman" w:eastAsia="仿宋_GB2312" w:cs="Times New Roman"/>
          <w:color w:val="auto"/>
          <w:sz w:val="32"/>
          <w:szCs w:val="32"/>
          <w:lang w:eastAsia="zh-CN"/>
        </w:rPr>
        <w:t>部门</w:t>
      </w:r>
      <w:r>
        <w:rPr>
          <w:rFonts w:hint="default" w:ascii="Times New Roman" w:hAnsi="Times New Roman" w:eastAsia="仿宋_GB2312" w:cs="Times New Roman"/>
          <w:color w:val="auto"/>
          <w:sz w:val="32"/>
          <w:szCs w:val="32"/>
          <w:lang w:eastAsia="zh-CN"/>
        </w:rPr>
        <w:t>内设法制机构作用</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加强对本</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lang w:eastAsia="zh-CN"/>
        </w:rPr>
        <w:t>办理的行政指导事项的合法性审查和备案工作。行政执法人员要发挥信息资源和专业优势</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在各自执法领域开展行政指导</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做到善于使用行政指导开展工作</w:t>
      </w:r>
      <w:r>
        <w:rPr>
          <w:rFonts w:hint="eastAsia" w:ascii="Times New Roman" w:hAnsi="Times New Roman" w:eastAsia="仿宋_GB2312" w:cs="Times New Roman"/>
          <w:color w:val="auto"/>
          <w:sz w:val="32"/>
          <w:szCs w:val="32"/>
          <w:lang w:eastAsia="zh-CN"/>
        </w:rPr>
        <w:t>，并做好</w:t>
      </w:r>
      <w:r>
        <w:rPr>
          <w:rFonts w:ascii="Times New Roman" w:hAnsi="Times New Roman" w:eastAsia="仿宋_GB2312" w:cs="仿宋_GB2312"/>
          <w:color w:val="000000"/>
          <w:kern w:val="0"/>
          <w:sz w:val="31"/>
          <w:szCs w:val="31"/>
          <w:lang w:val="en-US" w:eastAsia="zh-CN" w:bidi="ar"/>
        </w:rPr>
        <w:t>行政指导</w:t>
      </w:r>
      <w:r>
        <w:rPr>
          <w:rFonts w:hint="eastAsia" w:ascii="Times New Roman" w:hAnsi="Times New Roman" w:eastAsia="仿宋_GB2312" w:cs="仿宋_GB2312"/>
          <w:color w:val="000000"/>
          <w:kern w:val="0"/>
          <w:sz w:val="31"/>
          <w:szCs w:val="31"/>
          <w:lang w:val="en-US" w:eastAsia="zh-CN" w:bidi="ar"/>
        </w:rPr>
        <w:t>事项登记工作</w:t>
      </w:r>
      <w:r>
        <w:rPr>
          <w:rFonts w:hint="default" w:ascii="Times New Roman" w:hAnsi="Times New Roman" w:eastAsia="仿宋_GB2312" w:cs="Times New Roman"/>
          <w:color w:val="auto"/>
          <w:sz w:val="32"/>
          <w:szCs w:val="32"/>
          <w:lang w:eastAsia="zh-CN"/>
        </w:rPr>
        <w:t>。</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color w:val="auto"/>
          <w:sz w:val="32"/>
          <w:szCs w:val="32"/>
          <w:lang w:eastAsia="zh-CN"/>
        </w:rPr>
        <w:t>县司法局要加强工作指导，对各镇办、各行政执法部门行政指导开展情况进行指导检查，对其</w:t>
      </w:r>
      <w:r>
        <w:rPr>
          <w:rFonts w:hint="default" w:ascii="Times New Roman" w:hAnsi="Times New Roman" w:eastAsia="仿宋_GB2312" w:cs="Times New Roman"/>
          <w:color w:val="auto"/>
          <w:sz w:val="32"/>
          <w:szCs w:val="32"/>
          <w:lang w:eastAsia="zh-CN"/>
        </w:rPr>
        <w:t>制定的实施方案和行政指导事项目录清单进行备案审查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规范行政指导文书</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切实提高行政指导工作水平</w:t>
      </w:r>
      <w:r>
        <w:rPr>
          <w:rFonts w:hint="eastAsia" w:ascii="Times New Roman" w:hAnsi="Times New Roman" w:eastAsia="仿宋_GB2312" w:cs="Times New Roman"/>
          <w:color w:val="auto"/>
          <w:sz w:val="32"/>
          <w:szCs w:val="32"/>
          <w:lang w:eastAsia="zh-CN"/>
        </w:rPr>
        <w:t>。</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Times New Roman" w:hAnsi="Times New Roman" w:eastAsia="楷体" w:cs="楷体"/>
          <w:sz w:val="32"/>
          <w:szCs w:val="32"/>
        </w:rPr>
      </w:pPr>
      <w:r>
        <w:rPr>
          <w:rFonts w:hint="eastAsia" w:ascii="Times New Roman" w:hAnsi="Times New Roman" w:eastAsia="楷体" w:cs="楷体"/>
          <w:sz w:val="32"/>
          <w:szCs w:val="32"/>
          <w:lang w:eastAsia="zh-CN"/>
        </w:rPr>
        <w:t>（三）</w:t>
      </w:r>
      <w:r>
        <w:rPr>
          <w:rFonts w:hint="eastAsia" w:ascii="Times New Roman" w:hAnsi="Times New Roman" w:eastAsia="楷体" w:cs="楷体"/>
          <w:sz w:val="32"/>
          <w:szCs w:val="32"/>
        </w:rPr>
        <w:t>总结提高</w:t>
      </w:r>
      <w:r>
        <w:rPr>
          <w:rFonts w:hint="eastAsia" w:ascii="Times New Roman" w:hAnsi="Times New Roman" w:eastAsia="楷体" w:cs="楷体"/>
          <w:sz w:val="32"/>
          <w:szCs w:val="32"/>
          <w:lang w:eastAsia="zh-CN"/>
        </w:rPr>
        <w:t>阶段</w:t>
      </w:r>
      <w:r>
        <w:rPr>
          <w:rFonts w:hint="eastAsia" w:ascii="Times New Roman" w:hAnsi="Times New Roman" w:eastAsia="楷体" w:cs="楷体"/>
          <w:sz w:val="32"/>
          <w:szCs w:val="32"/>
        </w:rPr>
        <w:t>（</w:t>
      </w:r>
      <w:r>
        <w:rPr>
          <w:rFonts w:hint="eastAsia" w:ascii="Times New Roman" w:hAnsi="Times New Roman" w:eastAsia="楷体" w:cs="楷体"/>
          <w:sz w:val="32"/>
          <w:szCs w:val="32"/>
          <w:lang w:val="en-US" w:eastAsia="zh-CN"/>
        </w:rPr>
        <w:t>2021年</w:t>
      </w:r>
      <w:r>
        <w:rPr>
          <w:rFonts w:hint="eastAsia" w:ascii="Times New Roman" w:hAnsi="Times New Roman" w:eastAsia="楷体" w:cs="楷体"/>
          <w:sz w:val="32"/>
          <w:szCs w:val="32"/>
        </w:rPr>
        <w:t>11月</w:t>
      </w:r>
      <w:r>
        <w:rPr>
          <w:rFonts w:hint="eastAsia" w:ascii="Times New Roman" w:hAnsi="Times New Roman" w:eastAsia="楷体" w:cs="楷体"/>
          <w:sz w:val="32"/>
          <w:szCs w:val="32"/>
          <w:lang w:val="en-US" w:eastAsia="zh-CN"/>
        </w:rPr>
        <w:t>30日前</w:t>
      </w:r>
      <w:r>
        <w:rPr>
          <w:rFonts w:hint="eastAsia" w:ascii="Times New Roman" w:hAnsi="Times New Roman" w:eastAsia="楷体" w:cs="楷体"/>
          <w:sz w:val="32"/>
          <w:szCs w:val="32"/>
        </w:rPr>
        <w:t>）。</w:t>
      </w:r>
    </w:p>
    <w:p>
      <w:pPr>
        <w:pStyle w:val="16"/>
        <w:keepNext w:val="0"/>
        <w:keepLines w:val="0"/>
        <w:pageBreakBefore w:val="0"/>
        <w:widowControl w:val="0"/>
        <w:suppressLineNumbers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仿宋_GB2312"/>
          <w:sz w:val="32"/>
          <w:szCs w:val="32"/>
          <w:lang w:eastAsia="zh-CN"/>
        </w:rPr>
        <w:t>各镇办、</w:t>
      </w:r>
      <w:r>
        <w:rPr>
          <w:rFonts w:hint="eastAsia" w:ascii="Times New Roman" w:hAnsi="Times New Roman" w:eastAsia="仿宋_GB2312" w:cs="仿宋_GB2312"/>
          <w:sz w:val="32"/>
          <w:szCs w:val="32"/>
        </w:rPr>
        <w:t>各行政执法</w:t>
      </w:r>
      <w:r>
        <w:rPr>
          <w:rFonts w:hint="eastAsia" w:ascii="Times New Roman" w:hAnsi="Times New Roman" w:eastAsia="仿宋_GB2312" w:cs="仿宋_GB2312"/>
          <w:sz w:val="32"/>
          <w:szCs w:val="32"/>
          <w:lang w:eastAsia="zh-CN"/>
        </w:rPr>
        <w:t>部门</w:t>
      </w:r>
      <w:r>
        <w:rPr>
          <w:rFonts w:hint="default" w:ascii="Times New Roman" w:hAnsi="Times New Roman" w:eastAsia="仿宋_GB2312" w:cs="Times New Roman"/>
          <w:color w:val="auto"/>
          <w:sz w:val="32"/>
          <w:szCs w:val="32"/>
        </w:rPr>
        <w:t>要在11月底前对本单位推行行政指导工作进展情况、主要成效和经验进行总结</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形成书面报告</w:t>
      </w:r>
      <w:r>
        <w:rPr>
          <w:rFonts w:hint="default" w:ascii="Times New Roman" w:hAnsi="Times New Roman" w:eastAsia="仿宋_GB2312" w:cs="Times New Roman"/>
          <w:color w:val="auto"/>
          <w:sz w:val="32"/>
          <w:szCs w:val="32"/>
          <w:lang w:eastAsia="zh-CN"/>
        </w:rPr>
        <w:t>报送县司法局</w:t>
      </w:r>
      <w:r>
        <w:rPr>
          <w:rFonts w:hint="eastAsia" w:ascii="Times New Roman" w:hAnsi="Times New Roman" w:eastAsia="仿宋_GB2312" w:cs="Times New Roman"/>
          <w:color w:val="auto"/>
          <w:sz w:val="32"/>
          <w:szCs w:val="32"/>
          <w:lang w:eastAsia="zh-CN"/>
        </w:rPr>
        <w:t>行政执法监督</w:t>
      </w:r>
      <w:r>
        <w:rPr>
          <w:rFonts w:hint="default" w:ascii="Times New Roman" w:hAnsi="Times New Roman" w:eastAsia="仿宋_GB2312" w:cs="Times New Roman"/>
          <w:color w:val="auto"/>
          <w:sz w:val="32"/>
          <w:szCs w:val="32"/>
          <w:lang w:eastAsia="zh-CN"/>
        </w:rPr>
        <w:t>科</w:t>
      </w:r>
      <w:r>
        <w:rPr>
          <w:rFonts w:hint="eastAsia" w:ascii="Times New Roman" w:hAnsi="Times New Roman" w:eastAsia="仿宋_GB2312" w:cs="Times New Roman"/>
          <w:color w:val="auto"/>
          <w:sz w:val="32"/>
          <w:szCs w:val="32"/>
          <w:lang w:eastAsia="zh-CN"/>
        </w:rPr>
        <w:t>，同时</w:t>
      </w:r>
      <w:r>
        <w:rPr>
          <w:rFonts w:hint="default" w:ascii="Times New Roman" w:hAnsi="Times New Roman" w:eastAsia="仿宋_GB2312" w:cs="Times New Roman"/>
          <w:color w:val="auto"/>
          <w:sz w:val="32"/>
          <w:szCs w:val="32"/>
        </w:rPr>
        <w:t>要</w:t>
      </w:r>
      <w:r>
        <w:rPr>
          <w:rFonts w:hint="eastAsia" w:ascii="Times New Roman" w:hAnsi="Times New Roman" w:eastAsia="仿宋_GB2312" w:cs="Times New Roman"/>
          <w:color w:val="auto"/>
          <w:sz w:val="32"/>
          <w:szCs w:val="32"/>
          <w:lang w:eastAsia="zh-CN"/>
        </w:rPr>
        <w:t>注意</w:t>
      </w:r>
      <w:r>
        <w:rPr>
          <w:rFonts w:hint="default" w:ascii="Times New Roman" w:hAnsi="Times New Roman" w:eastAsia="仿宋_GB2312" w:cs="Times New Roman"/>
          <w:color w:val="auto"/>
          <w:sz w:val="32"/>
          <w:szCs w:val="32"/>
          <w:lang w:eastAsia="zh-CN"/>
        </w:rPr>
        <w:t>收集编写行政指导典型案例</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对有助于实现行政管理目标且成效明显的行政指导行为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予以</w:t>
      </w:r>
      <w:r>
        <w:rPr>
          <w:rFonts w:hint="eastAsia" w:ascii="Times New Roman" w:hAnsi="Times New Roman" w:eastAsia="仿宋_GB2312" w:cs="Times New Roman"/>
          <w:color w:val="auto"/>
          <w:sz w:val="32"/>
          <w:szCs w:val="32"/>
          <w:lang w:eastAsia="zh-CN"/>
        </w:rPr>
        <w:t>优化提升，</w:t>
      </w:r>
      <w:r>
        <w:rPr>
          <w:rFonts w:hint="default" w:ascii="Times New Roman" w:hAnsi="Times New Roman" w:eastAsia="仿宋_GB2312" w:cs="Times New Roman"/>
          <w:color w:val="auto"/>
          <w:sz w:val="32"/>
          <w:szCs w:val="32"/>
          <w:lang w:eastAsia="zh-CN"/>
        </w:rPr>
        <w:t>推动行政指导工作深入开展</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对</w:t>
      </w:r>
      <w:r>
        <w:rPr>
          <w:rFonts w:hint="eastAsia" w:ascii="Times New Roman" w:hAnsi="Times New Roman" w:eastAsia="仿宋_GB2312" w:cs="Times New Roman"/>
          <w:color w:val="auto"/>
          <w:sz w:val="32"/>
          <w:szCs w:val="32"/>
          <w:lang w:eastAsia="zh-CN"/>
        </w:rPr>
        <w:t>成效</w:t>
      </w:r>
      <w:r>
        <w:rPr>
          <w:rFonts w:hint="default" w:ascii="Times New Roman" w:hAnsi="Times New Roman" w:eastAsia="仿宋_GB2312" w:cs="Times New Roman"/>
          <w:color w:val="auto"/>
          <w:sz w:val="32"/>
          <w:szCs w:val="32"/>
          <w:lang w:eastAsia="zh-CN"/>
        </w:rPr>
        <w:t>不明显</w:t>
      </w:r>
      <w:r>
        <w:rPr>
          <w:rFonts w:hint="eastAsia" w:ascii="Times New Roman" w:hAnsi="Times New Roman" w:eastAsia="仿宋_GB2312" w:cs="Times New Roman"/>
          <w:color w:val="auto"/>
          <w:sz w:val="32"/>
          <w:szCs w:val="32"/>
          <w:lang w:eastAsia="zh-CN"/>
        </w:rPr>
        <w:t>或</w:t>
      </w:r>
      <w:r>
        <w:rPr>
          <w:rFonts w:hint="default" w:ascii="Times New Roman" w:hAnsi="Times New Roman" w:eastAsia="仿宋_GB2312" w:cs="Times New Roman"/>
          <w:color w:val="auto"/>
          <w:sz w:val="32"/>
          <w:szCs w:val="32"/>
          <w:lang w:eastAsia="zh-CN"/>
        </w:rPr>
        <w:t>缺乏科学性的行政指导行为</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进行调整或者取消。</w:t>
      </w:r>
    </w:p>
    <w:p>
      <w:pPr>
        <w:pStyle w:val="6"/>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黑体" w:cs="黑体"/>
          <w:sz w:val="32"/>
          <w:szCs w:val="32"/>
        </w:rPr>
      </w:pPr>
      <w:r>
        <w:rPr>
          <w:rFonts w:hint="eastAsia" w:ascii="Times New Roman" w:hAnsi="Times New Roman" w:eastAsia="黑体" w:cs="黑体"/>
          <w:sz w:val="32"/>
          <w:szCs w:val="32"/>
          <w:lang w:eastAsia="zh-CN"/>
        </w:rPr>
        <w:t>四</w:t>
      </w:r>
      <w:r>
        <w:rPr>
          <w:rFonts w:hint="eastAsia" w:ascii="Times New Roman" w:hAnsi="Times New Roman" w:eastAsia="黑体" w:cs="黑体"/>
          <w:sz w:val="32"/>
          <w:szCs w:val="32"/>
        </w:rPr>
        <w:t>、工作要求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sz w:val="32"/>
          <w:szCs w:val="32"/>
        </w:rPr>
        <w:t>（一）加强组织领导</w:t>
      </w:r>
      <w:r>
        <w:rPr>
          <w:rFonts w:hint="eastAsia" w:ascii="Times New Roman" w:hAnsi="Times New Roman" w:eastAsia="楷体" w:cs="楷体"/>
          <w:sz w:val="32"/>
          <w:szCs w:val="32"/>
          <w:lang w:eastAsia="zh-CN"/>
        </w:rPr>
        <w:t>，</w:t>
      </w:r>
      <w:r>
        <w:rPr>
          <w:rFonts w:hint="eastAsia" w:ascii="Times New Roman" w:hAnsi="Times New Roman" w:eastAsia="楷体" w:cs="楷体"/>
          <w:sz w:val="32"/>
          <w:szCs w:val="32"/>
        </w:rPr>
        <w:t>健全制度体系。</w:t>
      </w:r>
      <w:r>
        <w:rPr>
          <w:rFonts w:hint="eastAsia" w:ascii="Times New Roman" w:hAnsi="Times New Roman" w:eastAsia="仿宋_GB2312" w:cs="仿宋_GB2312"/>
          <w:sz w:val="32"/>
          <w:szCs w:val="32"/>
          <w:lang w:eastAsia="zh-CN"/>
        </w:rPr>
        <w:t>各镇办、</w:t>
      </w:r>
      <w:r>
        <w:rPr>
          <w:rFonts w:hint="eastAsia" w:ascii="Times New Roman" w:hAnsi="Times New Roman" w:eastAsia="仿宋_GB2312" w:cs="仿宋_GB2312"/>
          <w:sz w:val="32"/>
          <w:szCs w:val="32"/>
        </w:rPr>
        <w:t>各行政执法</w:t>
      </w:r>
      <w:r>
        <w:rPr>
          <w:rFonts w:hint="eastAsia" w:ascii="Times New Roman" w:hAnsi="Times New Roman" w:eastAsia="仿宋_GB2312" w:cs="仿宋_GB2312"/>
          <w:sz w:val="32"/>
          <w:szCs w:val="32"/>
          <w:lang w:eastAsia="zh-CN"/>
        </w:rPr>
        <w:t>部门</w:t>
      </w:r>
      <w:r>
        <w:rPr>
          <w:rFonts w:hint="eastAsia" w:ascii="Times New Roman" w:hAnsi="Times New Roman" w:eastAsia="仿宋_GB2312" w:cs="仿宋_GB2312"/>
          <w:sz w:val="32"/>
          <w:szCs w:val="32"/>
        </w:rPr>
        <w:t>和执法人员要切实转变观念</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提高认识</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将行政指导作为加强管理的重要抓手。要建立“一把手”负总责、分管领导重点抓、法制机构审查指导、执法人员具体实施的工作体制机制。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sz w:val="32"/>
          <w:szCs w:val="32"/>
        </w:rPr>
        <w:t>（二）加大落实力度</w:t>
      </w:r>
      <w:r>
        <w:rPr>
          <w:rFonts w:hint="eastAsia" w:ascii="Times New Roman" w:hAnsi="Times New Roman" w:eastAsia="楷体" w:cs="楷体"/>
          <w:sz w:val="32"/>
          <w:szCs w:val="32"/>
          <w:lang w:eastAsia="zh-CN"/>
        </w:rPr>
        <w:t>，</w:t>
      </w:r>
      <w:r>
        <w:rPr>
          <w:rFonts w:hint="eastAsia" w:ascii="Times New Roman" w:hAnsi="Times New Roman" w:eastAsia="楷体" w:cs="楷体"/>
          <w:sz w:val="32"/>
          <w:szCs w:val="32"/>
        </w:rPr>
        <w:t>稳步推进实施。</w:t>
      </w:r>
      <w:r>
        <w:rPr>
          <w:rFonts w:hint="eastAsia" w:ascii="Times New Roman" w:hAnsi="Times New Roman" w:eastAsia="仿宋_GB2312" w:cs="仿宋_GB2312"/>
          <w:sz w:val="32"/>
          <w:szCs w:val="32"/>
          <w:lang w:eastAsia="zh-CN"/>
        </w:rPr>
        <w:t>各镇办、</w:t>
      </w:r>
      <w:r>
        <w:rPr>
          <w:rFonts w:hint="eastAsia" w:ascii="Times New Roman" w:hAnsi="Times New Roman" w:eastAsia="仿宋_GB2312" w:cs="仿宋_GB2312"/>
          <w:sz w:val="32"/>
          <w:szCs w:val="32"/>
        </w:rPr>
        <w:t>各行政执法部门要细化工作落实措施</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做到行政指导具体化、规范化；要结合工作实际</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制定、完善行政指导程序和行政指导文书；要避免用行政指导代替行政执法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造成行政不作为或乱作为；注意行政指导的合法适当</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避免因行政指导产生行政纠纷</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实现行政指导与规范执法的高度和谐。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楷体" w:cs="楷体"/>
          <w:sz w:val="32"/>
          <w:szCs w:val="32"/>
        </w:rPr>
        <w:t>（三）积极探索创新</w:t>
      </w:r>
      <w:r>
        <w:rPr>
          <w:rFonts w:hint="eastAsia" w:ascii="Times New Roman" w:hAnsi="Times New Roman" w:eastAsia="楷体" w:cs="楷体"/>
          <w:sz w:val="32"/>
          <w:szCs w:val="32"/>
          <w:lang w:eastAsia="zh-CN"/>
        </w:rPr>
        <w:t>，</w:t>
      </w:r>
      <w:r>
        <w:rPr>
          <w:rFonts w:hint="eastAsia" w:ascii="Times New Roman" w:hAnsi="Times New Roman" w:eastAsia="楷体" w:cs="楷体"/>
          <w:sz w:val="32"/>
          <w:szCs w:val="32"/>
        </w:rPr>
        <w:t>务求工作实效。</w:t>
      </w:r>
      <w:r>
        <w:rPr>
          <w:rFonts w:hint="eastAsia" w:ascii="Times New Roman" w:hAnsi="Times New Roman" w:eastAsia="仿宋_GB2312" w:cs="仿宋_GB2312"/>
          <w:sz w:val="32"/>
          <w:szCs w:val="32"/>
          <w:lang w:eastAsia="zh-CN"/>
        </w:rPr>
        <w:t>各镇办、</w:t>
      </w:r>
      <w:r>
        <w:rPr>
          <w:rFonts w:hint="eastAsia" w:ascii="Times New Roman" w:hAnsi="Times New Roman" w:eastAsia="仿宋_GB2312" w:cs="仿宋_GB2312"/>
          <w:sz w:val="32"/>
          <w:szCs w:val="32"/>
        </w:rPr>
        <w:t>各行政执法</w:t>
      </w:r>
      <w:r>
        <w:rPr>
          <w:rFonts w:hint="eastAsia" w:ascii="Times New Roman" w:hAnsi="Times New Roman" w:eastAsia="仿宋_GB2312" w:cs="仿宋_GB2312"/>
          <w:sz w:val="32"/>
          <w:szCs w:val="32"/>
          <w:lang w:eastAsia="zh-CN"/>
        </w:rPr>
        <w:t>部门</w:t>
      </w:r>
      <w:r>
        <w:rPr>
          <w:rFonts w:hint="eastAsia" w:ascii="Times New Roman" w:hAnsi="Times New Roman" w:eastAsia="仿宋_GB2312" w:cs="仿宋_GB2312"/>
          <w:sz w:val="32"/>
          <w:szCs w:val="32"/>
        </w:rPr>
        <w:t>要积极探索开展行政指导的有效途径</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创新工作思路</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逐步完善行政指导工作机制。要加强学习培训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确保执法人员准确把握行政指导的原则要求和方式方法</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提高工作质效。</w:t>
      </w:r>
    </w:p>
    <w:p>
      <w:pPr>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lang w:val="en-US" w:eastAsia="zh-CN"/>
        </w:rPr>
      </w:pPr>
    </w:p>
    <w:p>
      <w:pPr>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640" w:firstLineChars="200"/>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附件：1.行政指导</w:t>
      </w:r>
      <w:r>
        <w:rPr>
          <w:rFonts w:hint="eastAsia" w:ascii="Times New Roman" w:hAnsi="Times New Roman" w:eastAsia="仿宋_GB2312" w:cs="Times New Roman"/>
          <w:color w:val="auto"/>
          <w:kern w:val="0"/>
          <w:sz w:val="32"/>
          <w:szCs w:val="32"/>
          <w:lang w:val="en-US" w:eastAsia="zh-CN"/>
        </w:rPr>
        <w:t>文书</w:t>
      </w:r>
      <w:r>
        <w:rPr>
          <w:rFonts w:hint="default" w:ascii="Times New Roman" w:hAnsi="Times New Roman" w:eastAsia="仿宋_GB2312" w:cs="Times New Roman"/>
          <w:color w:val="auto"/>
          <w:kern w:val="0"/>
          <w:sz w:val="32"/>
          <w:szCs w:val="32"/>
          <w:lang w:val="en-US" w:eastAsia="zh-CN"/>
        </w:rPr>
        <w:t>（参考样本）</w:t>
      </w:r>
    </w:p>
    <w:p>
      <w:pPr>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1600" w:firstLineChars="500"/>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eastAsia="仿宋_GB2312" w:cs="Times New Roman"/>
          <w:color w:val="auto"/>
          <w:kern w:val="0"/>
          <w:sz w:val="32"/>
          <w:szCs w:val="32"/>
          <w:lang w:val="en-US" w:eastAsia="zh-CN"/>
        </w:rPr>
        <w:t>2.</w:t>
      </w:r>
      <w:r>
        <w:rPr>
          <w:rFonts w:hint="eastAsia" w:ascii="Times New Roman" w:hAnsi="Times New Roman" w:eastAsia="仿宋_GB2312" w:cs="Times New Roman"/>
          <w:color w:val="auto"/>
          <w:kern w:val="0"/>
          <w:sz w:val="32"/>
          <w:szCs w:val="32"/>
          <w:lang w:val="en-US" w:eastAsia="zh-CN"/>
        </w:rPr>
        <w:t>行政指导意见书（参考样本）</w:t>
      </w:r>
    </w:p>
    <w:p>
      <w:pPr>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1600" w:firstLineChars="500"/>
        <w:textAlignment w:val="auto"/>
        <w:outlineLvl w:val="9"/>
        <w:rPr>
          <w:rFonts w:hint="eastAsia" w:ascii="Times New Roman" w:hAnsi="Times New Roman" w:eastAsia="仿宋_GB2312" w:cs="Times New Roman"/>
          <w:color w:val="auto"/>
          <w:kern w:val="0"/>
          <w:sz w:val="32"/>
          <w:szCs w:val="32"/>
          <w:lang w:val="en-US" w:eastAsia="zh-CN"/>
        </w:rPr>
      </w:pPr>
      <w:r>
        <w:rPr>
          <w:rFonts w:hint="eastAsia" w:ascii="Times New Roman" w:hAnsi="Times New Roman" w:eastAsia="仿宋_GB2312" w:cs="Times New Roman"/>
          <w:color w:val="auto"/>
          <w:kern w:val="0"/>
          <w:sz w:val="32"/>
          <w:szCs w:val="32"/>
          <w:lang w:val="en-US" w:eastAsia="zh-CN"/>
        </w:rPr>
        <w:t>3.行政指导事项登记簿（参考样本）</w:t>
      </w:r>
    </w:p>
    <w:p>
      <w:pPr>
        <w:keepNext w:val="0"/>
        <w:keepLines w:val="0"/>
        <w:pageBreakBefore w:val="0"/>
        <w:widowControl w:val="0"/>
        <w:kinsoku/>
        <w:wordWrap/>
        <w:overflowPunct/>
        <w:topLinePunct w:val="0"/>
        <w:autoSpaceDE/>
        <w:autoSpaceDN/>
        <w:bidi w:val="0"/>
        <w:spacing w:before="0" w:beforeLines="0" w:after="0" w:afterLines="0" w:line="560" w:lineRule="exact"/>
        <w:ind w:left="0" w:leftChars="0" w:right="0" w:rightChars="0" w:firstLine="1600" w:firstLineChars="500"/>
        <w:textAlignment w:val="auto"/>
        <w:outlineLvl w:val="9"/>
        <w:rPr>
          <w:rFonts w:hint="default" w:ascii="Times New Roman" w:hAnsi="Times New Roman" w:eastAsia="黑体" w:cs="Times New Roman"/>
          <w:color w:val="auto"/>
          <w:kern w:val="0"/>
          <w:sz w:val="44"/>
          <w:szCs w:val="44"/>
          <w:lang w:val="en-US" w:eastAsia="zh-CN"/>
        </w:rPr>
      </w:pPr>
      <w:r>
        <w:rPr>
          <w:rFonts w:hint="eastAsia" w:ascii="Times New Roman" w:hAnsi="Times New Roman" w:eastAsia="仿宋_GB2312" w:cs="Times New Roman"/>
          <w:color w:val="auto"/>
          <w:kern w:val="0"/>
          <w:sz w:val="32"/>
          <w:szCs w:val="32"/>
          <w:lang w:val="en-US" w:eastAsia="zh-CN"/>
        </w:rPr>
        <w:t>4.高青</w:t>
      </w:r>
      <w:r>
        <w:rPr>
          <w:rFonts w:hint="default" w:ascii="Times New Roman" w:hAnsi="Times New Roman" w:eastAsia="仿宋_GB2312" w:cs="Times New Roman"/>
          <w:color w:val="auto"/>
          <w:kern w:val="0"/>
          <w:sz w:val="32"/>
          <w:szCs w:val="32"/>
          <w:lang w:val="en-US" w:eastAsia="zh-CN"/>
        </w:rPr>
        <w:t>县××局行政指导目录清单（参考样本）</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br w:type="page"/>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行政指导文书</w:t>
      </w:r>
      <w:r>
        <w:rPr>
          <w:rFonts w:hint="eastAsia" w:ascii="方正小标宋简体" w:hAnsi="方正小标宋简体" w:eastAsia="方正小标宋简体" w:cs="方正小标宋简体"/>
          <w:sz w:val="44"/>
          <w:szCs w:val="44"/>
          <w:lang w:val="en-US" w:eastAsia="zh-CN"/>
        </w:rPr>
        <w:t>（参考样本）</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———局指导书</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28"/>
          <w:szCs w:val="28"/>
          <w:lang w:val="en-US" w:eastAsia="zh-CN"/>
        </w:rPr>
        <w:t>号</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单位：（公章）</w:t>
      </w:r>
    </w:p>
    <w:tbl>
      <w:tblPr>
        <w:tblStyle w:val="8"/>
        <w:tblpPr w:leftFromText="180" w:rightFromText="180" w:vertAnchor="text" w:horzAnchor="page" w:tblpX="1755" w:tblpY="394"/>
        <w:tblOverlap w:val="never"/>
        <w:tblW w:w="8987" w:type="dxa"/>
        <w:tblInd w:w="-2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067"/>
        <w:gridCol w:w="1502"/>
        <w:gridCol w:w="3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6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指导时间</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p>
        </w:tc>
        <w:tc>
          <w:tcPr>
            <w:tcW w:w="1502"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指导地点</w:t>
            </w:r>
          </w:p>
        </w:tc>
        <w:tc>
          <w:tcPr>
            <w:tcW w:w="3756"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66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指导人员</w:t>
            </w:r>
          </w:p>
        </w:tc>
        <w:tc>
          <w:tcPr>
            <w:tcW w:w="206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eastAsia="zh-CN"/>
              </w:rPr>
            </w:pPr>
          </w:p>
        </w:tc>
        <w:tc>
          <w:tcPr>
            <w:tcW w:w="1502"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指导对象</w:t>
            </w:r>
          </w:p>
        </w:tc>
        <w:tc>
          <w:tcPr>
            <w:tcW w:w="3756"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1" w:hRule="atLeast"/>
        </w:trPr>
        <w:tc>
          <w:tcPr>
            <w:tcW w:w="8987"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指导内容（事项）：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8987"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指导取得的效益、效果：</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br w:type="page"/>
      </w:r>
    </w:p>
    <w:p>
      <w:pPr>
        <w:pStyle w:val="12"/>
        <w:keepNext w:val="0"/>
        <w:keepLines w:val="0"/>
        <w:pageBreakBefore w:val="0"/>
        <w:widowControl w:val="0"/>
        <w:kinsoku/>
        <w:wordWrap/>
        <w:overflowPunct/>
        <w:topLinePunct w:val="0"/>
        <w:autoSpaceDE/>
        <w:autoSpaceDN/>
        <w:bidi w:val="0"/>
        <w:adjustRightInd/>
        <w:snapToGrid/>
        <w:spacing w:after="120" w:line="560" w:lineRule="exact"/>
        <w:jc w:val="both"/>
        <w:textAlignment w:val="auto"/>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2</w:t>
      </w:r>
    </w:p>
    <w:p>
      <w:pPr>
        <w:pStyle w:val="12"/>
        <w:keepNext w:val="0"/>
        <w:keepLines w:val="0"/>
        <w:pageBreakBefore w:val="0"/>
        <w:widowControl w:val="0"/>
        <w:kinsoku/>
        <w:wordWrap/>
        <w:overflowPunct/>
        <w:topLinePunct w:val="0"/>
        <w:autoSpaceDE/>
        <w:autoSpaceDN/>
        <w:bidi w:val="0"/>
        <w:adjustRightInd/>
        <w:snapToGrid/>
        <w:spacing w:after="120" w:line="560" w:lineRule="exact"/>
        <w:jc w:val="both"/>
        <w:textAlignment w:val="auto"/>
        <w:rPr>
          <w:rFonts w:hint="eastAsia" w:ascii="黑体" w:hAnsi="黑体" w:eastAsia="黑体" w:cs="黑体"/>
          <w:color w:val="000000"/>
          <w:sz w:val="32"/>
          <w:szCs w:val="32"/>
          <w:lang w:val="en-US" w:eastAsia="zh-CN"/>
        </w:rPr>
      </w:pPr>
    </w:p>
    <w:p>
      <w:pPr>
        <w:pStyle w:val="12"/>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eastAsia" w:ascii="仿宋_GB2312" w:hAnsi="楷体_GB2312" w:eastAsia="方正小标宋简体" w:cs="楷体_GB2312"/>
          <w:lang w:eastAsia="zh-CN"/>
        </w:rPr>
      </w:pPr>
      <w:r>
        <w:rPr>
          <w:rFonts w:hint="eastAsia" w:ascii="方正小标宋简体" w:hAnsi="方正小标宋简体" w:eastAsia="方正小标宋简体" w:cs="方正小标宋简体"/>
          <w:color w:val="000000"/>
          <w:sz w:val="44"/>
          <w:szCs w:val="44"/>
        </w:rPr>
        <w:t>行政指导意见书</w:t>
      </w:r>
      <w:r>
        <w:rPr>
          <w:rFonts w:hint="eastAsia" w:ascii="方正小标宋简体" w:hAnsi="方正小标宋简体" w:eastAsia="方正小标宋简体" w:cs="方正小标宋简体"/>
          <w:color w:val="000000"/>
          <w:sz w:val="44"/>
          <w:szCs w:val="44"/>
          <w:lang w:val="en-US" w:eastAsia="zh-CN"/>
        </w:rPr>
        <w:t>（参考样本）</w:t>
      </w:r>
    </w:p>
    <w:p>
      <w:pPr>
        <w:pStyle w:val="12"/>
        <w:keepNext w:val="0"/>
        <w:keepLines w:val="0"/>
        <w:pageBreakBefore w:val="0"/>
        <w:widowControl w:val="0"/>
        <w:kinsoku/>
        <w:wordWrap/>
        <w:overflowPunct/>
        <w:topLinePunct w:val="0"/>
        <w:autoSpaceDE/>
        <w:autoSpaceDN/>
        <w:bidi w:val="0"/>
        <w:adjustRightInd/>
        <w:snapToGrid/>
        <w:spacing w:after="120" w:line="560" w:lineRule="exact"/>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———局指导意见书</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w:t>
      </w:r>
      <w:r>
        <w:rPr>
          <w:rFonts w:hint="eastAsia" w:ascii="仿宋_GB2312" w:hAnsi="仿宋_GB2312" w:eastAsia="仿宋_GB2312" w:cs="仿宋_GB2312"/>
          <w:sz w:val="28"/>
          <w:szCs w:val="28"/>
          <w:lang w:val="en-US" w:eastAsia="zh-CN"/>
        </w:rPr>
        <w:t>号</w:t>
      </w:r>
    </w:p>
    <w:p>
      <w:pPr>
        <w:pStyle w:val="12"/>
        <w:keepNext w:val="0"/>
        <w:keepLines w:val="0"/>
        <w:pageBreakBefore w:val="0"/>
        <w:widowControl w:val="0"/>
        <w:kinsoku/>
        <w:wordWrap/>
        <w:overflowPunct/>
        <w:topLinePunct w:val="0"/>
        <w:autoSpaceDE/>
        <w:autoSpaceDN/>
        <w:bidi w:val="0"/>
        <w:adjustRightInd/>
        <w:snapToGrid/>
        <w:spacing w:after="120" w:line="560" w:lineRule="exact"/>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w:t>
      </w:r>
    </w:p>
    <w:p>
      <w:pPr>
        <w:pStyle w:val="12"/>
        <w:keepNext w:val="0"/>
        <w:keepLines w:val="0"/>
        <w:pageBreakBefore w:val="0"/>
        <w:widowControl w:val="0"/>
        <w:kinsoku/>
        <w:wordWrap/>
        <w:overflowPunct/>
        <w:topLinePunct w:val="0"/>
        <w:autoSpaceDE/>
        <w:autoSpaceDN/>
        <w:bidi w:val="0"/>
        <w:adjustRightInd/>
        <w:snapToGrid/>
        <w:spacing w:after="120"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关于你（单位）存在的</w:t>
      </w:r>
      <w:r>
        <w:rPr>
          <w:rFonts w:hint="eastAsia" w:ascii="仿宋_GB2312" w:hAnsi="仿宋_GB2312" w:eastAsia="仿宋_GB2312" w:cs="仿宋_GB2312"/>
          <w:color w:val="000000"/>
          <w:sz w:val="32"/>
          <w:szCs w:val="32"/>
          <w:lang w:val="en-US" w:eastAsia="zh-CN"/>
        </w:rPr>
        <w:t>---问题，现提出以下指导意见：</w:t>
      </w:r>
    </w:p>
    <w:p>
      <w:pPr>
        <w:pStyle w:val="1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存在问题：</w:t>
      </w:r>
    </w:p>
    <w:p>
      <w:pPr>
        <w:pStyle w:val="13"/>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指导意见：</w:t>
      </w:r>
    </w:p>
    <w:p>
      <w:pPr>
        <w:pStyle w:val="13"/>
        <w:keepNext w:val="0"/>
        <w:keepLines w:val="0"/>
        <w:pageBreakBefore w:val="0"/>
        <w:widowControl w:val="0"/>
        <w:kinsoku/>
        <w:wordWrap/>
        <w:overflowPunct/>
        <w:topLinePunct w:val="0"/>
        <w:autoSpaceDE/>
        <w:autoSpaceDN/>
        <w:bidi w:val="0"/>
        <w:adjustRightInd/>
        <w:snapToGrid/>
        <w:spacing w:line="560" w:lineRule="exact"/>
        <w:ind w:firstLine="960" w:firstLineChars="300"/>
        <w:jc w:val="left"/>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w:t>
      </w:r>
    </w:p>
    <w:p>
      <w:pPr>
        <w:pStyle w:val="13"/>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你（单位）在落实以上指导意见时遇到问题，请及时与行政指导人员联系，指导联系人：  </w:t>
      </w:r>
      <w:r>
        <w:rPr>
          <w:rFonts w:hint="eastAsia" w:ascii="仿宋_GB2312" w:hAnsi="仿宋_GB2312" w:eastAsia="仿宋_GB2312" w:cs="仿宋_GB2312"/>
          <w:color w:val="000000"/>
          <w:sz w:val="32"/>
          <w:szCs w:val="32"/>
          <w:lang w:val="en-US" w:eastAsia="zh-CN"/>
        </w:rPr>
        <w:tab/>
      </w:r>
      <w:r>
        <w:rPr>
          <w:rFonts w:hint="eastAsia" w:ascii="仿宋_GB2312" w:hAnsi="仿宋_GB2312" w:eastAsia="仿宋_GB2312" w:cs="仿宋_GB2312"/>
          <w:color w:val="000000"/>
          <w:sz w:val="32"/>
          <w:szCs w:val="32"/>
          <w:lang w:val="en-US" w:eastAsia="zh-CN"/>
        </w:rPr>
        <w:t>联系电话：</w:t>
      </w:r>
    </w:p>
    <w:p>
      <w:pPr>
        <w:pStyle w:val="13"/>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lang w:val="en-US" w:eastAsia="zh-CN"/>
        </w:rPr>
      </w:pPr>
    </w:p>
    <w:p>
      <w:pPr>
        <w:pStyle w:val="13"/>
        <w:keepNext w:val="0"/>
        <w:keepLines w:val="0"/>
        <w:pageBreakBefore w:val="0"/>
        <w:widowControl w:val="0"/>
        <w:kinsoku/>
        <w:wordWrap/>
        <w:overflowPunct/>
        <w:topLinePunct w:val="0"/>
        <w:autoSpaceDE/>
        <w:autoSpaceDN/>
        <w:bidi w:val="0"/>
        <w:adjustRightInd/>
        <w:snapToGrid/>
        <w:spacing w:line="560" w:lineRule="exact"/>
        <w:ind w:firstLine="6080" w:firstLineChars="19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（单位印章）</w:t>
      </w:r>
    </w:p>
    <w:p>
      <w:pPr>
        <w:pStyle w:val="13"/>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sz w:val="32"/>
          <w:szCs w:val="32"/>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rPr>
      </w:pPr>
      <w:r>
        <w:rPr>
          <w:rFonts w:hint="eastAsia" w:ascii="仿宋_GB2312" w:hAnsi="仿宋_GB2312" w:eastAsia="仿宋_GB2312" w:cs="仿宋_GB2312"/>
          <w:color w:val="000000"/>
          <w:sz w:val="32"/>
          <w:szCs w:val="32"/>
        </w:rPr>
        <w:br w:type="page"/>
      </w:r>
    </w:p>
    <w:p>
      <w:pPr>
        <w:pStyle w:val="14"/>
        <w:keepNext w:val="0"/>
        <w:keepLines w:val="0"/>
        <w:pageBreakBefore w:val="0"/>
        <w:widowControl w:val="0"/>
        <w:kinsoku/>
        <w:wordWrap/>
        <w:overflowPunct/>
        <w:topLinePunct w:val="0"/>
        <w:autoSpaceDE/>
        <w:autoSpaceDN/>
        <w:bidi w:val="0"/>
        <w:adjustRightInd/>
        <w:snapToGrid/>
        <w:spacing w:after="560" w:line="560" w:lineRule="exact"/>
        <w:jc w:val="left"/>
        <w:textAlignment w:val="auto"/>
        <w:rPr>
          <w:rFonts w:hint="eastAsia" w:ascii="黑体" w:hAnsi="黑体" w:eastAsia="黑体" w:cs="黑体"/>
          <w:color w:val="000000"/>
          <w:sz w:val="32"/>
          <w:szCs w:val="32"/>
          <w:lang w:val="en-US" w:eastAsia="zh-CN"/>
        </w:rPr>
      </w:pPr>
      <w:bookmarkStart w:id="0" w:name="bookmark50"/>
      <w:bookmarkStart w:id="1" w:name="bookmark51"/>
      <w:bookmarkStart w:id="2" w:name="bookmark49"/>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3</w:t>
      </w:r>
    </w:p>
    <w:p>
      <w:pPr>
        <w:pStyle w:val="14"/>
        <w:keepNext w:val="0"/>
        <w:keepLines w:val="0"/>
        <w:pageBreakBefore w:val="0"/>
        <w:widowControl w:val="0"/>
        <w:kinsoku/>
        <w:wordWrap/>
        <w:overflowPunct/>
        <w:topLinePunct w:val="0"/>
        <w:autoSpaceDE/>
        <w:autoSpaceDN/>
        <w:bidi w:val="0"/>
        <w:adjustRightInd/>
        <w:snapToGrid/>
        <w:spacing w:after="560" w:line="560" w:lineRule="exact"/>
        <w:jc w:val="center"/>
        <w:textAlignment w:val="auto"/>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color w:val="000000"/>
        </w:rPr>
        <w:t>行政指导</w:t>
      </w:r>
      <w:r>
        <w:rPr>
          <w:rFonts w:hint="eastAsia" w:ascii="方正小标宋简体" w:hAnsi="方正小标宋简体" w:eastAsia="方正小标宋简体" w:cs="方正小标宋简体"/>
          <w:color w:val="000000"/>
          <w:lang w:eastAsia="zh-CN"/>
        </w:rPr>
        <w:t>事项</w:t>
      </w:r>
      <w:bookmarkEnd w:id="0"/>
      <w:bookmarkEnd w:id="1"/>
      <w:bookmarkEnd w:id="2"/>
      <w:r>
        <w:rPr>
          <w:rFonts w:hint="eastAsia" w:ascii="方正小标宋简体" w:hAnsi="方正小标宋简体" w:eastAsia="方正小标宋简体" w:cs="方正小标宋简体"/>
          <w:color w:val="000000"/>
          <w:lang w:eastAsia="zh-CN"/>
        </w:rPr>
        <w:t>登记簿</w:t>
      </w:r>
      <w:r>
        <w:rPr>
          <w:rFonts w:hint="eastAsia" w:ascii="方正小标宋简体" w:hAnsi="方正小标宋简体" w:eastAsia="方正小标宋简体" w:cs="方正小标宋简体"/>
          <w:color w:val="000000"/>
          <w:lang w:val="en-US" w:eastAsia="zh-CN"/>
        </w:rPr>
        <w:t>（参考样本）</w:t>
      </w:r>
    </w:p>
    <w:tbl>
      <w:tblPr>
        <w:tblStyle w:val="7"/>
        <w:tblW w:w="9160" w:type="dxa"/>
        <w:jc w:val="center"/>
        <w:tblLayout w:type="fixed"/>
        <w:tblCellMar>
          <w:top w:w="0" w:type="dxa"/>
          <w:left w:w="10" w:type="dxa"/>
          <w:bottom w:w="0" w:type="dxa"/>
          <w:right w:w="10" w:type="dxa"/>
        </w:tblCellMar>
      </w:tblPr>
      <w:tblGrid>
        <w:gridCol w:w="774"/>
        <w:gridCol w:w="1931"/>
        <w:gridCol w:w="3161"/>
        <w:gridCol w:w="1931"/>
        <w:gridCol w:w="1363"/>
      </w:tblGrid>
      <w:tr>
        <w:tblPrEx>
          <w:tblCellMar>
            <w:top w:w="0" w:type="dxa"/>
            <w:left w:w="10" w:type="dxa"/>
            <w:bottom w:w="0" w:type="dxa"/>
            <w:right w:w="10" w:type="dxa"/>
          </w:tblCellMar>
        </w:tblPrEx>
        <w:trPr>
          <w:trHeight w:val="1082" w:hRule="atLeast"/>
          <w:jc w:val="center"/>
        </w:trPr>
        <w:tc>
          <w:tcPr>
            <w:tcW w:w="774" w:type="dxa"/>
            <w:tcBorders>
              <w:top w:val="single" w:color="auto" w:sz="4" w:space="0"/>
              <w:left w:val="single" w:color="auto" w:sz="4" w:space="0"/>
            </w:tcBorders>
            <w:shd w:val="clear" w:color="auto" w:fill="FFFFFF"/>
            <w:noWrap w:val="0"/>
            <w:vAlign w:val="center"/>
          </w:tcPr>
          <w:p>
            <w:pPr>
              <w:pStyle w:val="15"/>
              <w:keepNext w:val="0"/>
              <w:keepLines w:val="0"/>
              <w:pageBreakBefore w:val="0"/>
              <w:widowControl w:val="0"/>
              <w:kinsoku/>
              <w:overflowPunct/>
              <w:topLinePunct w:val="0"/>
              <w:autoSpaceDE/>
              <w:autoSpaceDN/>
              <w:bidi w:val="0"/>
              <w:adjustRightInd/>
              <w:snapToGrid/>
              <w:spacing w:line="312" w:lineRule="exact"/>
              <w:ind w:firstLine="0"/>
              <w:jc w:val="center"/>
              <w:textAlignment w:val="auto"/>
              <w:rPr>
                <w:rFonts w:hint="eastAsia" w:ascii="黑体" w:hAnsi="黑体" w:eastAsia="黑体" w:cs="黑体"/>
                <w:sz w:val="32"/>
                <w:szCs w:val="32"/>
                <w:lang w:val="en-US" w:eastAsia="zh-CN"/>
              </w:rPr>
            </w:pPr>
            <w:r>
              <w:rPr>
                <w:rFonts w:hint="eastAsia" w:ascii="黑体" w:hAnsi="黑体" w:eastAsia="黑体" w:cs="黑体"/>
                <w:color w:val="000000"/>
                <w:sz w:val="32"/>
                <w:szCs w:val="32"/>
                <w:lang w:val="en-US" w:eastAsia="zh-CN"/>
              </w:rPr>
              <w:t>序号</w:t>
            </w:r>
          </w:p>
        </w:tc>
        <w:tc>
          <w:tcPr>
            <w:tcW w:w="1931" w:type="dxa"/>
            <w:tcBorders>
              <w:top w:val="single" w:color="auto" w:sz="4" w:space="0"/>
              <w:left w:val="single" w:color="auto" w:sz="4" w:space="0"/>
            </w:tcBorders>
            <w:shd w:val="clear" w:color="auto" w:fill="FFFFFF"/>
            <w:noWrap w:val="0"/>
            <w:vAlign w:val="center"/>
          </w:tcPr>
          <w:p>
            <w:pPr>
              <w:pStyle w:val="15"/>
              <w:keepNext w:val="0"/>
              <w:keepLines w:val="0"/>
              <w:pageBreakBefore w:val="0"/>
              <w:widowControl w:val="0"/>
              <w:tabs>
                <w:tab w:val="left" w:pos="994"/>
              </w:tabs>
              <w:kinsoku/>
              <w:overflowPunct/>
              <w:topLinePunct w:val="0"/>
              <w:autoSpaceDE/>
              <w:autoSpaceDN/>
              <w:bidi w:val="0"/>
              <w:adjustRightInd/>
              <w:snapToGrid/>
              <w:spacing w:line="240" w:lineRule="auto"/>
              <w:ind w:firstLine="0"/>
              <w:jc w:val="center"/>
              <w:textAlignment w:val="auto"/>
              <w:rPr>
                <w:rFonts w:hint="eastAsia" w:ascii="黑体" w:hAnsi="黑体" w:eastAsia="黑体" w:cs="黑体"/>
                <w:sz w:val="32"/>
                <w:szCs w:val="32"/>
              </w:rPr>
            </w:pPr>
            <w:r>
              <w:rPr>
                <w:rFonts w:hint="eastAsia" w:ascii="黑体" w:hAnsi="黑体" w:eastAsia="黑体" w:cs="黑体"/>
                <w:color w:val="000000"/>
                <w:sz w:val="32"/>
                <w:szCs w:val="32"/>
              </w:rPr>
              <w:t>时</w:t>
            </w:r>
            <w:r>
              <w:rPr>
                <w:rFonts w:hint="eastAsia" w:ascii="黑体" w:hAnsi="黑体" w:eastAsia="黑体" w:cs="黑体"/>
                <w:color w:val="000000"/>
                <w:sz w:val="32"/>
                <w:szCs w:val="32"/>
              </w:rPr>
              <w:tab/>
            </w:r>
            <w:r>
              <w:rPr>
                <w:rFonts w:hint="eastAsia" w:ascii="黑体" w:hAnsi="黑体" w:eastAsia="黑体" w:cs="黑体"/>
                <w:color w:val="000000"/>
                <w:sz w:val="32"/>
                <w:szCs w:val="32"/>
              </w:rPr>
              <w:t>间</w:t>
            </w:r>
          </w:p>
        </w:tc>
        <w:tc>
          <w:tcPr>
            <w:tcW w:w="3161" w:type="dxa"/>
            <w:tcBorders>
              <w:top w:val="single" w:color="auto" w:sz="4" w:space="0"/>
              <w:left w:val="single" w:color="auto" w:sz="4" w:space="0"/>
            </w:tcBorders>
            <w:shd w:val="clear" w:color="auto" w:fill="FFFFFF"/>
            <w:noWrap w:val="0"/>
            <w:vAlign w:val="center"/>
          </w:tcPr>
          <w:p>
            <w:pPr>
              <w:pStyle w:val="15"/>
              <w:keepNext w:val="0"/>
              <w:keepLines w:val="0"/>
              <w:pageBreakBefore w:val="0"/>
              <w:widowControl w:val="0"/>
              <w:kinsoku/>
              <w:overflowPunct/>
              <w:topLinePunct w:val="0"/>
              <w:autoSpaceDE/>
              <w:autoSpaceDN/>
              <w:bidi w:val="0"/>
              <w:adjustRightInd/>
              <w:snapToGrid/>
              <w:spacing w:line="240" w:lineRule="auto"/>
              <w:ind w:firstLine="0"/>
              <w:jc w:val="center"/>
              <w:textAlignment w:val="auto"/>
              <w:rPr>
                <w:rFonts w:hint="eastAsia" w:ascii="黑体" w:hAnsi="黑体" w:eastAsia="黑体" w:cs="黑体"/>
                <w:sz w:val="32"/>
                <w:szCs w:val="32"/>
                <w:lang w:eastAsia="zh-CN"/>
              </w:rPr>
            </w:pPr>
            <w:r>
              <w:rPr>
                <w:rFonts w:hint="eastAsia" w:ascii="黑体" w:hAnsi="黑体" w:eastAsia="黑体" w:cs="黑体"/>
                <w:color w:val="000000"/>
                <w:sz w:val="32"/>
                <w:szCs w:val="32"/>
              </w:rPr>
              <w:t>指导</w:t>
            </w:r>
            <w:r>
              <w:rPr>
                <w:rFonts w:hint="eastAsia" w:ascii="黑体" w:hAnsi="黑体" w:eastAsia="黑体" w:cs="黑体"/>
                <w:color w:val="000000"/>
                <w:sz w:val="32"/>
                <w:szCs w:val="32"/>
                <w:lang w:eastAsia="zh-CN"/>
              </w:rPr>
              <w:t>事项</w:t>
            </w:r>
          </w:p>
        </w:tc>
        <w:tc>
          <w:tcPr>
            <w:tcW w:w="1931" w:type="dxa"/>
            <w:tcBorders>
              <w:top w:val="single" w:color="auto" w:sz="4" w:space="0"/>
              <w:left w:val="single" w:color="auto" w:sz="4" w:space="0"/>
            </w:tcBorders>
            <w:shd w:val="clear" w:color="auto" w:fill="FFFFFF"/>
            <w:noWrap w:val="0"/>
            <w:vAlign w:val="center"/>
          </w:tcPr>
          <w:p>
            <w:pPr>
              <w:pStyle w:val="15"/>
              <w:keepNext w:val="0"/>
              <w:keepLines w:val="0"/>
              <w:pageBreakBefore w:val="0"/>
              <w:widowControl w:val="0"/>
              <w:kinsoku/>
              <w:overflowPunct/>
              <w:topLinePunct w:val="0"/>
              <w:autoSpaceDE/>
              <w:autoSpaceDN/>
              <w:bidi w:val="0"/>
              <w:adjustRightInd/>
              <w:snapToGrid/>
              <w:spacing w:line="240" w:lineRule="auto"/>
              <w:ind w:firstLine="0"/>
              <w:jc w:val="center"/>
              <w:textAlignment w:val="auto"/>
              <w:rPr>
                <w:rFonts w:hint="eastAsia" w:ascii="黑体" w:hAnsi="黑体" w:eastAsia="黑体" w:cs="黑体"/>
                <w:sz w:val="32"/>
                <w:szCs w:val="32"/>
              </w:rPr>
            </w:pPr>
            <w:r>
              <w:rPr>
                <w:rFonts w:hint="eastAsia" w:ascii="黑体" w:hAnsi="黑体" w:eastAsia="黑体" w:cs="黑体"/>
                <w:color w:val="000000"/>
                <w:sz w:val="32"/>
                <w:szCs w:val="32"/>
              </w:rPr>
              <w:t>指导结果</w:t>
            </w:r>
          </w:p>
        </w:tc>
        <w:tc>
          <w:tcPr>
            <w:tcW w:w="1363" w:type="dxa"/>
            <w:tcBorders>
              <w:top w:val="single" w:color="auto" w:sz="4" w:space="0"/>
              <w:left w:val="single" w:color="auto" w:sz="4" w:space="0"/>
              <w:right w:val="single" w:color="auto" w:sz="4" w:space="0"/>
            </w:tcBorders>
            <w:shd w:val="clear" w:color="auto" w:fill="FFFFFF"/>
            <w:noWrap w:val="0"/>
            <w:vAlign w:val="center"/>
          </w:tcPr>
          <w:p>
            <w:pPr>
              <w:pStyle w:val="15"/>
              <w:keepNext w:val="0"/>
              <w:keepLines w:val="0"/>
              <w:pageBreakBefore w:val="0"/>
              <w:widowControl w:val="0"/>
              <w:kinsoku/>
              <w:overflowPunct/>
              <w:topLinePunct w:val="0"/>
              <w:autoSpaceDE/>
              <w:autoSpaceDN/>
              <w:bidi w:val="0"/>
              <w:adjustRightInd/>
              <w:snapToGrid/>
              <w:spacing w:line="312" w:lineRule="exact"/>
              <w:ind w:firstLine="0"/>
              <w:jc w:val="center"/>
              <w:textAlignment w:val="auto"/>
              <w:rPr>
                <w:rFonts w:hint="eastAsia" w:ascii="黑体" w:hAnsi="黑体" w:eastAsia="黑体" w:cs="黑体"/>
                <w:sz w:val="32"/>
                <w:szCs w:val="32"/>
              </w:rPr>
            </w:pPr>
            <w:r>
              <w:rPr>
                <w:rFonts w:hint="eastAsia" w:ascii="黑体" w:hAnsi="黑体" w:eastAsia="黑体" w:cs="黑体"/>
                <w:color w:val="000000"/>
                <w:sz w:val="32"/>
                <w:szCs w:val="32"/>
              </w:rPr>
              <w:t>指导人员</w:t>
            </w:r>
          </w:p>
        </w:tc>
      </w:tr>
      <w:tr>
        <w:tblPrEx>
          <w:tblCellMar>
            <w:top w:w="0" w:type="dxa"/>
            <w:left w:w="10" w:type="dxa"/>
            <w:bottom w:w="0" w:type="dxa"/>
            <w:right w:w="10" w:type="dxa"/>
          </w:tblCellMar>
        </w:tblPrEx>
        <w:trPr>
          <w:trHeight w:val="1629" w:hRule="exact"/>
          <w:jc w:val="center"/>
        </w:trPr>
        <w:tc>
          <w:tcPr>
            <w:tcW w:w="774" w:type="dxa"/>
            <w:tcBorders>
              <w:top w:val="single" w:color="auto" w:sz="4" w:space="0"/>
              <w:left w:val="single" w:color="auto" w:sz="4" w:space="0"/>
            </w:tcBorders>
            <w:shd w:val="clear" w:color="auto" w:fill="FFFFFF"/>
            <w:noWrap w:val="0"/>
            <w:vAlign w:val="center"/>
          </w:tcPr>
          <w:p>
            <w:pPr>
              <w:pStyle w:val="15"/>
              <w:keepNext w:val="0"/>
              <w:keepLines w:val="0"/>
              <w:pageBreakBefore w:val="0"/>
              <w:widowControl w:val="0"/>
              <w:kinsoku/>
              <w:overflowPunct/>
              <w:topLinePunct w:val="0"/>
              <w:autoSpaceDE/>
              <w:autoSpaceDN/>
              <w:bidi w:val="0"/>
              <w:adjustRightInd/>
              <w:snapToGrid/>
              <w:spacing w:line="360" w:lineRule="exact"/>
              <w:ind w:firstLine="0"/>
              <w:jc w:val="center"/>
              <w:textAlignment w:val="auto"/>
              <w:rPr>
                <w:rFonts w:hint="eastAsia" w:ascii="楷体_GB2312" w:eastAsia="楷体_GB2312"/>
              </w:rPr>
            </w:pPr>
            <w:r>
              <w:rPr>
                <w:rFonts w:hint="eastAsia" w:ascii="楷体_GB2312" w:eastAsia="楷体_GB2312"/>
                <w:color w:val="000000"/>
              </w:rPr>
              <w:t>1</w:t>
            </w:r>
          </w:p>
        </w:tc>
        <w:tc>
          <w:tcPr>
            <w:tcW w:w="1931" w:type="dxa"/>
            <w:tcBorders>
              <w:top w:val="single" w:color="auto" w:sz="4" w:space="0"/>
              <w:left w:val="single" w:color="auto" w:sz="4" w:space="0"/>
            </w:tcBorders>
            <w:shd w:val="clear" w:color="auto" w:fill="FFFFFF"/>
            <w:noWrap w:val="0"/>
            <w:vAlign w:val="center"/>
          </w:tcPr>
          <w:p>
            <w:pPr>
              <w:pStyle w:val="15"/>
              <w:keepNext w:val="0"/>
              <w:keepLines w:val="0"/>
              <w:pageBreakBefore w:val="0"/>
              <w:widowControl w:val="0"/>
              <w:kinsoku/>
              <w:overflowPunct/>
              <w:topLinePunct w:val="0"/>
              <w:autoSpaceDE/>
              <w:autoSpaceDN/>
              <w:bidi w:val="0"/>
              <w:adjustRightInd/>
              <w:snapToGrid/>
              <w:spacing w:line="360" w:lineRule="exact"/>
              <w:ind w:firstLine="0"/>
              <w:jc w:val="center"/>
              <w:textAlignment w:val="auto"/>
              <w:rPr>
                <w:rFonts w:hint="eastAsia" w:ascii="仿宋_GB2312" w:eastAsia="仿宋_GB2312"/>
              </w:rPr>
            </w:pPr>
            <w:r>
              <w:rPr>
                <w:rFonts w:hint="eastAsia" w:ascii="仿宋_GB2312" w:eastAsia="仿宋_GB2312"/>
                <w:color w:val="000000"/>
                <w:w w:val="70"/>
              </w:rPr>
              <w:t>201</w:t>
            </w:r>
            <w:r>
              <w:rPr>
                <w:rFonts w:hint="eastAsia" w:ascii="仿宋_GB2312" w:eastAsia="仿宋_GB2312"/>
                <w:color w:val="000000"/>
                <w:w w:val="70"/>
                <w:lang w:val="en-US" w:eastAsia="zh-CN"/>
              </w:rPr>
              <w:t>9</w:t>
            </w:r>
            <w:r>
              <w:rPr>
                <w:rFonts w:hint="eastAsia" w:ascii="仿宋_GB2312" w:eastAsia="仿宋_GB2312"/>
                <w:color w:val="000000"/>
              </w:rPr>
              <w:t>年</w:t>
            </w:r>
            <w:r>
              <w:rPr>
                <w:rFonts w:hint="eastAsia" w:ascii="仿宋_GB2312" w:eastAsia="仿宋_GB2312"/>
                <w:color w:val="000000"/>
                <w:w w:val="70"/>
              </w:rPr>
              <w:t>5</w:t>
            </w:r>
            <w:r>
              <w:rPr>
                <w:rFonts w:hint="eastAsia" w:ascii="仿宋_GB2312" w:eastAsia="仿宋_GB2312"/>
                <w:color w:val="000000"/>
              </w:rPr>
              <w:t>月</w:t>
            </w:r>
            <w:r>
              <w:rPr>
                <w:rFonts w:hint="eastAsia" w:ascii="仿宋_GB2312" w:eastAsia="仿宋_GB2312"/>
                <w:color w:val="000000"/>
                <w:w w:val="70"/>
              </w:rPr>
              <w:t>27</w:t>
            </w:r>
            <w:r>
              <w:rPr>
                <w:rFonts w:hint="eastAsia" w:ascii="仿宋_GB2312" w:eastAsia="仿宋_GB2312"/>
                <w:color w:val="000000"/>
              </w:rPr>
              <w:t>日</w:t>
            </w:r>
          </w:p>
        </w:tc>
        <w:tc>
          <w:tcPr>
            <w:tcW w:w="3161" w:type="dxa"/>
            <w:tcBorders>
              <w:top w:val="single" w:color="auto" w:sz="4" w:space="0"/>
              <w:left w:val="single" w:color="auto" w:sz="4" w:space="0"/>
            </w:tcBorders>
            <w:shd w:val="clear" w:color="auto" w:fill="FFFFFF"/>
            <w:noWrap w:val="0"/>
            <w:vAlign w:val="center"/>
          </w:tcPr>
          <w:p>
            <w:pPr>
              <w:pStyle w:val="15"/>
              <w:keepNext w:val="0"/>
              <w:keepLines w:val="0"/>
              <w:pageBreakBefore w:val="0"/>
              <w:widowControl w:val="0"/>
              <w:kinsoku/>
              <w:overflowPunct/>
              <w:topLinePunct w:val="0"/>
              <w:autoSpaceDE/>
              <w:autoSpaceDN/>
              <w:bidi w:val="0"/>
              <w:adjustRightInd/>
              <w:snapToGrid/>
              <w:spacing w:line="360" w:lineRule="exact"/>
              <w:ind w:firstLine="0"/>
              <w:jc w:val="center"/>
              <w:textAlignment w:val="auto"/>
              <w:rPr>
                <w:rFonts w:hint="eastAsia" w:ascii="仿宋_GB2312" w:eastAsia="仿宋_GB2312"/>
              </w:rPr>
            </w:pPr>
            <w:r>
              <w:rPr>
                <w:rFonts w:hint="eastAsia" w:ascii="仿宋_GB2312" w:eastAsia="仿宋_GB2312"/>
                <w:color w:val="000000"/>
              </w:rPr>
              <w:t>电话提示</w:t>
            </w:r>
            <w:r>
              <w:rPr>
                <w:rFonts w:hint="eastAsia" w:ascii="仿宋_GB2312" w:eastAsia="仿宋_GB2312"/>
                <w:color w:val="000000"/>
                <w:w w:val="70"/>
              </w:rPr>
              <w:t>XX</w:t>
            </w:r>
            <w:r>
              <w:rPr>
                <w:rFonts w:hint="eastAsia" w:ascii="仿宋_GB2312" w:eastAsia="仿宋_GB2312"/>
                <w:color w:val="000000"/>
                <w:lang w:val="en-US" w:eastAsia="zh-CN"/>
              </w:rPr>
              <w:t>种子</w:t>
            </w:r>
            <w:r>
              <w:rPr>
                <w:rFonts w:hint="eastAsia" w:ascii="仿宋_GB2312" w:eastAsia="仿宋_GB2312"/>
                <w:color w:val="000000"/>
              </w:rPr>
              <w:t>有限公司《林木种子生产许可证》有效期至</w:t>
            </w:r>
            <w:r>
              <w:rPr>
                <w:rFonts w:hint="eastAsia" w:ascii="仿宋_GB2312" w:eastAsia="仿宋_GB2312"/>
                <w:color w:val="000000"/>
                <w:w w:val="70"/>
              </w:rPr>
              <w:t>201</w:t>
            </w:r>
            <w:r>
              <w:rPr>
                <w:rFonts w:hint="eastAsia" w:ascii="仿宋_GB2312" w:eastAsia="仿宋_GB2312"/>
                <w:color w:val="000000"/>
                <w:w w:val="70"/>
                <w:lang w:val="en-US" w:eastAsia="zh-CN"/>
              </w:rPr>
              <w:t>9</w:t>
            </w:r>
            <w:r>
              <w:rPr>
                <w:rFonts w:hint="eastAsia" w:ascii="仿宋_GB2312" w:eastAsia="仿宋_GB2312"/>
                <w:color w:val="000000"/>
              </w:rPr>
              <w:t>年</w:t>
            </w:r>
            <w:r>
              <w:rPr>
                <w:rFonts w:hint="eastAsia" w:ascii="仿宋_GB2312" w:eastAsia="仿宋_GB2312"/>
                <w:color w:val="000000"/>
                <w:w w:val="70"/>
              </w:rPr>
              <w:t>6</w:t>
            </w:r>
            <w:r>
              <w:rPr>
                <w:rFonts w:hint="eastAsia" w:ascii="仿宋_GB2312" w:eastAsia="仿宋_GB2312"/>
                <w:color w:val="000000"/>
              </w:rPr>
              <w:t>月</w:t>
            </w:r>
            <w:r>
              <w:rPr>
                <w:rFonts w:hint="eastAsia" w:ascii="仿宋_GB2312" w:eastAsia="仿宋_GB2312"/>
                <w:color w:val="000000"/>
                <w:w w:val="70"/>
              </w:rPr>
              <w:t>30</w:t>
            </w:r>
            <w:r>
              <w:rPr>
                <w:rFonts w:hint="eastAsia" w:ascii="仿宋_GB2312" w:eastAsia="仿宋_GB2312"/>
                <w:color w:val="000000"/>
              </w:rPr>
              <w:t>日</w:t>
            </w:r>
          </w:p>
        </w:tc>
        <w:tc>
          <w:tcPr>
            <w:tcW w:w="1931" w:type="dxa"/>
            <w:tcBorders>
              <w:top w:val="single" w:color="auto" w:sz="4" w:space="0"/>
              <w:left w:val="single" w:color="auto" w:sz="4" w:space="0"/>
            </w:tcBorders>
            <w:shd w:val="clear" w:color="auto" w:fill="FFFFFF"/>
            <w:noWrap w:val="0"/>
            <w:vAlign w:val="center"/>
          </w:tcPr>
          <w:p>
            <w:pPr>
              <w:pStyle w:val="15"/>
              <w:keepNext w:val="0"/>
              <w:keepLines w:val="0"/>
              <w:pageBreakBefore w:val="0"/>
              <w:widowControl w:val="0"/>
              <w:kinsoku/>
              <w:overflowPunct/>
              <w:topLinePunct w:val="0"/>
              <w:autoSpaceDE/>
              <w:autoSpaceDN/>
              <w:bidi w:val="0"/>
              <w:adjustRightInd/>
              <w:snapToGrid/>
              <w:spacing w:line="360" w:lineRule="exact"/>
              <w:ind w:firstLine="0"/>
              <w:jc w:val="center"/>
              <w:textAlignment w:val="auto"/>
              <w:rPr>
                <w:rFonts w:hint="eastAsia" w:ascii="仿宋_GB2312" w:eastAsia="仿宋_GB2312"/>
              </w:rPr>
            </w:pPr>
            <w:r>
              <w:rPr>
                <w:rFonts w:hint="eastAsia" w:ascii="仿宋_GB2312" w:eastAsia="仿宋_GB2312"/>
                <w:color w:val="000000"/>
              </w:rPr>
              <w:t>公司法定代表人张</w:t>
            </w:r>
            <w:r>
              <w:rPr>
                <w:rFonts w:hint="eastAsia" w:ascii="仿宋_GB2312" w:eastAsia="仿宋_GB2312"/>
                <w:color w:val="000000"/>
                <w:w w:val="70"/>
              </w:rPr>
              <w:t>XX</w:t>
            </w:r>
            <w:r>
              <w:rPr>
                <w:rFonts w:hint="eastAsia" w:ascii="仿宋_GB2312" w:eastAsia="仿宋_GB2312"/>
                <w:color w:val="000000"/>
              </w:rPr>
              <w:t>表示将及时办理相关手续</w:t>
            </w:r>
          </w:p>
        </w:tc>
        <w:tc>
          <w:tcPr>
            <w:tcW w:w="1363" w:type="dxa"/>
            <w:tcBorders>
              <w:top w:val="single" w:color="auto" w:sz="4" w:space="0"/>
              <w:left w:val="single" w:color="auto" w:sz="4" w:space="0"/>
              <w:right w:val="single" w:color="auto" w:sz="4" w:space="0"/>
            </w:tcBorders>
            <w:shd w:val="clear" w:color="auto" w:fill="FFFFFF"/>
            <w:noWrap w:val="0"/>
            <w:vAlign w:val="center"/>
          </w:tcPr>
          <w:p>
            <w:pPr>
              <w:pStyle w:val="15"/>
              <w:keepNext w:val="0"/>
              <w:keepLines w:val="0"/>
              <w:pageBreakBefore w:val="0"/>
              <w:widowControl w:val="0"/>
              <w:kinsoku/>
              <w:overflowPunct/>
              <w:topLinePunct w:val="0"/>
              <w:autoSpaceDE/>
              <w:autoSpaceDN/>
              <w:bidi w:val="0"/>
              <w:adjustRightInd/>
              <w:snapToGrid/>
              <w:spacing w:line="360" w:lineRule="exact"/>
              <w:ind w:firstLine="0"/>
              <w:jc w:val="center"/>
              <w:textAlignment w:val="auto"/>
              <w:rPr>
                <w:rFonts w:hint="eastAsia" w:ascii="仿宋_GB2312" w:eastAsia="仿宋_GB2312"/>
              </w:rPr>
            </w:pPr>
            <w:r>
              <w:rPr>
                <w:rFonts w:hint="eastAsia" w:ascii="仿宋_GB2312" w:eastAsia="仿宋_GB2312"/>
                <w:color w:val="000000"/>
              </w:rPr>
              <w:t>李</w:t>
            </w:r>
            <w:r>
              <w:rPr>
                <w:rFonts w:hint="eastAsia" w:ascii="仿宋_GB2312" w:eastAsia="仿宋_GB2312"/>
                <w:color w:val="000000"/>
                <w:w w:val="70"/>
              </w:rPr>
              <w:t>XX</w:t>
            </w:r>
          </w:p>
        </w:tc>
      </w:tr>
      <w:tr>
        <w:tblPrEx>
          <w:tblCellMar>
            <w:top w:w="0" w:type="dxa"/>
            <w:left w:w="10" w:type="dxa"/>
            <w:bottom w:w="0" w:type="dxa"/>
            <w:right w:w="10" w:type="dxa"/>
          </w:tblCellMar>
        </w:tblPrEx>
        <w:trPr>
          <w:trHeight w:val="563" w:hRule="exact"/>
          <w:jc w:val="center"/>
        </w:trPr>
        <w:tc>
          <w:tcPr>
            <w:tcW w:w="774"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316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00" w:lineRule="exact"/>
              <w:textAlignment w:val="auto"/>
              <w:rPr>
                <w:sz w:val="10"/>
                <w:szCs w:val="10"/>
              </w:rPr>
            </w:pPr>
          </w:p>
        </w:tc>
        <w:tc>
          <w:tcPr>
            <w:tcW w:w="136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r>
      <w:tr>
        <w:tblPrEx>
          <w:tblCellMar>
            <w:top w:w="0" w:type="dxa"/>
            <w:left w:w="10" w:type="dxa"/>
            <w:bottom w:w="0" w:type="dxa"/>
            <w:right w:w="10" w:type="dxa"/>
          </w:tblCellMar>
        </w:tblPrEx>
        <w:trPr>
          <w:trHeight w:val="568" w:hRule="exact"/>
          <w:jc w:val="center"/>
        </w:trPr>
        <w:tc>
          <w:tcPr>
            <w:tcW w:w="774"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316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36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r>
      <w:tr>
        <w:tblPrEx>
          <w:tblCellMar>
            <w:top w:w="0" w:type="dxa"/>
            <w:left w:w="10" w:type="dxa"/>
            <w:bottom w:w="0" w:type="dxa"/>
            <w:right w:w="10" w:type="dxa"/>
          </w:tblCellMar>
        </w:tblPrEx>
        <w:trPr>
          <w:trHeight w:val="563" w:hRule="exact"/>
          <w:jc w:val="center"/>
        </w:trPr>
        <w:tc>
          <w:tcPr>
            <w:tcW w:w="774"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316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36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r>
      <w:tr>
        <w:tblPrEx>
          <w:tblCellMar>
            <w:top w:w="0" w:type="dxa"/>
            <w:left w:w="10" w:type="dxa"/>
            <w:bottom w:w="0" w:type="dxa"/>
            <w:right w:w="10" w:type="dxa"/>
          </w:tblCellMar>
        </w:tblPrEx>
        <w:trPr>
          <w:trHeight w:val="568" w:hRule="exact"/>
          <w:jc w:val="center"/>
        </w:trPr>
        <w:tc>
          <w:tcPr>
            <w:tcW w:w="774"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316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36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r>
      <w:tr>
        <w:tblPrEx>
          <w:tblCellMar>
            <w:top w:w="0" w:type="dxa"/>
            <w:left w:w="10" w:type="dxa"/>
            <w:bottom w:w="0" w:type="dxa"/>
            <w:right w:w="10" w:type="dxa"/>
          </w:tblCellMar>
        </w:tblPrEx>
        <w:trPr>
          <w:trHeight w:val="563" w:hRule="exact"/>
          <w:jc w:val="center"/>
        </w:trPr>
        <w:tc>
          <w:tcPr>
            <w:tcW w:w="774"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316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36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r>
      <w:tr>
        <w:tblPrEx>
          <w:tblCellMar>
            <w:top w:w="0" w:type="dxa"/>
            <w:left w:w="10" w:type="dxa"/>
            <w:bottom w:w="0" w:type="dxa"/>
            <w:right w:w="10" w:type="dxa"/>
          </w:tblCellMar>
        </w:tblPrEx>
        <w:trPr>
          <w:trHeight w:val="563" w:hRule="exact"/>
          <w:jc w:val="center"/>
        </w:trPr>
        <w:tc>
          <w:tcPr>
            <w:tcW w:w="774"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316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36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r>
      <w:tr>
        <w:tblPrEx>
          <w:tblCellMar>
            <w:top w:w="0" w:type="dxa"/>
            <w:left w:w="10" w:type="dxa"/>
            <w:bottom w:w="0" w:type="dxa"/>
            <w:right w:w="10" w:type="dxa"/>
          </w:tblCellMar>
        </w:tblPrEx>
        <w:trPr>
          <w:trHeight w:val="568" w:hRule="exact"/>
          <w:jc w:val="center"/>
        </w:trPr>
        <w:tc>
          <w:tcPr>
            <w:tcW w:w="774"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316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36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r>
      <w:tr>
        <w:tblPrEx>
          <w:tblCellMar>
            <w:top w:w="0" w:type="dxa"/>
            <w:left w:w="10" w:type="dxa"/>
            <w:bottom w:w="0" w:type="dxa"/>
            <w:right w:w="10" w:type="dxa"/>
          </w:tblCellMar>
        </w:tblPrEx>
        <w:trPr>
          <w:trHeight w:val="563" w:hRule="exact"/>
          <w:jc w:val="center"/>
        </w:trPr>
        <w:tc>
          <w:tcPr>
            <w:tcW w:w="774"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316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36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r>
      <w:tr>
        <w:tblPrEx>
          <w:tblCellMar>
            <w:top w:w="0" w:type="dxa"/>
            <w:left w:w="10" w:type="dxa"/>
            <w:bottom w:w="0" w:type="dxa"/>
            <w:right w:w="10" w:type="dxa"/>
          </w:tblCellMar>
        </w:tblPrEx>
        <w:trPr>
          <w:trHeight w:val="563" w:hRule="exact"/>
          <w:jc w:val="center"/>
        </w:trPr>
        <w:tc>
          <w:tcPr>
            <w:tcW w:w="774"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316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36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r>
      <w:tr>
        <w:tblPrEx>
          <w:tblCellMar>
            <w:top w:w="0" w:type="dxa"/>
            <w:left w:w="10" w:type="dxa"/>
            <w:bottom w:w="0" w:type="dxa"/>
            <w:right w:w="10" w:type="dxa"/>
          </w:tblCellMar>
        </w:tblPrEx>
        <w:trPr>
          <w:trHeight w:val="568" w:hRule="exact"/>
          <w:jc w:val="center"/>
        </w:trPr>
        <w:tc>
          <w:tcPr>
            <w:tcW w:w="774"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316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36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r>
      <w:tr>
        <w:tblPrEx>
          <w:tblCellMar>
            <w:top w:w="0" w:type="dxa"/>
            <w:left w:w="10" w:type="dxa"/>
            <w:bottom w:w="0" w:type="dxa"/>
            <w:right w:w="10" w:type="dxa"/>
          </w:tblCellMar>
        </w:tblPrEx>
        <w:trPr>
          <w:trHeight w:val="563" w:hRule="exact"/>
          <w:jc w:val="center"/>
        </w:trPr>
        <w:tc>
          <w:tcPr>
            <w:tcW w:w="774"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316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36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r>
      <w:tr>
        <w:tblPrEx>
          <w:tblCellMar>
            <w:top w:w="0" w:type="dxa"/>
            <w:left w:w="10" w:type="dxa"/>
            <w:bottom w:w="0" w:type="dxa"/>
            <w:right w:w="10" w:type="dxa"/>
          </w:tblCellMar>
        </w:tblPrEx>
        <w:trPr>
          <w:trHeight w:val="568" w:hRule="exact"/>
          <w:jc w:val="center"/>
        </w:trPr>
        <w:tc>
          <w:tcPr>
            <w:tcW w:w="774"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316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363" w:type="dxa"/>
            <w:tcBorders>
              <w:top w:val="single" w:color="auto" w:sz="4" w:space="0"/>
              <w:left w:val="single" w:color="auto" w:sz="4" w:space="0"/>
              <w:righ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r>
      <w:tr>
        <w:tblPrEx>
          <w:tblCellMar>
            <w:top w:w="0" w:type="dxa"/>
            <w:left w:w="10" w:type="dxa"/>
            <w:bottom w:w="0" w:type="dxa"/>
            <w:right w:w="10" w:type="dxa"/>
          </w:tblCellMar>
        </w:tblPrEx>
        <w:trPr>
          <w:trHeight w:val="563" w:hRule="exact"/>
          <w:jc w:val="center"/>
        </w:trPr>
        <w:tc>
          <w:tcPr>
            <w:tcW w:w="774" w:type="dxa"/>
            <w:tcBorders>
              <w:top w:val="single" w:color="auto" w:sz="4" w:space="0"/>
              <w:left w:val="single" w:color="auto" w:sz="4" w:space="0"/>
              <w:bottom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bottom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3161" w:type="dxa"/>
            <w:tcBorders>
              <w:top w:val="single" w:color="auto" w:sz="4" w:space="0"/>
              <w:left w:val="single" w:color="auto" w:sz="4" w:space="0"/>
              <w:bottom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931" w:type="dxa"/>
            <w:tcBorders>
              <w:top w:val="single" w:color="auto" w:sz="4" w:space="0"/>
              <w:left w:val="single" w:color="auto" w:sz="4" w:space="0"/>
              <w:bottom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c>
          <w:tcPr>
            <w:tcW w:w="1363" w:type="dxa"/>
            <w:tcBorders>
              <w:top w:val="single" w:color="auto" w:sz="4" w:space="0"/>
              <w:left w:val="single" w:color="auto" w:sz="4" w:space="0"/>
              <w:bottom w:val="single" w:color="auto" w:sz="4" w:space="0"/>
              <w:right w:val="single" w:color="auto" w:sz="4" w:space="0"/>
            </w:tcBorders>
            <w:shd w:val="clear" w:color="auto" w:fill="FFFFFF"/>
            <w:noWrap w:val="0"/>
            <w:vAlign w:val="top"/>
          </w:tcPr>
          <w:p>
            <w:pPr>
              <w:keepNext w:val="0"/>
              <w:keepLines w:val="0"/>
              <w:pageBreakBefore w:val="0"/>
              <w:widowControl w:val="0"/>
              <w:kinsoku/>
              <w:overflowPunct/>
              <w:topLinePunct w:val="0"/>
              <w:autoSpaceDE/>
              <w:autoSpaceDN/>
              <w:bidi w:val="0"/>
              <w:adjustRightInd/>
              <w:snapToGrid/>
              <w:spacing w:line="460" w:lineRule="exact"/>
              <w:textAlignment w:val="auto"/>
              <w:rPr>
                <w:sz w:val="10"/>
                <w:szCs w:val="10"/>
              </w:rPr>
            </w:pPr>
          </w:p>
        </w:tc>
      </w:tr>
    </w:tbl>
    <w:p>
      <w:pPr>
        <w:keepNext w:val="0"/>
        <w:keepLines w:val="0"/>
        <w:pageBreakBefore w:val="0"/>
        <w:widowControl w:val="0"/>
        <w:kinsoku/>
        <w:overflowPunct/>
        <w:topLinePunct w:val="0"/>
        <w:autoSpaceDE/>
        <w:autoSpaceDN/>
        <w:bidi w:val="0"/>
        <w:adjustRightInd/>
        <w:snapToGrid/>
        <w:textAlignment w:val="auto"/>
        <w:rPr>
          <w:rFonts w:hint="eastAsia"/>
          <w:lang w:eastAsia="zh-CN"/>
        </w:rPr>
      </w:pPr>
    </w:p>
    <w:p>
      <w:pPr>
        <w:keepNext w:val="0"/>
        <w:keepLines w:val="0"/>
        <w:pageBreakBefore w:val="0"/>
        <w:widowControl w:val="0"/>
        <w:kinsoku/>
        <w:overflowPunct/>
        <w:topLinePunct w:val="0"/>
        <w:autoSpaceDE/>
        <w:autoSpaceDN/>
        <w:bidi w:val="0"/>
        <w:adjustRightInd/>
        <w:snapToGrid/>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高青县</w:t>
      </w:r>
      <w:r>
        <w:rPr>
          <w:rFonts w:hint="eastAsia" w:ascii="方正小标宋简体" w:hAnsi="方正小标宋简体" w:eastAsia="方正小标宋简体" w:cs="方正小标宋简体"/>
          <w:b/>
          <w:bCs/>
          <w:sz w:val="44"/>
          <w:szCs w:val="44"/>
          <w:lang w:val="en-US" w:eastAsia="zh-CN"/>
        </w:rPr>
        <w:t>××</w:t>
      </w:r>
      <w:r>
        <w:rPr>
          <w:rFonts w:hint="eastAsia" w:ascii="方正小标宋简体" w:hAnsi="方正小标宋简体" w:eastAsia="方正小标宋简体" w:cs="方正小标宋简体"/>
          <w:sz w:val="44"/>
          <w:szCs w:val="44"/>
        </w:rPr>
        <w:t>局行政指导目录清单</w:t>
      </w:r>
      <w:r>
        <w:rPr>
          <w:rFonts w:hint="eastAsia" w:ascii="方正小标宋简体" w:hAnsi="方正小标宋简体" w:eastAsia="方正小标宋简体" w:cs="方正小标宋简体"/>
          <w:sz w:val="44"/>
          <w:szCs w:val="44"/>
          <w:lang w:val="en-US" w:eastAsia="zh-CN"/>
        </w:rPr>
        <w:t>（参考样本）</w:t>
      </w:r>
    </w:p>
    <w:p>
      <w:pPr>
        <w:pStyle w:val="2"/>
        <w:rPr>
          <w:rFonts w:hint="eastAsia"/>
        </w:rPr>
      </w:pPr>
    </w:p>
    <w:tbl>
      <w:tblPr>
        <w:tblStyle w:val="8"/>
        <w:tblW w:w="9664" w:type="dxa"/>
        <w:tblInd w:w="-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4"/>
        <w:gridCol w:w="2208"/>
        <w:gridCol w:w="2500"/>
        <w:gridCol w:w="1807"/>
        <w:gridCol w:w="2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sz w:val="32"/>
                <w:szCs w:val="32"/>
              </w:rPr>
            </w:pPr>
            <w:r>
              <w:rPr>
                <w:rFonts w:hint="eastAsia" w:ascii="黑体" w:hAnsi="黑体" w:eastAsia="黑体"/>
                <w:sz w:val="32"/>
                <w:szCs w:val="32"/>
              </w:rPr>
              <w:t>序号</w:t>
            </w:r>
          </w:p>
        </w:tc>
        <w:tc>
          <w:tcPr>
            <w:tcW w:w="220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sz w:val="32"/>
                <w:szCs w:val="32"/>
              </w:rPr>
            </w:pPr>
            <w:r>
              <w:rPr>
                <w:rFonts w:hint="eastAsia" w:ascii="黑体" w:hAnsi="黑体" w:eastAsia="黑体"/>
                <w:sz w:val="32"/>
                <w:szCs w:val="32"/>
              </w:rPr>
              <w:t>行政指导项目</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sz w:val="32"/>
                <w:szCs w:val="32"/>
              </w:rPr>
            </w:pPr>
            <w:r>
              <w:rPr>
                <w:rFonts w:hint="eastAsia" w:ascii="黑体" w:hAnsi="黑体" w:eastAsia="黑体"/>
                <w:sz w:val="32"/>
                <w:szCs w:val="32"/>
              </w:rPr>
              <w:t>主要法规依据</w:t>
            </w:r>
          </w:p>
        </w:tc>
        <w:tc>
          <w:tcPr>
            <w:tcW w:w="1807"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sz w:val="32"/>
                <w:szCs w:val="32"/>
              </w:rPr>
            </w:pPr>
            <w:r>
              <w:rPr>
                <w:rFonts w:hint="eastAsia" w:ascii="黑体" w:hAnsi="黑体" w:eastAsia="黑体"/>
                <w:sz w:val="32"/>
                <w:szCs w:val="32"/>
              </w:rPr>
              <w:t>责任单位</w:t>
            </w:r>
          </w:p>
        </w:tc>
        <w:tc>
          <w:tcPr>
            <w:tcW w:w="218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sz w:val="32"/>
                <w:szCs w:val="32"/>
              </w:rPr>
            </w:pPr>
            <w:r>
              <w:rPr>
                <w:rFonts w:hint="eastAsia" w:ascii="黑体" w:hAnsi="黑体" w:eastAsia="黑体"/>
                <w:sz w:val="32"/>
                <w:szCs w:val="32"/>
              </w:rPr>
              <w:t>主要指导方式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仿宋" w:hAnsi="仿宋" w:eastAsia="仿宋"/>
                <w:sz w:val="24"/>
                <w:szCs w:val="24"/>
              </w:rPr>
            </w:pPr>
            <w:r>
              <w:rPr>
                <w:rFonts w:hint="eastAsia" w:ascii="仿宋" w:hAnsi="仿宋" w:eastAsia="仿宋"/>
                <w:sz w:val="24"/>
                <w:szCs w:val="24"/>
              </w:rPr>
              <w:t>1</w:t>
            </w:r>
          </w:p>
        </w:tc>
        <w:tc>
          <w:tcPr>
            <w:tcW w:w="2208"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仿宋" w:hAnsi="仿宋" w:eastAsia="仿宋"/>
                <w:sz w:val="24"/>
                <w:szCs w:val="24"/>
              </w:rPr>
            </w:pPr>
            <w:r>
              <w:rPr>
                <w:rFonts w:hint="eastAsia" w:ascii="仿宋" w:hAnsi="仿宋" w:eastAsia="仿宋"/>
                <w:sz w:val="24"/>
                <w:szCs w:val="24"/>
              </w:rPr>
              <w:t>登记许可行政指导</w:t>
            </w:r>
          </w:p>
        </w:tc>
        <w:tc>
          <w:tcPr>
            <w:tcW w:w="2500"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仿宋" w:hAnsi="仿宋" w:eastAsia="仿宋"/>
                <w:sz w:val="24"/>
                <w:szCs w:val="24"/>
              </w:rPr>
            </w:pPr>
            <w:r>
              <w:rPr>
                <w:rFonts w:hint="eastAsia" w:ascii="仿宋" w:hAnsi="仿宋" w:eastAsia="仿宋"/>
                <w:sz w:val="24"/>
                <w:szCs w:val="24"/>
              </w:rPr>
              <w:t>《公司登记管理条例》《工业产品生产许可证条例》等</w:t>
            </w:r>
          </w:p>
        </w:tc>
        <w:tc>
          <w:tcPr>
            <w:tcW w:w="1807"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仿宋" w:hAnsi="仿宋" w:eastAsia="仿宋"/>
                <w:sz w:val="24"/>
                <w:szCs w:val="24"/>
              </w:rPr>
            </w:pPr>
            <w:r>
              <w:rPr>
                <w:rFonts w:hint="eastAsia" w:ascii="仿宋" w:hAnsi="仿宋" w:eastAsia="仿宋"/>
                <w:sz w:val="24"/>
                <w:szCs w:val="24"/>
              </w:rPr>
              <w:t>登记注册科</w:t>
            </w:r>
          </w:p>
        </w:tc>
        <w:tc>
          <w:tcPr>
            <w:tcW w:w="2185" w:type="dxa"/>
            <w:noWrap w:val="0"/>
            <w:vAlign w:val="center"/>
          </w:tcPr>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仿宋" w:hAnsi="仿宋" w:eastAsia="仿宋"/>
                <w:sz w:val="24"/>
                <w:szCs w:val="24"/>
              </w:rPr>
            </w:pPr>
            <w:r>
              <w:rPr>
                <w:rFonts w:hint="eastAsia" w:ascii="仿宋" w:hAnsi="仿宋" w:eastAsia="仿宋"/>
                <w:sz w:val="24"/>
                <w:szCs w:val="24"/>
              </w:rPr>
              <w:t>政策指引</w:t>
            </w:r>
          </w:p>
          <w:p>
            <w:pPr>
              <w:keepNext w:val="0"/>
              <w:keepLines w:val="0"/>
              <w:pageBreakBefore w:val="0"/>
              <w:widowControl w:val="0"/>
              <w:kinsoku/>
              <w:overflowPunct/>
              <w:topLinePunct w:val="0"/>
              <w:autoSpaceDE/>
              <w:autoSpaceDN/>
              <w:bidi w:val="0"/>
              <w:adjustRightInd/>
              <w:snapToGrid/>
              <w:spacing w:line="400" w:lineRule="exact"/>
              <w:jc w:val="center"/>
              <w:textAlignment w:val="auto"/>
              <w:rPr>
                <w:rFonts w:hint="eastAsia" w:ascii="仿宋" w:hAnsi="仿宋" w:eastAsia="仿宋"/>
                <w:sz w:val="24"/>
                <w:szCs w:val="24"/>
              </w:rPr>
            </w:pPr>
            <w:r>
              <w:rPr>
                <w:rFonts w:hint="eastAsia" w:ascii="仿宋" w:hAnsi="仿宋" w:eastAsia="仿宋"/>
                <w:sz w:val="24"/>
                <w:szCs w:val="24"/>
              </w:rPr>
              <w:t>意见建议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4"/>
                <w:szCs w:val="24"/>
              </w:rPr>
            </w:pPr>
            <w:r>
              <w:rPr>
                <w:rFonts w:hint="default" w:ascii="Times New Roman" w:hAnsi="Times New Roman" w:eastAsia="仿宋" w:cs="Times New Roman"/>
                <w:color w:val="auto"/>
                <w:sz w:val="24"/>
                <w:szCs w:val="24"/>
              </w:rPr>
              <w:t>2</w:t>
            </w:r>
          </w:p>
        </w:tc>
        <w:tc>
          <w:tcPr>
            <w:tcW w:w="220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4"/>
                <w:szCs w:val="24"/>
                <w:lang w:eastAsia="zh-CN"/>
              </w:rPr>
            </w:pPr>
            <w:r>
              <w:rPr>
                <w:rFonts w:hint="default" w:ascii="Times New Roman" w:hAnsi="Times New Roman" w:eastAsia="仿宋" w:cs="Times New Roman"/>
                <w:color w:val="auto"/>
                <w:sz w:val="24"/>
                <w:szCs w:val="24"/>
              </w:rPr>
              <w:t>信用监管行政指导</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 w:hAnsi="仿宋" w:eastAsia="仿宋"/>
                <w:sz w:val="24"/>
                <w:szCs w:val="24"/>
                <w:lang w:eastAsia="zh-CN"/>
              </w:rPr>
            </w:pPr>
            <w:r>
              <w:rPr>
                <w:rFonts w:hint="default" w:ascii="Times New Roman" w:hAnsi="Times New Roman" w:eastAsia="仿宋" w:cs="Times New Roman"/>
                <w:color w:val="auto"/>
                <w:sz w:val="24"/>
                <w:szCs w:val="24"/>
              </w:rPr>
              <w:t>《企业信息公示暂行条例》等</w:t>
            </w:r>
          </w:p>
        </w:tc>
        <w:tc>
          <w:tcPr>
            <w:tcW w:w="180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4"/>
                <w:szCs w:val="24"/>
                <w:lang w:eastAsia="zh-CN"/>
              </w:rPr>
            </w:pPr>
            <w:r>
              <w:rPr>
                <w:rFonts w:hint="default" w:ascii="Times New Roman" w:hAnsi="Times New Roman" w:eastAsia="仿宋" w:cs="Times New Roman"/>
                <w:color w:val="auto"/>
                <w:sz w:val="24"/>
                <w:szCs w:val="24"/>
              </w:rPr>
              <w:t>信用监管科</w:t>
            </w:r>
          </w:p>
        </w:tc>
        <w:tc>
          <w:tcPr>
            <w:tcW w:w="218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政策指引</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意见建议</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4"/>
                <w:szCs w:val="24"/>
                <w:lang w:eastAsia="zh-CN"/>
              </w:rPr>
            </w:pPr>
            <w:r>
              <w:rPr>
                <w:rFonts w:hint="default" w:ascii="Times New Roman" w:hAnsi="Times New Roman" w:eastAsia="仿宋" w:cs="Times New Roman"/>
                <w:color w:val="auto"/>
                <w:sz w:val="24"/>
                <w:szCs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4"/>
                <w:szCs w:val="24"/>
              </w:rPr>
            </w:pPr>
            <w:r>
              <w:rPr>
                <w:rFonts w:hint="default" w:ascii="Times New Roman" w:hAnsi="Times New Roman" w:eastAsia="仿宋" w:cs="Times New Roman"/>
                <w:color w:val="auto"/>
                <w:sz w:val="24"/>
                <w:szCs w:val="24"/>
              </w:rPr>
              <w:t>3</w:t>
            </w:r>
          </w:p>
        </w:tc>
        <w:tc>
          <w:tcPr>
            <w:tcW w:w="220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4"/>
                <w:szCs w:val="24"/>
              </w:rPr>
            </w:pPr>
            <w:r>
              <w:rPr>
                <w:rFonts w:hint="default" w:ascii="Times New Roman" w:hAnsi="Times New Roman" w:eastAsia="仿宋" w:cs="Times New Roman"/>
                <w:color w:val="auto"/>
                <w:sz w:val="24"/>
                <w:szCs w:val="24"/>
              </w:rPr>
              <w:t>价格监管行政指导</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 w:hAnsi="仿宋" w:eastAsia="仿宋"/>
                <w:sz w:val="24"/>
                <w:szCs w:val="24"/>
              </w:rPr>
            </w:pPr>
            <w:r>
              <w:rPr>
                <w:rFonts w:hint="default" w:ascii="Times New Roman" w:hAnsi="Times New Roman" w:eastAsia="仿宋" w:cs="Times New Roman"/>
                <w:color w:val="auto"/>
                <w:sz w:val="24"/>
                <w:szCs w:val="24"/>
              </w:rPr>
              <w:t>《价格法》《价格管理条例》等</w:t>
            </w:r>
          </w:p>
        </w:tc>
        <w:tc>
          <w:tcPr>
            <w:tcW w:w="180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4"/>
                <w:szCs w:val="24"/>
              </w:rPr>
            </w:pPr>
            <w:r>
              <w:rPr>
                <w:rFonts w:hint="default" w:ascii="Times New Roman" w:hAnsi="Times New Roman" w:eastAsia="仿宋" w:cs="Times New Roman"/>
                <w:color w:val="auto"/>
                <w:sz w:val="24"/>
                <w:szCs w:val="24"/>
              </w:rPr>
              <w:t>价监科</w:t>
            </w:r>
          </w:p>
        </w:tc>
        <w:tc>
          <w:tcPr>
            <w:tcW w:w="218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政策指引</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意见建议</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提示提醒</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仿宋" w:hAnsi="仿宋" w:eastAsia="仿宋"/>
                <w:sz w:val="24"/>
                <w:szCs w:val="24"/>
              </w:rPr>
            </w:pPr>
            <w:r>
              <w:rPr>
                <w:rFonts w:hint="default" w:ascii="Times New Roman" w:hAnsi="Times New Roman" w:eastAsia="仿宋" w:cs="Times New Roman"/>
                <w:color w:val="auto"/>
                <w:sz w:val="24"/>
                <w:szCs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4"/>
                <w:szCs w:val="24"/>
              </w:rPr>
            </w:pPr>
            <w:r>
              <w:rPr>
                <w:rFonts w:hint="default" w:ascii="Times New Roman" w:hAnsi="Times New Roman" w:eastAsia="仿宋" w:cs="Times New Roman"/>
                <w:color w:val="auto"/>
                <w:sz w:val="24"/>
                <w:szCs w:val="24"/>
              </w:rPr>
              <w:t>4</w:t>
            </w:r>
          </w:p>
        </w:tc>
        <w:tc>
          <w:tcPr>
            <w:tcW w:w="220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不正当竞行为</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4"/>
                <w:szCs w:val="24"/>
              </w:rPr>
            </w:pPr>
            <w:r>
              <w:rPr>
                <w:rFonts w:hint="default" w:ascii="Times New Roman" w:hAnsi="Times New Roman" w:eastAsia="仿宋" w:cs="Times New Roman"/>
                <w:color w:val="auto"/>
                <w:sz w:val="24"/>
                <w:szCs w:val="24"/>
              </w:rPr>
              <w:t>行政指导</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 w:hAnsi="仿宋" w:eastAsia="仿宋"/>
                <w:sz w:val="24"/>
                <w:szCs w:val="24"/>
              </w:rPr>
            </w:pPr>
            <w:r>
              <w:rPr>
                <w:rFonts w:hint="default" w:ascii="Times New Roman" w:hAnsi="Times New Roman" w:eastAsia="仿宋" w:cs="Times New Roman"/>
                <w:color w:val="auto"/>
                <w:sz w:val="24"/>
                <w:szCs w:val="24"/>
              </w:rPr>
              <w:t>《反不正当竞争法》等</w:t>
            </w:r>
          </w:p>
        </w:tc>
        <w:tc>
          <w:tcPr>
            <w:tcW w:w="180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4"/>
                <w:szCs w:val="24"/>
              </w:rPr>
            </w:pPr>
            <w:r>
              <w:rPr>
                <w:rFonts w:hint="default" w:ascii="Times New Roman" w:hAnsi="Times New Roman" w:eastAsia="仿宋" w:cs="Times New Roman"/>
                <w:color w:val="auto"/>
                <w:sz w:val="24"/>
                <w:szCs w:val="24"/>
              </w:rPr>
              <w:t>反不正当竞争科</w:t>
            </w:r>
          </w:p>
        </w:tc>
        <w:tc>
          <w:tcPr>
            <w:tcW w:w="218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政策指引</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意见建议</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提示提醒</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仿宋" w:hAnsi="仿宋" w:eastAsia="仿宋"/>
                <w:sz w:val="24"/>
                <w:szCs w:val="24"/>
              </w:rPr>
            </w:pPr>
            <w:r>
              <w:rPr>
                <w:rFonts w:hint="default" w:ascii="Times New Roman" w:hAnsi="Times New Roman" w:eastAsia="仿宋" w:cs="Times New Roman"/>
                <w:color w:val="auto"/>
                <w:sz w:val="24"/>
                <w:szCs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4"/>
                <w:szCs w:val="24"/>
              </w:rPr>
            </w:pPr>
            <w:r>
              <w:rPr>
                <w:rFonts w:hint="default" w:ascii="Times New Roman" w:hAnsi="Times New Roman" w:eastAsia="仿宋" w:cs="Times New Roman"/>
                <w:color w:val="auto"/>
                <w:sz w:val="24"/>
                <w:szCs w:val="24"/>
              </w:rPr>
              <w:t>5</w:t>
            </w:r>
          </w:p>
        </w:tc>
        <w:tc>
          <w:tcPr>
            <w:tcW w:w="220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直销活动、禁止</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4"/>
                <w:szCs w:val="24"/>
              </w:rPr>
            </w:pPr>
            <w:r>
              <w:rPr>
                <w:rFonts w:hint="default" w:ascii="Times New Roman" w:hAnsi="Times New Roman" w:eastAsia="仿宋" w:cs="Times New Roman"/>
                <w:color w:val="auto"/>
                <w:sz w:val="24"/>
                <w:szCs w:val="24"/>
              </w:rPr>
              <w:t>传销行政指导</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 w:hAnsi="仿宋" w:eastAsia="仿宋"/>
                <w:sz w:val="24"/>
                <w:szCs w:val="24"/>
              </w:rPr>
            </w:pPr>
            <w:r>
              <w:rPr>
                <w:rFonts w:hint="default" w:ascii="Times New Roman" w:hAnsi="Times New Roman" w:eastAsia="仿宋" w:cs="Times New Roman"/>
                <w:color w:val="auto"/>
                <w:sz w:val="24"/>
                <w:szCs w:val="24"/>
              </w:rPr>
              <w:t>《直销管理条例》《禁止传销条例》等</w:t>
            </w:r>
          </w:p>
        </w:tc>
        <w:tc>
          <w:tcPr>
            <w:tcW w:w="180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仿宋" w:hAnsi="仿宋" w:eastAsia="仿宋"/>
                <w:sz w:val="24"/>
                <w:szCs w:val="24"/>
              </w:rPr>
            </w:pPr>
            <w:r>
              <w:rPr>
                <w:rFonts w:hint="default" w:ascii="Times New Roman" w:hAnsi="Times New Roman" w:eastAsia="仿宋" w:cs="Times New Roman"/>
                <w:color w:val="auto"/>
                <w:sz w:val="24"/>
                <w:szCs w:val="24"/>
              </w:rPr>
              <w:t>反不正当竞争科</w:t>
            </w:r>
          </w:p>
        </w:tc>
        <w:tc>
          <w:tcPr>
            <w:tcW w:w="218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政策指引</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意见建议</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提示提醒</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仿宋" w:hAnsi="仿宋" w:eastAsia="仿宋"/>
                <w:sz w:val="24"/>
                <w:szCs w:val="24"/>
              </w:rPr>
            </w:pPr>
            <w:r>
              <w:rPr>
                <w:rFonts w:hint="default" w:ascii="Times New Roman" w:hAnsi="Times New Roman" w:eastAsia="仿宋" w:cs="Times New Roman"/>
                <w:color w:val="auto"/>
                <w:sz w:val="24"/>
                <w:szCs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4"/>
                <w:szCs w:val="24"/>
              </w:rPr>
            </w:pPr>
            <w:r>
              <w:rPr>
                <w:rFonts w:hint="default" w:ascii="Times New Roman" w:hAnsi="Times New Roman" w:eastAsia="仿宋" w:cs="Times New Roman"/>
                <w:color w:val="auto"/>
                <w:sz w:val="24"/>
                <w:szCs w:val="24"/>
              </w:rPr>
              <w:t>6</w:t>
            </w:r>
          </w:p>
        </w:tc>
        <w:tc>
          <w:tcPr>
            <w:tcW w:w="220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网络交易监管</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4"/>
                <w:szCs w:val="24"/>
              </w:rPr>
            </w:pPr>
            <w:r>
              <w:rPr>
                <w:rFonts w:hint="default" w:ascii="Times New Roman" w:hAnsi="Times New Roman" w:eastAsia="仿宋" w:cs="Times New Roman"/>
                <w:color w:val="auto"/>
                <w:sz w:val="24"/>
                <w:szCs w:val="24"/>
              </w:rPr>
              <w:t>行政指导</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 w:hAnsi="仿宋" w:eastAsia="仿宋"/>
                <w:sz w:val="24"/>
                <w:szCs w:val="24"/>
              </w:rPr>
            </w:pPr>
            <w:r>
              <w:rPr>
                <w:rFonts w:hint="default" w:ascii="Times New Roman" w:hAnsi="Times New Roman" w:eastAsia="仿宋" w:cs="Times New Roman"/>
                <w:color w:val="auto"/>
                <w:sz w:val="24"/>
                <w:szCs w:val="24"/>
              </w:rPr>
              <w:t>《电子商务法》《网络交易监督管理办法》等</w:t>
            </w:r>
          </w:p>
        </w:tc>
        <w:tc>
          <w:tcPr>
            <w:tcW w:w="180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4"/>
                <w:szCs w:val="24"/>
              </w:rPr>
            </w:pPr>
            <w:r>
              <w:rPr>
                <w:rFonts w:hint="default" w:ascii="Times New Roman" w:hAnsi="Times New Roman" w:eastAsia="仿宋" w:cs="Times New Roman"/>
                <w:color w:val="auto"/>
                <w:sz w:val="24"/>
                <w:szCs w:val="24"/>
              </w:rPr>
              <w:t>网监科</w:t>
            </w:r>
          </w:p>
        </w:tc>
        <w:tc>
          <w:tcPr>
            <w:tcW w:w="218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政策指引</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意见建议</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提示提醒</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仿宋" w:hAnsi="仿宋" w:eastAsia="仿宋"/>
                <w:sz w:val="24"/>
                <w:szCs w:val="24"/>
              </w:rPr>
            </w:pPr>
            <w:r>
              <w:rPr>
                <w:rFonts w:hint="default" w:ascii="Times New Roman" w:hAnsi="Times New Roman" w:eastAsia="仿宋" w:cs="Times New Roman"/>
                <w:color w:val="auto"/>
                <w:sz w:val="24"/>
                <w:szCs w:val="24"/>
              </w:rPr>
              <w:t>示范引领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4"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4"/>
                <w:szCs w:val="24"/>
              </w:rPr>
            </w:pPr>
            <w:r>
              <w:rPr>
                <w:rFonts w:hint="default" w:ascii="Times New Roman" w:hAnsi="Times New Roman" w:eastAsia="仿宋" w:cs="Times New Roman"/>
                <w:color w:val="auto"/>
                <w:sz w:val="24"/>
                <w:szCs w:val="24"/>
              </w:rPr>
              <w:t>7</w:t>
            </w:r>
          </w:p>
        </w:tc>
        <w:tc>
          <w:tcPr>
            <w:tcW w:w="2208"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4"/>
                <w:szCs w:val="24"/>
              </w:rPr>
            </w:pPr>
            <w:r>
              <w:rPr>
                <w:rFonts w:hint="default" w:ascii="Times New Roman" w:hAnsi="Times New Roman" w:eastAsia="仿宋" w:cs="Times New Roman"/>
                <w:color w:val="auto"/>
                <w:sz w:val="24"/>
                <w:szCs w:val="24"/>
              </w:rPr>
              <w:t>合同行为行政指导</w:t>
            </w:r>
          </w:p>
        </w:tc>
        <w:tc>
          <w:tcPr>
            <w:tcW w:w="2500"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360" w:lineRule="exact"/>
              <w:ind w:left="0" w:leftChars="0" w:right="0" w:rightChars="0" w:firstLine="0" w:firstLineChars="0"/>
              <w:jc w:val="left"/>
              <w:textAlignment w:val="auto"/>
              <w:outlineLvl w:val="9"/>
              <w:rPr>
                <w:rFonts w:hint="eastAsia" w:ascii="仿宋" w:hAnsi="仿宋" w:eastAsia="仿宋"/>
                <w:sz w:val="24"/>
                <w:szCs w:val="24"/>
              </w:rPr>
            </w:pPr>
            <w:r>
              <w:rPr>
                <w:rFonts w:hint="default" w:ascii="Times New Roman" w:hAnsi="Times New Roman" w:eastAsia="仿宋" w:cs="Times New Roman"/>
                <w:color w:val="auto"/>
                <w:sz w:val="24"/>
                <w:szCs w:val="24"/>
              </w:rPr>
              <w:t>《民法典》《合同违法行为监督处理办法》等</w:t>
            </w:r>
          </w:p>
        </w:tc>
        <w:tc>
          <w:tcPr>
            <w:tcW w:w="1807"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eastAsia" w:ascii="仿宋" w:hAnsi="仿宋" w:eastAsia="仿宋"/>
                <w:sz w:val="24"/>
                <w:szCs w:val="24"/>
              </w:rPr>
            </w:pPr>
            <w:r>
              <w:rPr>
                <w:rFonts w:hint="default" w:ascii="Times New Roman" w:hAnsi="Times New Roman" w:eastAsia="仿宋" w:cs="Times New Roman"/>
                <w:color w:val="auto"/>
                <w:sz w:val="24"/>
                <w:szCs w:val="24"/>
              </w:rPr>
              <w:t>市场科</w:t>
            </w:r>
          </w:p>
        </w:tc>
        <w:tc>
          <w:tcPr>
            <w:tcW w:w="2185" w:type="dxa"/>
            <w:noWrap w:val="0"/>
            <w:vAlign w:val="center"/>
          </w:tcPr>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政策指引</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意见建议</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center"/>
              <w:textAlignment w:val="auto"/>
              <w:outlineLvl w:val="9"/>
              <w:rPr>
                <w:rFonts w:ascii="仿宋" w:hAnsi="仿宋" w:eastAsia="仿宋"/>
                <w:sz w:val="24"/>
                <w:szCs w:val="24"/>
              </w:rPr>
            </w:pPr>
            <w:r>
              <w:rPr>
                <w:rFonts w:hint="default" w:ascii="Times New Roman" w:hAnsi="Times New Roman" w:eastAsia="仿宋" w:cs="Times New Roman"/>
                <w:color w:val="auto"/>
                <w:sz w:val="24"/>
                <w:szCs w:val="24"/>
              </w:rPr>
              <w:t>提示提醒</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sectPr>
          <w:footerReference r:id="rId3" w:type="default"/>
          <w:pgSz w:w="11906" w:h="16838"/>
          <w:pgMar w:top="2098" w:right="1474" w:bottom="1701" w:left="1587" w:header="851" w:footer="992" w:gutter="0"/>
          <w:pgNumType w:fmt="decimal"/>
          <w:cols w:space="425" w:num="1"/>
          <w:docGrid w:type="lines" w:linePitch="312" w:charSpace="0"/>
        </w:sectPr>
      </w:pPr>
    </w:p>
    <w:p>
      <w:pPr>
        <w:pStyle w:val="2"/>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bookmarkStart w:id="3" w:name="_GoBack"/>
      <w:bookmarkEnd w:id="3"/>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eastAsia="zh-CN"/>
        </w:rPr>
      </w:pPr>
    </w:p>
    <w:sectPr>
      <w:footerReference r:id="rId4" w:type="default"/>
      <w:pgSz w:w="11906" w:h="16838"/>
      <w:pgMar w:top="2098" w:right="1474"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-78740</wp:posOffset>
              </wp:positionV>
              <wp:extent cx="800100" cy="2247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0100" cy="22479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6.2pt;height:17.7pt;width:63pt;mso-position-horizontal:outside;mso-position-horizontal-relative:margin;z-index:251659264;mso-width-relative:page;mso-height-relative:page;" filled="f" stroked="f" coordsize="21600,21600" o:gfxdata="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v7rhPNYAAAAHAQAADwAAAAAAAAABACAAAAAiAAAAZHJzL2Rvd25yZXYueG1s&#10;UEsBAhQAFAAAAAgAh07iQMEUekMzAgAAYQQAAA4AAAAAAAAAAQAgAAAAJQEAAGRycy9lMm9Eb2Mu&#10;eG1sUEsFBgAAAAAGAAYAWQEAAMoFAAAAAA==&#10;">
              <v:fill on="f" focussize="0,0"/>
              <v:stroke on="f" weight="0.5pt"/>
              <v:imagedata o:title=""/>
              <o:lock v:ext="edit" aspectratio="f"/>
              <v:textbox inset="0mm,0mm,0mm,0mm">
                <w:txbxContent>
                  <w:p>
                    <w:pPr>
                      <w:pStyle w:val="4"/>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r>
                      <w:rPr>
                        <w:rFonts w:hint="eastAsia" w:ascii="仿宋_GB2312" w:hAnsi="仿宋_GB2312" w:eastAsia="仿宋_GB2312" w:cs="仿宋_GB2312"/>
                        <w:sz w:val="32"/>
                        <w:szCs w:val="32"/>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A40B98"/>
    <w:multiLevelType w:val="singleLevel"/>
    <w:tmpl w:val="CAA40B9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7A28EF"/>
    <w:rsid w:val="03AA452D"/>
    <w:rsid w:val="03C66B0D"/>
    <w:rsid w:val="0D40115D"/>
    <w:rsid w:val="0E411DA5"/>
    <w:rsid w:val="120314AE"/>
    <w:rsid w:val="152D52D0"/>
    <w:rsid w:val="1FB750DC"/>
    <w:rsid w:val="1FDA142A"/>
    <w:rsid w:val="24D6653A"/>
    <w:rsid w:val="2B277CEE"/>
    <w:rsid w:val="35E139D4"/>
    <w:rsid w:val="39514281"/>
    <w:rsid w:val="3EC94493"/>
    <w:rsid w:val="3EE4334A"/>
    <w:rsid w:val="430A2DE6"/>
    <w:rsid w:val="44140BFC"/>
    <w:rsid w:val="48F40E9A"/>
    <w:rsid w:val="4B70528C"/>
    <w:rsid w:val="4B7A28EF"/>
    <w:rsid w:val="4DC274C5"/>
    <w:rsid w:val="4DFF1BF3"/>
    <w:rsid w:val="4EF865A3"/>
    <w:rsid w:val="548D1BD9"/>
    <w:rsid w:val="572B7956"/>
    <w:rsid w:val="5A5D1252"/>
    <w:rsid w:val="5DB6571C"/>
    <w:rsid w:val="61955FD3"/>
    <w:rsid w:val="6477593F"/>
    <w:rsid w:val="65AC0C47"/>
    <w:rsid w:val="6D433FA2"/>
    <w:rsid w:val="71DB7E16"/>
    <w:rsid w:val="72B85EDA"/>
    <w:rsid w:val="74621101"/>
    <w:rsid w:val="74D114D6"/>
    <w:rsid w:val="74EF34A5"/>
    <w:rsid w:val="76B501F7"/>
    <w:rsid w:val="76FE6DEE"/>
    <w:rsid w:val="773C2938"/>
    <w:rsid w:val="77CD322C"/>
    <w:rsid w:val="79CD6E3E"/>
    <w:rsid w:val="7F96085F"/>
    <w:rsid w:val="7FEA1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宋体" w:cs="Times New Roman"/>
    </w:rPr>
  </w:style>
  <w:style w:type="paragraph" w:styleId="3">
    <w:name w:val="Plain Text"/>
    <w:basedOn w:val="1"/>
    <w:qFormat/>
    <w:uiPriority w:val="0"/>
    <w:rPr>
      <w:rFonts w:ascii="宋体" w:hAnsi="Courier New" w:cs="楷体_GB2312"/>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styleId="11">
    <w:name w:val="Hyperlink"/>
    <w:basedOn w:val="9"/>
    <w:qFormat/>
    <w:uiPriority w:val="0"/>
    <w:rPr>
      <w:color w:val="0000FF"/>
      <w:u w:val="single"/>
    </w:rPr>
  </w:style>
  <w:style w:type="paragraph" w:customStyle="1" w:styleId="12">
    <w:name w:val="Body text|3"/>
    <w:basedOn w:val="1"/>
    <w:qFormat/>
    <w:uiPriority w:val="0"/>
    <w:pPr>
      <w:widowControl w:val="0"/>
      <w:shd w:val="clear" w:color="auto" w:fill="auto"/>
      <w:spacing w:after="190"/>
      <w:jc w:val="center"/>
    </w:pPr>
    <w:rPr>
      <w:rFonts w:ascii="宋体" w:hAnsi="宋体" w:eastAsia="宋体" w:cs="宋体"/>
      <w:sz w:val="32"/>
      <w:szCs w:val="32"/>
      <w:u w:val="none"/>
      <w:shd w:val="clear" w:color="auto" w:fill="auto"/>
      <w:lang w:val="zh-TW" w:eastAsia="zh-TW" w:bidi="zh-TW"/>
    </w:rPr>
  </w:style>
  <w:style w:type="paragraph" w:customStyle="1" w:styleId="13">
    <w:name w:val="Body text|2"/>
    <w:basedOn w:val="1"/>
    <w:qFormat/>
    <w:uiPriority w:val="0"/>
    <w:pPr>
      <w:widowControl w:val="0"/>
      <w:shd w:val="clear" w:color="auto" w:fill="auto"/>
    </w:pPr>
    <w:rPr>
      <w:rFonts w:ascii="宋体" w:hAnsi="宋体" w:eastAsia="宋体" w:cs="宋体"/>
      <w:sz w:val="26"/>
      <w:szCs w:val="26"/>
      <w:u w:val="none"/>
      <w:shd w:val="clear" w:color="auto" w:fill="auto"/>
      <w:lang w:val="zh-TW" w:eastAsia="zh-TW" w:bidi="zh-TW"/>
    </w:rPr>
  </w:style>
  <w:style w:type="paragraph" w:customStyle="1" w:styleId="14">
    <w:name w:val="Heading #2|1"/>
    <w:basedOn w:val="1"/>
    <w:qFormat/>
    <w:uiPriority w:val="0"/>
    <w:pPr>
      <w:widowControl w:val="0"/>
      <w:shd w:val="clear" w:color="auto" w:fill="auto"/>
      <w:spacing w:after="460" w:line="686"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15">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16">
    <w:name w:val="Normal (Web)"/>
    <w:basedOn w:val="1"/>
    <w:qFormat/>
    <w:uiPriority w:val="0"/>
    <w:pPr>
      <w:jc w:val="left"/>
    </w:pPr>
    <w:rPr>
      <w:rFonts w:ascii="Calibri" w:hAnsi="Calibri"/>
      <w:kern w:val="0"/>
      <w:sz w:val="24"/>
    </w:rPr>
  </w:style>
  <w:style w:type="paragraph" w:customStyle="1" w:styleId="17">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heme="minorBidi"/>
      <w:kern w:val="2"/>
      <w:sz w:val="21"/>
      <w:szCs w:val="22"/>
      <w:lang w:val="en-US" w:eastAsia="zh-CN" w:bidi="ar-SA"/>
    </w:rPr>
  </w:style>
  <w:style w:type="paragraph" w:customStyle="1" w:styleId="18">
    <w:name w:val=" Char Char Char Char Char Char Char"/>
    <w:basedOn w:val="1"/>
    <w:qFormat/>
    <w:uiPriority w:val="0"/>
    <w:pPr>
      <w:widowControl/>
      <w:adjustRightInd w:val="0"/>
      <w:spacing w:after="160" w:afterLines="0" w:line="240" w:lineRule="exact"/>
      <w:jc w:val="left"/>
      <w:textAlignment w:val="baseline"/>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2021-04-20T02:04:00Z</dcterms:created>
  <dc:creator>路立红</dc:creator>
  <cp:lastModifiedBy>WPS_1496933198</cp:lastModifiedBy>
  <cp:lastPrinted>2021-06-09T07:30:13Z</cp:lastPrinted>
  <dcterms:modified xsi:type="dcterms:W3CDTF">2021-06-09T07:39:38Z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DF86F1A8099245F2918FF8E8874D7F74</vt:lpwstr>
  </property>
  <property fmtid="{D5CDD505-2E9C-101B-9397-08002B2CF9AE}" pid="4" name="KSOSaveFontToCloudKey">
    <vt:lpwstr>197229288_cloud</vt:lpwstr>
  </property>
</Properties>
</file>