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980" w:lineRule="exact"/>
        <w:jc w:val="both"/>
        <w:rPr>
          <w:rFonts w:hint="eastAsia" w:ascii="方正小标宋简体" w:eastAsia="方正小标宋简体"/>
          <w:color w:val="FF0000"/>
          <w:w w:val="55"/>
          <w:sz w:val="144"/>
          <w:szCs w:val="144"/>
        </w:rPr>
      </w:pPr>
    </w:p>
    <w:p>
      <w:pPr>
        <w:spacing w:line="560" w:lineRule="exact"/>
        <w:rPr>
          <w:rFonts w:hint="eastAsia" w:ascii="方正小标宋简体" w:eastAsia="方正小标宋简体"/>
          <w:color w:val="FF0000"/>
          <w:w w:val="55"/>
          <w:position w:val="10"/>
          <w:sz w:val="32"/>
          <w:szCs w:val="32"/>
        </w:rPr>
      </w:pPr>
    </w:p>
    <w:p>
      <w:pPr>
        <w:spacing w:line="560" w:lineRule="exact"/>
        <w:jc w:val="center"/>
        <w:rPr>
          <w:rFonts w:hint="eastAsia" w:ascii="方正小标宋简体" w:eastAsia="方正小标宋简体"/>
          <w:color w:val="FF0000"/>
          <w:w w:val="66"/>
          <w:position w:val="10"/>
          <w:sz w:val="32"/>
          <w:szCs w:val="32"/>
        </w:rPr>
      </w:pPr>
    </w:p>
    <w:p>
      <w:pPr>
        <w:spacing w:line="560" w:lineRule="exact"/>
        <w:jc w:val="center"/>
        <w:rPr>
          <w:rFonts w:hint="eastAsia" w:ascii="方正小标宋简体" w:eastAsia="方正小标宋简体"/>
          <w:color w:val="FF0000"/>
          <w:w w:val="66"/>
          <w:position w:val="10"/>
          <w:sz w:val="32"/>
          <w:szCs w:val="32"/>
        </w:rPr>
      </w:pPr>
      <w:r>
        <w:rPr>
          <w:rFonts w:hint="default" w:ascii="Times New Roman" w:hAnsi="Times New Roman" w:eastAsia="仿宋_GB2312" w:cs="Times New Roman"/>
          <w:sz w:val="32"/>
          <w:szCs w:val="32"/>
          <w:lang w:eastAsia="zh-CN"/>
        </w:rPr>
        <w:t>高政办字〔202</w:t>
      </w:r>
      <w:bookmarkStart w:id="0" w:name="_GoBack"/>
      <w:bookmarkEnd w:id="0"/>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36</w:t>
      </w:r>
      <w:r>
        <w:rPr>
          <w:rFonts w:hint="default" w:ascii="Times New Roman" w:hAnsi="Times New Roman" w:eastAsia="仿宋_GB2312" w:cs="Times New Roman"/>
          <w:sz w:val="32"/>
          <w:szCs w:val="32"/>
          <w:lang w:eastAsia="zh-CN"/>
        </w:rPr>
        <w:t>号</w:t>
      </w:r>
    </w:p>
    <w:p>
      <w:pPr>
        <w:spacing w:line="560" w:lineRule="exact"/>
        <w:rPr>
          <w:rFonts w:hint="default" w:ascii="Times New Roman" w:hAnsi="Times New Roman" w:eastAsia="方正小标宋简体" w:cs="Times New Roman"/>
          <w:sz w:val="44"/>
          <w:szCs w:val="44"/>
          <w:lang w:eastAsia="zh-CN"/>
        </w:rPr>
      </w:pPr>
    </w:p>
    <w:p>
      <w:pPr>
        <w:pStyle w:val="6"/>
        <w:keepNext w:val="0"/>
        <w:keepLines w:val="0"/>
        <w:pageBreakBefore w:val="0"/>
        <w:widowControl/>
        <w:kinsoku/>
        <w:wordWrap/>
        <w:overflowPunct/>
        <w:topLinePunct w:val="0"/>
        <w:autoSpaceDE/>
        <w:autoSpaceDN/>
        <w:bidi w:val="0"/>
        <w:adjustRightInd w:val="0"/>
        <w:snapToGrid/>
        <w:spacing w:beforeAutospacing="0" w:afterAutospacing="0" w:line="540" w:lineRule="exact"/>
        <w:jc w:val="center"/>
        <w:textAlignment w:val="auto"/>
        <w:rPr>
          <w:rFonts w:hint="default" w:ascii="Times New Roman" w:hAnsi="Times New Roman" w:eastAsia="方正小标宋简体" w:cs="Times New Roman"/>
          <w:b w:val="0"/>
          <w:bCs w:val="0"/>
          <w:spacing w:val="0"/>
          <w:position w:val="0"/>
          <w:sz w:val="44"/>
          <w:szCs w:val="44"/>
          <w:lang w:val="en-US" w:eastAsia="zh-CN"/>
        </w:rPr>
      </w:pPr>
      <w:r>
        <w:rPr>
          <w:rFonts w:hint="default" w:ascii="Times New Roman" w:hAnsi="Times New Roman" w:eastAsia="方正小标宋简体" w:cs="Times New Roman"/>
          <w:b w:val="0"/>
          <w:bCs w:val="0"/>
          <w:spacing w:val="0"/>
          <w:position w:val="0"/>
          <w:sz w:val="44"/>
          <w:szCs w:val="44"/>
          <w:lang w:val="en-US" w:eastAsia="zh-CN"/>
        </w:rPr>
        <w:t>高青县人民政府办公室</w:t>
      </w:r>
    </w:p>
    <w:p>
      <w:pPr>
        <w:keepNext w:val="0"/>
        <w:keepLines w:val="0"/>
        <w:pageBreakBefore w:val="0"/>
        <w:kinsoku/>
        <w:wordWrap/>
        <w:overflowPunct/>
        <w:topLinePunct w:val="0"/>
        <w:autoSpaceDE/>
        <w:autoSpaceDN/>
        <w:bidi w:val="0"/>
        <w:snapToGrid/>
        <w:spacing w:line="540" w:lineRule="exact"/>
        <w:jc w:val="center"/>
        <w:textAlignment w:val="auto"/>
        <w:rPr>
          <w:rFonts w:hint="default" w:ascii="Times New Roman" w:hAnsi="Times New Roman" w:eastAsia="方正小标宋简体" w:cs="Times New Roman"/>
          <w:spacing w:val="0"/>
          <w:position w:val="0"/>
          <w:sz w:val="44"/>
          <w:szCs w:val="44"/>
        </w:rPr>
      </w:pPr>
      <w:r>
        <w:rPr>
          <w:rFonts w:hint="default" w:ascii="Times New Roman" w:hAnsi="Times New Roman" w:eastAsia="方正小标宋简体" w:cs="Times New Roman"/>
          <w:spacing w:val="0"/>
          <w:position w:val="0"/>
          <w:sz w:val="44"/>
          <w:szCs w:val="44"/>
        </w:rPr>
        <w:t>关于</w:t>
      </w:r>
      <w:r>
        <w:rPr>
          <w:rFonts w:hint="default" w:ascii="Times New Roman" w:hAnsi="Times New Roman" w:eastAsia="方正小标宋简体" w:cs="Times New Roman"/>
          <w:spacing w:val="0"/>
          <w:position w:val="0"/>
          <w:sz w:val="44"/>
          <w:szCs w:val="44"/>
          <w:lang w:val="en-US" w:eastAsia="zh-CN"/>
        </w:rPr>
        <w:t>印发《</w:t>
      </w:r>
      <w:r>
        <w:rPr>
          <w:rFonts w:hint="default" w:ascii="Times New Roman" w:hAnsi="Times New Roman" w:eastAsia="方正小标宋简体" w:cs="Times New Roman"/>
          <w:spacing w:val="0"/>
          <w:position w:val="0"/>
          <w:sz w:val="44"/>
          <w:szCs w:val="44"/>
        </w:rPr>
        <w:t>高青县县属国有企业违规经营投资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 w:val="0"/>
          <w:bCs w:val="0"/>
          <w:spacing w:val="0"/>
          <w:position w:val="0"/>
          <w:sz w:val="44"/>
          <w:szCs w:val="44"/>
          <w:lang w:val="en-US" w:eastAsia="zh-CN"/>
        </w:rPr>
      </w:pPr>
      <w:r>
        <w:rPr>
          <w:rFonts w:hint="default" w:ascii="Times New Roman" w:hAnsi="Times New Roman" w:eastAsia="方正小标宋简体" w:cs="Times New Roman"/>
          <w:spacing w:val="0"/>
          <w:position w:val="0"/>
          <w:sz w:val="44"/>
          <w:szCs w:val="44"/>
        </w:rPr>
        <w:t>责任追究实施办法（试行）</w:t>
      </w:r>
      <w:r>
        <w:rPr>
          <w:rFonts w:hint="default" w:ascii="Times New Roman" w:hAnsi="Times New Roman" w:eastAsia="方正小标宋简体" w:cs="Times New Roman"/>
          <w:spacing w:val="0"/>
          <w:position w:val="0"/>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pacing w:val="0"/>
          <w:positio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val="en-US" w:eastAsia="zh-CN"/>
        </w:rPr>
        <w:t>各镇人民政府，各街道办事处，经济开发区管委会，县政府各部门，各有关单位</w:t>
      </w:r>
      <w:r>
        <w:rPr>
          <w:rFonts w:hint="default" w:ascii="Times New Roman" w:hAnsi="Times New Roman" w:eastAsia="仿宋_GB2312" w:cs="Times New Roman"/>
          <w:spacing w:val="0"/>
          <w:position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lang w:val="en-US" w:eastAsia="zh-CN"/>
        </w:rPr>
        <w:t>《高青县县属国有企业违规经营投资责任追究实施办法（试行）》已经县政府研究同意，现印发给你们，请认真遵照执行。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pacing w:val="0"/>
          <w:positio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default" w:ascii="Times New Roman" w:hAnsi="Times New Roman" w:eastAsia="仿宋_GB2312" w:cs="Times New Roman"/>
          <w:spacing w:val="0"/>
          <w:position w:val="0"/>
          <w:sz w:val="32"/>
          <w:szCs w:val="32"/>
          <w:lang w:val="en-US" w:eastAsia="zh-CN"/>
        </w:rPr>
      </w:pPr>
      <w:r>
        <w:rPr>
          <w:rFonts w:hint="default" w:ascii="Times New Roman" w:hAnsi="Times New Roman" w:eastAsia="仿宋_GB2312" w:cs="Times New Roman"/>
          <w:spacing w:val="0"/>
          <w:position w:val="0"/>
          <w:sz w:val="32"/>
          <w:szCs w:val="32"/>
        </w:rPr>
        <w:t>高青县</w:t>
      </w:r>
      <w:r>
        <w:rPr>
          <w:rFonts w:hint="default" w:ascii="Times New Roman" w:hAnsi="Times New Roman" w:eastAsia="仿宋_GB2312" w:cs="Times New Roman"/>
          <w:spacing w:val="0"/>
          <w:position w:val="0"/>
          <w:sz w:val="32"/>
          <w:szCs w:val="32"/>
          <w:lang w:val="en-US" w:eastAsia="zh-CN"/>
        </w:rPr>
        <w:t>人民政府办公室</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 xml:space="preserve">                                 202</w:t>
      </w:r>
      <w:r>
        <w:rPr>
          <w:rFonts w:hint="default" w:ascii="Times New Roman" w:hAnsi="Times New Roman" w:eastAsia="仿宋_GB2312" w:cs="Times New Roman"/>
          <w:spacing w:val="0"/>
          <w:position w:val="0"/>
          <w:sz w:val="32"/>
          <w:szCs w:val="32"/>
          <w:lang w:val="en-US" w:eastAsia="zh-CN"/>
        </w:rPr>
        <w:t>2</w:t>
      </w:r>
      <w:r>
        <w:rPr>
          <w:rFonts w:hint="default" w:ascii="Times New Roman" w:hAnsi="Times New Roman" w:eastAsia="仿宋_GB2312" w:cs="Times New Roman"/>
          <w:spacing w:val="0"/>
          <w:position w:val="0"/>
          <w:sz w:val="32"/>
          <w:szCs w:val="32"/>
        </w:rPr>
        <w:t>年</w:t>
      </w:r>
      <w:r>
        <w:rPr>
          <w:rFonts w:hint="default" w:ascii="Times New Roman" w:hAnsi="Times New Roman" w:eastAsia="仿宋_GB2312" w:cs="Times New Roman"/>
          <w:spacing w:val="0"/>
          <w:position w:val="0"/>
          <w:sz w:val="32"/>
          <w:szCs w:val="32"/>
          <w:lang w:val="en-US" w:eastAsia="zh-CN"/>
        </w:rPr>
        <w:t>9</w:t>
      </w:r>
      <w:r>
        <w:rPr>
          <w:rFonts w:hint="default" w:ascii="Times New Roman" w:hAnsi="Times New Roman" w:eastAsia="仿宋_GB2312" w:cs="Times New Roman"/>
          <w:spacing w:val="0"/>
          <w:position w:val="0"/>
          <w:sz w:val="32"/>
          <w:szCs w:val="32"/>
        </w:rPr>
        <w:t>月</w:t>
      </w:r>
      <w:r>
        <w:rPr>
          <w:rFonts w:hint="eastAsia" w:ascii="Times New Roman" w:hAnsi="Times New Roman" w:eastAsia="仿宋_GB2312" w:cs="Times New Roman"/>
          <w:spacing w:val="0"/>
          <w:position w:val="0"/>
          <w:sz w:val="32"/>
          <w:szCs w:val="32"/>
          <w:lang w:val="en-US" w:eastAsia="zh-CN"/>
        </w:rPr>
        <w:t>26</w:t>
      </w:r>
      <w:r>
        <w:rPr>
          <w:rFonts w:hint="default" w:ascii="Times New Roman" w:hAnsi="Times New Roman" w:eastAsia="仿宋_GB2312" w:cs="Times New Roman"/>
          <w:spacing w:val="0"/>
          <w:position w:val="0"/>
          <w:sz w:val="32"/>
          <w:szCs w:val="32"/>
        </w:rPr>
        <w:t>日</w:t>
      </w: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方正小标宋简体" w:cs="Times New Roman"/>
          <w:spacing w:val="0"/>
          <w:position w:val="0"/>
          <w:sz w:val="44"/>
          <w:szCs w:val="44"/>
        </w:rPr>
      </w:pPr>
      <w:r>
        <w:rPr>
          <w:rFonts w:hint="default" w:ascii="Times New Roman" w:hAnsi="Times New Roman" w:eastAsia="方正小标宋简体" w:cs="Times New Roman"/>
          <w:spacing w:val="0"/>
          <w:position w:val="0"/>
          <w:sz w:val="44"/>
          <w:szCs w:val="44"/>
        </w:rPr>
        <w:t>高青县县属国有企业违规经营投资</w:t>
      </w: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方正小标宋简体" w:cs="Times New Roman"/>
          <w:spacing w:val="0"/>
          <w:position w:val="0"/>
          <w:sz w:val="44"/>
          <w:szCs w:val="44"/>
        </w:rPr>
      </w:pPr>
      <w:r>
        <w:rPr>
          <w:rFonts w:hint="default" w:ascii="Times New Roman" w:hAnsi="Times New Roman" w:eastAsia="方正小标宋简体" w:cs="Times New Roman"/>
          <w:spacing w:val="0"/>
          <w:position w:val="0"/>
          <w:sz w:val="44"/>
          <w:szCs w:val="44"/>
        </w:rPr>
        <w:t>责任追究实施办法（试行）</w:t>
      </w: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楷体_GB2312" w:cs="Times New Roman"/>
          <w:spacing w:val="0"/>
          <w:position w:val="0"/>
          <w:sz w:val="32"/>
          <w:szCs w:val="32"/>
        </w:rPr>
      </w:pP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黑体" w:cs="Times New Roman"/>
          <w:spacing w:val="0"/>
          <w:position w:val="0"/>
          <w:sz w:val="32"/>
          <w:szCs w:val="32"/>
        </w:rPr>
      </w:pPr>
      <w:r>
        <w:rPr>
          <w:rFonts w:hint="default" w:ascii="Times New Roman" w:hAnsi="Times New Roman" w:eastAsia="黑体" w:cs="Times New Roman"/>
          <w:spacing w:val="0"/>
          <w:position w:val="0"/>
          <w:sz w:val="32"/>
          <w:szCs w:val="32"/>
        </w:rPr>
        <w:t>第一章 总 则</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第一条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为加强和规范县属国有企业违规经营投资责任追究工作，进一步完善国有资产监督管理制度，建立健全权责清晰、约束有效的经营投资责任体系，落实国有资产保值增值责任，有效防止国有资产流失，根据《中华人民共和国公司法》《中华人民共和国企业国有资产法》《山东省企业国有资产监督管理条例》等法律法规和《中央企业违规经营投资责任追究实施办法（试行）》《国务院办公厅关于建立国有企业违规经营投资责任追究制度的意见》《山东省属企业违规经营投资责任追究实施办法（试行）》《淄博市市属国有企业违规经营投资责任追究实施办法（试行）》有关要求，结合实际，制定本实施办法。</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第二条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本办法所称县属国有企业是指由县政府代表国家履行出资人职责的国有独资企业、国有全资企业或国有控股公司。</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第三条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本办法所称违规经营投资责任追究（以下简称责任追究）是指县属国有企业经营管理有关人员违反规定，未履行或未正确履行职责，在经营投资中造成国有资产损失或其他严重不良后果，经调查核实和责任认定，对相关责任人进行处理的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前款所称经营管理人员，是指企业中由党组织或国家机关、国有公司、企业、事业单位提名、推荐、任命、批准等，从事领导、组织、管理、监督等活动的人员。</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前款所称规定，包括国家法律法规、国家和省市县国有资产监管规章制度以及企业内部管理规定等。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前款所称未履行职责，是指未在规定期限内或正当合理期限内行使职权、承担责任，一般包括不作为、拒绝履行职责、拖延履行职责等；未正确履行职责，是指未按规定以及岗位职责要求，不适当或不完全行使职权、承担责任，一般包括未按程序行使职权、超越职权、滥用职权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方正仿宋简体" w:cs="Times New Roman"/>
          <w:spacing w:val="0"/>
          <w:position w:val="0"/>
          <w:sz w:val="32"/>
          <w:szCs w:val="32"/>
        </w:rPr>
      </w:pPr>
      <w:r>
        <w:rPr>
          <w:rFonts w:hint="default" w:ascii="Times New Roman" w:hAnsi="Times New Roman" w:eastAsia="黑体" w:cs="Times New Roman"/>
          <w:spacing w:val="0"/>
          <w:position w:val="0"/>
          <w:sz w:val="32"/>
          <w:szCs w:val="32"/>
        </w:rPr>
        <w:t>第四条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责任追究工作应当遵循以下原则：</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楷体_GB2312" w:cs="Times New Roman"/>
          <w:spacing w:val="0"/>
          <w:position w:val="0"/>
          <w:sz w:val="32"/>
          <w:szCs w:val="32"/>
        </w:rPr>
        <w:t>（一）依法依规问责。</w:t>
      </w:r>
      <w:r>
        <w:rPr>
          <w:rFonts w:hint="default" w:ascii="Times New Roman" w:hAnsi="Times New Roman" w:eastAsia="仿宋_GB2312" w:cs="Times New Roman"/>
          <w:spacing w:val="0"/>
          <w:position w:val="0"/>
          <w:sz w:val="32"/>
          <w:szCs w:val="32"/>
        </w:rPr>
        <w:t>以国家法律法规为准绳，按照国有资产监管规章制度和企业内部管理规定等，对违反规定、未履行或未正确履行职责造成国有资产损失或其他严重不良后果的企业经营管理有关人员，严肃追究问责，实行重大决策终身问责。</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楷体_GB2312" w:cs="Times New Roman"/>
          <w:spacing w:val="0"/>
          <w:position w:val="0"/>
          <w:sz w:val="32"/>
          <w:szCs w:val="32"/>
        </w:rPr>
        <w:t>（二）客观公正定责。</w:t>
      </w:r>
      <w:r>
        <w:rPr>
          <w:rFonts w:hint="default" w:ascii="Times New Roman" w:hAnsi="Times New Roman" w:eastAsia="仿宋_GB2312" w:cs="Times New Roman"/>
          <w:spacing w:val="0"/>
          <w:position w:val="0"/>
          <w:sz w:val="32"/>
          <w:szCs w:val="32"/>
        </w:rPr>
        <w:t>贯彻落实“三个区分开来”和激励担当作为、实施容错纠错的有关要求，在充分调查核实的基础上，实事求是地认定违规行为的事实、性质及其造成的损失和影响，既考虑量的标准也考虑质的不同，审慎区分</w:t>
      </w:r>
      <w:r>
        <w:rPr>
          <w:rFonts w:hint="default" w:ascii="Times New Roman" w:hAnsi="Times New Roman" w:eastAsia="仿宋_GB2312" w:cs="Times New Roman"/>
          <w:spacing w:val="0"/>
          <w:position w:val="0"/>
          <w:sz w:val="32"/>
          <w:szCs w:val="32"/>
          <w:lang w:eastAsia="zh-CN"/>
        </w:rPr>
        <w:t>疏忽</w:t>
      </w:r>
      <w:r>
        <w:rPr>
          <w:rFonts w:hint="default" w:ascii="Times New Roman" w:hAnsi="Times New Roman" w:eastAsia="仿宋_GB2312" w:cs="Times New Roman"/>
          <w:spacing w:val="0"/>
          <w:position w:val="0"/>
          <w:sz w:val="32"/>
          <w:szCs w:val="32"/>
        </w:rPr>
        <w:t>过失与明知故犯、工作失误与失职渎职、探索实践与以权谋私，严格界定责任追究范围和相关人员责任。在强化责任约束的同时，对已履行规定程序作出决策的经营投资事项，因不可抗力、政策变动或发生市场风险造成损失的，不追究经营管理有关人员的责任，保护企业经营管理有关人员干事创业的积极性，恰当公正地处理相关责任人。</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楷体_GB2312" w:cs="Times New Roman"/>
          <w:spacing w:val="0"/>
          <w:position w:val="0"/>
          <w:sz w:val="32"/>
          <w:szCs w:val="32"/>
        </w:rPr>
        <w:t>（三）分级分层追责。</w:t>
      </w:r>
      <w:r>
        <w:rPr>
          <w:rFonts w:hint="default" w:ascii="Times New Roman" w:hAnsi="Times New Roman" w:eastAsia="仿宋_GB2312" w:cs="Times New Roman"/>
          <w:spacing w:val="0"/>
          <w:position w:val="0"/>
          <w:sz w:val="32"/>
          <w:szCs w:val="32"/>
        </w:rPr>
        <w:t>县国资监管机构负责县属国有企业违规经营投资责任追究工作的统一管理。县国资监管机构和县属国有企业原则上按照企业管理关系和干部管理权限，界定责任追究工作职责，分级组织开展责任追究工作，分别对企业不同层级经营管理人员进行追究处理，形成分级分层、有效衔接、上下贯通的责任追究工作体系和职责明确、流程清晰、规范有序的责任追究工作机制。</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楷体_GB2312" w:cs="Times New Roman"/>
          <w:spacing w:val="0"/>
          <w:position w:val="0"/>
          <w:sz w:val="32"/>
          <w:szCs w:val="32"/>
        </w:rPr>
        <w:t>（四）惩治教育和制度建设相结合。</w:t>
      </w:r>
      <w:r>
        <w:rPr>
          <w:rFonts w:hint="default" w:ascii="Times New Roman" w:hAnsi="Times New Roman" w:eastAsia="仿宋_GB2312" w:cs="Times New Roman"/>
          <w:spacing w:val="0"/>
          <w:position w:val="0"/>
          <w:sz w:val="32"/>
          <w:szCs w:val="32"/>
        </w:rPr>
        <w:t>在对违规经营投资相关责任人严肃问责的同时，加大典型案例总结和通报力度，加强警示教育，发挥震慑作用，推动县属国有企业不断完善规章制度，堵塞经营管理漏洞，提高经营管理水平，实现国有资产保值增值。</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第五条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在责任追究工作过程中，发现企业经营管理有关人员违纪或职务违法的问题和线索，应当按规定程序移送纪检监察机构查处；涉嫌犯罪的，应当按规定程序移送监察机关或司法机关查处。</w:t>
      </w: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黑体" w:cs="Times New Roman"/>
          <w:spacing w:val="0"/>
          <w:position w:val="0"/>
          <w:sz w:val="32"/>
          <w:szCs w:val="32"/>
        </w:rPr>
      </w:pPr>
      <w:r>
        <w:rPr>
          <w:rFonts w:hint="default" w:ascii="Times New Roman" w:hAnsi="Times New Roman" w:eastAsia="黑体" w:cs="Times New Roman"/>
          <w:spacing w:val="0"/>
          <w:position w:val="0"/>
          <w:sz w:val="32"/>
          <w:szCs w:val="32"/>
        </w:rPr>
        <w:t>第二章 责任追究范围</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第六条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县属国有企业经营管理有关人员违反规定，未履行或未正确履行职责致使发生本办法第七条至第十七条所列情形，造成国有资产损失或其他严重不良后果的，应当追究相应责任。</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第七条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集团管控方面的责任追究情形：</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违反规定程序或超越权限决定、批准和组织实施重大经营投资事项，或决定、批准和组织实施的重大经营投资事项违反党和国家方针政策、决策部署，以及省委省政府、市委市政府、县委县政府工作要求和有关规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（二）对国家和省、市、县有关集团管控的规定未执行或执行不力，致使发生重大资产损失对生产经营、财务状况产生重大影响。</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（三）对集团重大风险隐患、内控缺陷等问题失察，或虽发现但没有及时报告、处理，造成重大资产损失或其他严重不良后果。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（四）所属子企业发生重大违规违纪违法问题，造成重大资产损失且对集团生产经营、财务状况产生重大影响，或造成其他严重不良后果。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（五）对有关监管机构就经营投资有关重大问题提出的整改工作要求，拒绝整改、拖延整改等。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（六）对非任期内决策或实施的经营投资项目，任期内管控不善或出现风险处置应对不力，造成重大资产损失或造成严重不良后果。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第八条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风险管理方面的责任追究情形：</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（一）未按规定履行内控及风险管理制度建设职责，导致内控及风险管理制度缺失，内控及风险管理流程存在重大缺陷。</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（二）内控及风险管理制度未执行或执行不力，对经营投资重大风险未能及时分析、识别、评估、预警、应对和报告。</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（三）未按规定对企业规章制度、经济合同和重要决策等进行法律审核，或者虽经法律审核但因故意或者重大过失未采纳正确法律意见。</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（四）未执行国有资产监管有关规定，过度负债导致债务危机，危及企业持续经营。</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（五）恶意逃废金融债务。</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（六）瞒报、漏报、谎报或迟报重大风险及风险损失事件，指使编制虚假财务报告，企业账实严重不符。</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（七）在处理重大法律纠纷案件中玩忽职守、滥用职权、谋取私利。</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第九条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购销管理方面的责任追究情形：</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（一）未按规定订立、履行合同，未履行或未正确履行职责致使合同标的价格明显不公允。</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（二）未正确履行合同，或无正当理由放弃应得合同权益。</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（三）违反规定开展融资性贸易业务或“空转”“走单”等虚假贸易业务。</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（四）违反规定利用关联交易输送利益。</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（五）未按规定进行招标或未执行招标结果。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（六）违反规定提供赊销信用、资质、担保或预付款项，利用业务预付或物资交易等方式变相融资或投资。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（七）违反规定开展商品期货、期权等衍生业务。</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（八）未按规定对应收款项及时追索或未采取有效保全措施。</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第十条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资金管理方面的责任追究情形：</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（一）违反决策和审批程序或超越权限筹集、使用资金。</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（二）违反规定以个人名义留存资金、收支结算、开立银行账户等。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（三）设立“小金库”。</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（四）违反规定集资、发行股票或债券、捐赠、担保、委托理财、拆借资金或开立信用证、办理银行票据等。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（五）虚列支出套取资金。</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（六）违反规定超发、滥发职工薪酬福利。</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（七）因财务内控缺失或未按照财务内控制度执行，发生资金挪用、侵占、盗取、欺诈等。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第十一条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工程承包建设方面的责任追究情形：</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（一）未按规定对合同标的进行调查论证或风险分析。</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（二）未按规定履行决策和审批程序，未经授权或超越授权投标。</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（三）违反规定，无合理商业理由以低于成本的报价中标。</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（四）未按规定履行决策和审批程序，擅自签订或变更合同。</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（五）未按规定程序对合同约定进行严格审查，存在重大疏漏。</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（六）工程以及与工程建设有关的货物、服务未按规定招标或规避招标。</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（七）违反规定分包等。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（八）违反合同约定超计价、超进度付款。</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（九）工程组织管理混乱，致使工程质量不达标，工程成本严重超支。</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第十二条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转让产权、上市公司股权、资产等方面的责任追究情形：</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（一）未按规定履行决策和审批程序或超越授权范围转让。</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（二）财务审计和资产评估违反相关规定。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（三）隐匿应当纳入审计、评估范围的资产，组织提供和披露虚假信息，授意、指使中介机构出具虚假财务审计、资产评估鉴证结果及法律意见书等。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（四）未按相关规定执行回避制度。</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（五）违反公开公平交易原则和相关规定，低价转让企业产权、上市公司股权和资产等。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（六）未按规定进场交易。</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第十三条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固定资产投资方面的责任追究情形：</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（一）未按规定进行可行性研究或风险评估。</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（二）项目概算未按规定进行审查，严重偏离实际。</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（三）未按规定履行决策、审批等程序，决策未充分考虑重大风险因素，未制定风险防范预案。</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（四）购建项目未按规定招标，干预、规避或操纵招标。</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（五）投资项目发生重大变化，未按规定重新履行决策程序并采取止损措施。</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（六）擅自变更工程设计、建设内容和追加投资等。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（七）项目管理混乱，致使建设严重拖期、成本明显高于同类项目。</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（八）违反规定开展列入负面清单的投资项目。</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第十四条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投资并购方面的责任追究情形：</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（一）未按规定开展尽职调查，或尽职调查未进行风险分析等，存在重大疏漏。</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（二）财务审计、资产评估或估值违反相关规定。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（三）投资并购过程中授意、指使中介机构或有关单位出具虚假报告。</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（四）未按规定履行决策、审批等程序，决策未充分考虑重大风险因素，未制定风险防范预案。</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（五）违反规定以各种形式为其他合资合作方提供垫资，或通过高溢价并购等手段向关联方输送利益。</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（六）投资合同、协议及标的企业公司章程等法律文件中存在有损国有权益的条款，致使对标的企业管理失控。</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（七）违反合同约定提前支付并购价款。</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（八）投资并购后未进行必要的业务整合和跟踪管理，或未行使相应股东权利，致使对标的企业管理失控。</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（九）投资项目发生重大变化，未按规定重新履行决策程序并采取止损措施。</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（十）违反规定开展列入负面清单的投资项目。</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第十五条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改组改制方面的责任追究情形：</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（一）未按规定履行决策和审批程序。</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（二）未按规定组织开展清产核资、财务审计和资产评估。</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（三）故意转移、隐匿国有资产或向中介机构提供虚假信息，授意、指使中介机构出具虚假清产核资、财务审计与资产评估等鉴证结果。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（四）将国有资产以明显不公允低价折股、出售或无偿分给其他单位或个人。</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（五）在发展混合所有制经济、实施员工持股计划、破产重整或清算等改组改制过程中，违反规定，导致发生变相套取、私分国有资产。</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（六）未按规定收取国有资产转让价款。</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（七）改制后的公司章程等法律文件中存在有损国有权益的条款。</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第十六条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境外经营投资方面的责任追究情形：</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（一）未按规定建立企业境外投资管理相关制度，导致境外投资管控缺失。</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（二）开展列入分类监管清单禁止类的境外投资项目。</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（三）违反规定开展列入分类监管清单限制类的境外投资项目。</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（四）未按规定进行风险评估并采取有效风险防控措施对外投资或承揽境外项目。</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（五）违反规定采取不当经营行为，以及不顾成本和代价进行恶性竞争。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（六）违反本章其他有关规定或存在国家和省市县明令禁止的其他境外经营投资行为的。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第十七条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其他违反规定，未履行或未正确履行职责造成国有资产损失或其他严重不良后果的责任追究情形。</w:t>
      </w:r>
    </w:p>
    <w:p>
      <w:pPr>
        <w:keepNext w:val="0"/>
        <w:keepLines w:val="0"/>
        <w:pageBreakBefore w:val="0"/>
        <w:kinsoku/>
        <w:wordWrap/>
        <w:overflowPunct/>
        <w:topLinePunct w:val="0"/>
        <w:bidi w:val="0"/>
        <w:snapToGrid/>
        <w:spacing w:line="560" w:lineRule="exact"/>
        <w:ind w:firstLine="640" w:firstLineChars="200"/>
        <w:jc w:val="center"/>
        <w:textAlignment w:val="auto"/>
        <w:rPr>
          <w:rFonts w:hint="default" w:ascii="Times New Roman" w:hAnsi="Times New Roman" w:eastAsia="黑体" w:cs="Times New Roman"/>
          <w:spacing w:val="0"/>
          <w:position w:val="0"/>
          <w:sz w:val="32"/>
          <w:szCs w:val="32"/>
        </w:rPr>
      </w:pPr>
      <w:r>
        <w:rPr>
          <w:rFonts w:hint="default" w:ascii="Times New Roman" w:hAnsi="Times New Roman" w:eastAsia="黑体" w:cs="Times New Roman"/>
          <w:spacing w:val="0"/>
          <w:position w:val="0"/>
          <w:sz w:val="32"/>
          <w:szCs w:val="32"/>
        </w:rPr>
        <w:t>第三章 资产损失认定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第十八条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对县属国有企业违规经营投资造成的资产损失，在调查核实的基础上，依据有关规定认定资产损失金额，以及对企业、国家和社会等造成的影响。</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第十九条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资产损失包括直接损失和间接损失。直接损失是与相关人员行为有直接因果关系的损失金额及影响；间接损失是由相关人员行为引发或导致的，除直接损失外、能够确认计量的其他损失金额及影响。</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第二十条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县属国有企业违规经营投资资产损失根据金额大小，划分为一般资产损失、较大资产损失和重大资产损失。</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（一）一般资产损失是指资产损失金额在300万元以下；或达到企业所有者权益损失10%以下。</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（二）较大资产损失是指资产损失金额在300万元以上，3000万元以下；或达到企业所有者权益损失10%以上，30%以下。</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（三）重大资产损失是指资产损失金额在3000万元以上；或达到企业所有者权益损失30%以上的。资产损失金额虽未达上述标准，但损失后果严重，导致企业无法持续经营的，应当认定为重大资产损失。</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涉及违纪违法和犯罪行为查处的损失标准，遵照相关党内法规和国家法律法规的规定执行。</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前款所称的“以上”包括本数，所称的“以下”不包括本数。</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第二十一条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资产损失金额及影响，可根据司法、行政机关等依法出具的书面文件，具有相应资质的会计师事务所、资产评估机构、律师事务所、专业技术鉴定机构等专业机构出具的专项审计、评估或鉴证报告，企业内部证明材料，以及可认定企业违规经营投资损失的其他证明材料等，进行综合研判认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第二十二条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相关违规经营投资虽尚未形成事实资产损失，但确有证据证明资产损失在可预见未来将发生，且能可靠计量资产损失金额的，经中介机构评估可以认定为或有损失，计入资产损失。</w:t>
      </w: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黑体" w:cs="Times New Roman"/>
          <w:spacing w:val="0"/>
          <w:position w:val="0"/>
          <w:sz w:val="32"/>
          <w:szCs w:val="32"/>
        </w:rPr>
      </w:pPr>
      <w:r>
        <w:rPr>
          <w:rFonts w:hint="default" w:ascii="Times New Roman" w:hAnsi="Times New Roman" w:eastAsia="黑体" w:cs="Times New Roman"/>
          <w:spacing w:val="0"/>
          <w:position w:val="0"/>
          <w:sz w:val="32"/>
          <w:szCs w:val="32"/>
        </w:rPr>
        <w:t>第四章 责任认定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第二十三条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县属国有企业经营管理有关人员任职期间违反规定，未履行或未正确履行职责造成国有资产损失或其他严重不良后果的，应当追究其相应责任，已调任、离职或退休的相关责任人也应纳入责任追究范围。</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第二十四条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违规经营投资责任根据工作职责划分为直接责任、主管责任和领导责任。</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第二十五条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直接责任是指相关人员在其工作职责范围内，违反规定，未履行或未正确履行职责，对造成的资产损失或其他严重不良后果起决定性直接作用时应当承担的责任。</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企业负责人存在以下情形的，应当承担直接责任：</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（一）本人或与他人共同违反国家法律法规、国有资产监管规章制度和企业内部管理规定。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（二）授意、指使、强令、纵容、包庇下属人员违反国家法律法规、国有资产监管规章制度和企业内部管理规定。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（三）未经规定程序或超越权限，直接决定、批准、组织实施重大经济事项。</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（四）主持相关会议讨论或以其他方式研究时，在多数人不同意的情况下，直接决定、批准、组织实施重大经济事项。</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（五）将按有关法律法规制度应作为第一责任人（总负责）的事项、签订的有关目标责任事项或应当履行的其他重要职责，授权（委托）其他领导人员决策且决策不当或决策失误等。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（六）其他应当承担直接责任的行为。</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第二十六条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主管责任是指相关人员在其直接主管（分管）工作职责范围内，违反规定，未履行或未正确履行职责，对造成的资产损失或其他严重不良后果应当承担的责任。</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第二十七条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领导责任是指企业主要负责人在其工作职责范围内，违反规定，未履行或未正确履行职责，对造成的资产损失或其他严重不良后果应当承担的责任。</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第二十八条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县属国有企业所属子企业违规经营投资致使发生下列情形的，上级企业经营管理有关人员应当承担相应的责任。</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（一）发生重大资产损失且对企业生产经营、财务状况产生重大影响的。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（二）多次发生较大、重大资产损失，或造成其他严重不良后果的。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（三）发生违规违纪违法问题，造成资产损失金额巨大且危及企业生存发展的。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（四）在一定时期内多家所属子企业连续集中发生重大资产损失，或造成其他严重不良后果的。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发生上述（三）（四）情形的，除上一级企业有关人员外，更高层级企业有关人员也应当承担相应责任。</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第二十九条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县属国有企业违反规定瞒报、漏报或谎报重大资产损失的，对企业主要负责人和分管负责人比照领导责任和主管责任进行责任认定。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第三十条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县属国有企业未按规定和有关工作职责要求组织开展责任追究工作的，对企业负责人及有关人员比照领导责任、主管责任和直接责任进行责任认定。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第三十一条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企业有关经营决策机构以集体决策形式作出违规经营投资的决策或实施其他违规经营投资的行为，造成资产损失或其他严重不良后果的，应当承担集体责任，有关成员也应当承担相应责任，曾表明异议并记载于会议记录的，可免除相应责任。</w:t>
      </w: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黑体" w:cs="Times New Roman"/>
          <w:spacing w:val="0"/>
          <w:position w:val="0"/>
          <w:sz w:val="32"/>
          <w:szCs w:val="32"/>
        </w:rPr>
      </w:pPr>
      <w:r>
        <w:rPr>
          <w:rFonts w:hint="default" w:ascii="Times New Roman" w:hAnsi="Times New Roman" w:eastAsia="黑体" w:cs="Times New Roman"/>
          <w:spacing w:val="0"/>
          <w:position w:val="0"/>
          <w:sz w:val="32"/>
          <w:szCs w:val="32"/>
        </w:rPr>
        <w:t>第五章 责任追究处理</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第三十二条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对相关责任人的处理方式包括组织处理、扣减薪酬、禁入限制、纪律处分、移送监察机关或司法机关等，可以单独使用，也可以合并使用。</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（一）组织处理。包括批评教育、责令书面检查、通报批评、诫勉、停职、调离工作岗位、降职、责令辞职、免职等。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（二）扣减薪酬。扣减和追索绩效年薪（效益工资）或任期激励收入，终止或收回其他中长期激励收益，取消参加中长期激励资格等。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（三）禁入限制。五年</w:t>
      </w:r>
      <w:r>
        <w:rPr>
          <w:rFonts w:hint="default" w:ascii="Times New Roman" w:hAnsi="Times New Roman" w:eastAsia="仿宋_GB2312" w:cs="Times New Roman"/>
          <w:spacing w:val="0"/>
          <w:position w:val="0"/>
          <w:sz w:val="32"/>
          <w:szCs w:val="32"/>
          <w:lang w:eastAsia="zh-CN"/>
        </w:rPr>
        <w:t>及以上</w:t>
      </w:r>
      <w:r>
        <w:rPr>
          <w:rFonts w:hint="default" w:ascii="Times New Roman" w:hAnsi="Times New Roman" w:eastAsia="仿宋_GB2312" w:cs="Times New Roman"/>
          <w:spacing w:val="0"/>
          <w:position w:val="0"/>
          <w:sz w:val="32"/>
          <w:szCs w:val="32"/>
        </w:rPr>
        <w:t>直至终身不得担任国有企业董事、监事、高级管理人员。</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（四）纪律处分。需要追究纪律责任的，按照管理权限由相应的纪检监察机构查处。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（五）移送监察机关或司法机关处理。依据国家有关法律规定，移送监察机关或司法机关查处。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第三十三条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县属国有企业发生资产损失，经过查证核实和责任认定后，除依据有关规定移送纪检监察机构或司法机关处理外，应当按以下方式处理：</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（一）发生一般资产损失的，对直接责任人和主管责任人给予批评教育、责令书面检查、通报批评、诫勉等处理，可以扣减和追索责任认定年度50%以下的绩效年薪（效益工资）。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对领导责任人给予责令书面检查、通报批评等处理，可以扣减和追索责任认定年度30%以下的绩效年薪（效益工资）。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发生较大资产损失的，对直接责任人和主管责任人给予通报批评、诫勉、停职、调离工作岗位、降职等处理，同时按照以下标准扣减薪酬：扣减和追索责任认定年度50%-100%的绩效年薪（效益工资）、扣减和追索责任认定年度（含）前三年50%-100%的任期激励收入并延期支付绩效年薪（效益工资），终止尚未行使的其他中长期激励权益、上缴责任认定年度及前一年度的全部中长期激励收益、五年内不得参加企业新的中长期激励。</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对领导责任人给予通报批评、诫勉、停职、调离工作岗位等处理，同时按照以下标准扣减薪酬：扣减和追索责任认定年度30%-70%的绩效年薪（效益工资）、扣减和追索责任认定年度（含）前三年30%-70%的任期激励收入并延期支付绩效年薪（效益工资），终止尚未行使的其他中长期激励权益、三年内不得参加企业新的中长期激励。</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发生重大资产损失的，对直接责任人和主管责任人给予降职、责令辞职、免职和禁入限制等处理，同时按照以下标准扣减薪酬：扣减和追索责任认定年度100%的绩效年薪（效益工资）、扣减和追索责任认定年度（含）前三年100%的任期激励收入并延期支付绩效年薪（效益工资），终止尚未行使的其他中长期激励权益、上缴责任认定年度（含）前三年的全部中长期激励收益、不得参加企业新的中长期激励。</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对领导责任人给予调离工作岗位、降职、责令辞职、免职和禁入限制等处理，同时按照以下标准扣减薪酬：扣减和追索责任认定年度70%-100%的绩效年薪（效益工资）、扣减和追索责任认定年度（含）前三年70%-100%的任期激励收入并延期支付绩效年薪（效益工资），终止尚未行使的其他中长期激励权益、上缴责任认定年度（含）前三年的全部中长期激励收益、五年内不得参加企业新的中长期激励。</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第三十四条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企业所属子企业发生资产损失，按照本办法应当追究上级企业有关人员责任时，对相关责任人给予通报批评、诫勉、停职、调离工作岗位、降职、责令辞职、免职和禁入限制等处理，同时按照以下标准扣减薪酬：扣减和追索责任认定年度30%-100%的绩效年薪（效益工资）、扣减和追索责任认定年度（含）前三年30%-100%的任期激励收入并延期支付绩效年薪（效益工资），终止尚未行使的其他中长期激励权益、上缴责任认定年度（含）前三年的全部中长期激励收益、三至五年内不得参加企业新的中长期激励。</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第三十五条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对承担集体责任的县属国有企业有关经营决策机构，给予批评教育、责令书面检查、通报批评等处理；对造成资产损失金额巨大且危及企业生存发展的，或造成其他特别严重不良后果的，按照规定程序予以改组。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第三十六条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责任认定年度是指责任追究处理年度。有关责任人在责任追究处理年度无任职或任职不满全年的，按照最近一个完整任职年度执行；若无完整任职年度的，参照处理前实际任职月度（不超过12个月）执行。</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第三十七条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对同一事件、同一责任人的薪酬扣减和追索，按照党纪处分、政务处分、责任追究等扣减薪酬处理的最高标准执行，但不合并使用。</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第三十八条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相关责任人受到诫勉处理的，六个月内不得提拔、重用；受到调离工作岗位处理的，一年内不得提拔；受到降职处理的，两年内不得提拔；受到责令辞职、免职处理的，一年内不安排职务，两年内不得担任高于原任职务层级的职务；同时受到纪律处分的，按照影响期长的规定执行。</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第三十九条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县属国有企业经营管理有关人员违规经营投资未造成资产损失，但造成其他严重不良后果的，经过查证核实和责任认定后，对相关责任人参照本办法重大资产损失责任追究条款予以处理。</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前款所称其他严重不良后果，是指对企业、行业、社会和国家造成的危害性较大的结果，主要包括以下情形：</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（一）对企业生产经营、财务状况产生重大影响，企业竞争优势丧失或者严重弱化。</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（二）企业商誉严重受损。</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（三）企业受到责令停业等重大行政处罚等。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（四）使企业所处行业或产业发展受到较大影响。</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（五）对社会公共产品或服务造成较大危害。</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（六）严重影响县级国有资本优化布局、结构调整和战略重组。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（七）对全县经济运行造成较大负面影响。</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（八）造成较大的负面社会影响等。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第四十条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有下列情形之一的，应当对相关责任人从重或加重处理：</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（一）资产损失频繁发生、金额巨大、后果严重的。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（二）屡禁不止、顶风违规、影响恶劣的。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（三）强迫、唆使他人违规造成资产损失或其他严重不良后果的。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（四）未及时采取措施或措施不力导致资产损失或其他严重不良后果扩大的。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（五）瞒报、漏报或谎报资产损失的。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（六）伪造、毁灭、隐匿相关证据的。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（七）拒不配合或干扰、抵制责任追究工作的。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（八）其他应当从重或加重处理的。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第四十一条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对县属国有企业经营管理有关人员在企业改革发展中所出现的失误，不属于有令不行、有禁不止、不当</w:t>
      </w:r>
      <w:r>
        <w:rPr>
          <w:rFonts w:hint="default" w:ascii="Times New Roman" w:hAnsi="Times New Roman" w:eastAsia="仿宋_GB2312" w:cs="Times New Roman"/>
          <w:spacing w:val="0"/>
          <w:position w:val="0"/>
          <w:sz w:val="32"/>
          <w:szCs w:val="32"/>
          <w:lang w:eastAsia="zh-CN"/>
        </w:rPr>
        <w:t>牟利</w:t>
      </w:r>
      <w:r>
        <w:rPr>
          <w:rFonts w:hint="default" w:ascii="Times New Roman" w:hAnsi="Times New Roman" w:eastAsia="仿宋_GB2312" w:cs="Times New Roman"/>
          <w:spacing w:val="0"/>
          <w:position w:val="0"/>
          <w:sz w:val="32"/>
          <w:szCs w:val="32"/>
        </w:rPr>
        <w:t>、主观故意、独断专行等的，根据有关规定和程序予以容错。有下列情形之一的，可以对违规经营投资相关责任人从轻或减轻处理：</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（一）情节轻微的。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以促进企业改革发展稳定或履行企业经济责任、政治责任、社会责任为目标，创造性开展工作，因积极作为、勇于探索，先行先试、突破常规，破除障碍、打破僵局等发生的失误和偏差，且个人没有谋取私利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（三）党和国家方针政策、党章党规党纪、国家法律法规、地方性法规</w:t>
      </w:r>
      <w:r>
        <w:rPr>
          <w:rFonts w:hint="default" w:ascii="Times New Roman" w:hAnsi="Times New Roman" w:eastAsia="仿宋_GB2312" w:cs="Times New Roman"/>
          <w:spacing w:val="0"/>
          <w:position w:val="0"/>
          <w:sz w:val="32"/>
          <w:szCs w:val="32"/>
          <w:lang w:eastAsia="zh-CN"/>
        </w:rPr>
        <w:t>、部门</w:t>
      </w:r>
      <w:r>
        <w:rPr>
          <w:rFonts w:hint="default" w:ascii="Times New Roman" w:hAnsi="Times New Roman" w:eastAsia="仿宋_GB2312" w:cs="Times New Roman"/>
          <w:spacing w:val="0"/>
          <w:position w:val="0"/>
          <w:sz w:val="32"/>
          <w:szCs w:val="32"/>
        </w:rPr>
        <w:t>规章、规范性文件等没有明确限制或禁止的。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（四）处置突发事件或紧急情况下，个人或少数人决策，事后及时履行报告程序并得到追认，且不存在故意或重大过失的。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（五）及时采取有效措施减少、挽回资产损失并消除不良影响的。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（六）主动反映资产损失情况，积极配合责任追究工作的，或主动检举其他造成资产损失相关人员，查证属实的。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（七）其他可以从轻或减轻处理的。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第四十二条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对于违规经营投资有关责任人应当给予批评教育、责令书面检查、通报批评或诫勉处理，但是具有本办法第四十一条规定的情形之一的，可以免除处理。</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第四十三条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对违规经营投资有关责任人减轻或免除处理，须由作出处理决定的上一级企业或县国资监管机构批准。</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第四十四条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相关责任人在责任认定年度已不在本企业领取绩效年薪（效益工资）的，按离职前一年度全部绩效年薪（效益工资）及前三年任期激励收入总和计算，参照本办法有关规定追索扣回其薪酬。</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第四十五条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对违反规定，未履行或未正确履行职责造成国有资产损失或其他严重不良后果的县属国有企业董事、监事以及其他有关人员，依照国家法律法规、有关规章制度和本办法等对其进行相应处理。</w:t>
      </w: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黑体" w:cs="Times New Roman"/>
          <w:spacing w:val="0"/>
          <w:position w:val="0"/>
          <w:sz w:val="32"/>
          <w:szCs w:val="32"/>
        </w:rPr>
      </w:pPr>
      <w:r>
        <w:rPr>
          <w:rFonts w:hint="default" w:ascii="Times New Roman" w:hAnsi="Times New Roman" w:eastAsia="黑体" w:cs="Times New Roman"/>
          <w:spacing w:val="0"/>
          <w:position w:val="0"/>
          <w:sz w:val="32"/>
          <w:szCs w:val="32"/>
        </w:rPr>
        <w:t>第六章 责任追究工作职责</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第四十六条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县国资监管机构和县属国有企业原则上按照企业管理关系和干部管理权限，组织开展责任追究工作。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第四十七条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国资监管机构负责受理有关方面按规定程序移交的县属国有企业及其所属子企业违规经营投资的有关问题和线索，初步核实后进行分类处置，并采取督办、联合核查、专项核查等方式组织开展有关核查工作，认定相关人员责任，研究提出处理的意见建议，督促企业整改落实。</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第四十八条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县国资监管机构在责任追究工作中的主要职责：</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（一）研究制定县属国有企业责任追究有关制度。</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（二）组织开展县属国有企业发生的重大资产损失或产生严重不良后果的较大资产损失，以及涉及县属国有企业负责人的责任追究工作。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（三）认为有必要直接组织开展县属国有企业及其所属子企业责任追究工作。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（四）对县属国有企业存在的共性问题进行专项核查。</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（五）对需要县属国有企业整改的问题，督促企业落实有关整改工作要求。</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（六）指导、监督和检查县属国有企业责任追究相关工作。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（七）其他有关责任追究工作。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第四十九条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县属国有企业在责任追究工作中的主要职责：</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（一）研究制定本企业责任追究有关制度。</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（二）组织开展本级企业发生的一般或较大资产损失，二级子企业发生的重大资产损失或产生严重不良后果的较大资产损失，以及涉及二级子企业负责人的责任追究工作。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（三）指导、监督和检查所属子企业责任追究相关工作。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（四）按照县国资监管机构要求组织开展有关责任追究工作。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（五）其他有关责任追究工作。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 xml:space="preserve">第五十条 </w:t>
      </w:r>
      <w:r>
        <w:rPr>
          <w:rFonts w:hint="default" w:ascii="Times New Roman" w:hAnsi="Times New Roman" w:eastAsia="仿宋_GB2312" w:cs="Times New Roman"/>
          <w:spacing w:val="0"/>
          <w:position w:val="0"/>
          <w:sz w:val="32"/>
          <w:szCs w:val="32"/>
        </w:rPr>
        <w:t>县属国有企业应当明确相应的职能部门或机构，负责组织开展责任追究工作，并做好与纪检监察机构的协同配合。</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第五十一条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县属国有企业应当建立责任追究工作报告制度，对较大和重大违规经营投资的问题和线索，及时向县国资监管机构书面报告，并按照有关工作要求定期报送责任追究工作开展情况。</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第五十二条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县属国有企业未按规定和有关工作职责要求组织开展责任追究工作的，县国资监管机构依据相关规定，对有关县属国有企业负责人进行责任追究。</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第五十三条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国资监管机构和县属国有企业有关人员，对企业违规经营投资等重大违规违纪违法问题，存在应当发现而未发现或发现后敷衍不追、隐匿不报、查处不力等失职渎职行为的，严格依纪依规追究纪律责任；涉嫌犯罪的，移送监察机关或司法机关查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第五十四条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县国资监管机构和县属国有企业负责责任追究工作的经办人员，与有关事项或者相关责任人有利害关系的，应当实行回避或者主动回避。</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第五十五条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国资监管机构和县属国有企业负责责任追究工作的经办人员违反工作程序、泄露工作秘密、徇私舞弊，以及协助相关责任人逃避责任，或者收受相关责任人财物的，依纪依法给予纪律处分；涉嫌犯罪的，依法移送监察机关或司法机关查处。</w:t>
      </w: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黑体" w:cs="Times New Roman"/>
          <w:spacing w:val="0"/>
          <w:position w:val="0"/>
          <w:sz w:val="32"/>
          <w:szCs w:val="32"/>
        </w:rPr>
      </w:pPr>
      <w:r>
        <w:rPr>
          <w:rFonts w:hint="default" w:ascii="Times New Roman" w:hAnsi="Times New Roman" w:eastAsia="黑体" w:cs="Times New Roman"/>
          <w:spacing w:val="0"/>
          <w:position w:val="0"/>
          <w:sz w:val="32"/>
          <w:szCs w:val="32"/>
        </w:rPr>
        <w:t>第七章 责任追究工作程序</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第五十六条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开展县属国有企业责任追究工作一般应当遵循受理、初步核实、分类处置、核查、处理和整改等程序。</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第五十七条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县国资监管机构负责受理有关方面按规定程序移交的下列企业违规经营投资问题和线索，并进行有关证据、材料的收集、整理和分析工作。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（一）国有资产监督管理工作中发现的。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（二）审计、巡视巡察、纪检监察以及其他有关部门移交的。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（三）县属国有企业报告的。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（四）其他有关违规经营投资的问题和线索。</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第五十八条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县国资监管机构对受理的违规经营投资问题和线索，及相关证据、材料进行必要的初步核实工作。主要工作内容包括：</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（一）资产损失及其他严重不良后果的情况。</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（二）违规违纪违法的情况。</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（三）是否属于责任追究范围。</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（四）有关方面的处理建议和要求等。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方正仿宋简体" w:cs="Times New Roman"/>
          <w:spacing w:val="0"/>
          <w:position w:val="0"/>
          <w:sz w:val="32"/>
          <w:szCs w:val="32"/>
        </w:rPr>
      </w:pPr>
      <w:r>
        <w:rPr>
          <w:rFonts w:hint="default" w:ascii="Times New Roman" w:hAnsi="Times New Roman" w:eastAsia="黑体" w:cs="Times New Roman"/>
          <w:spacing w:val="0"/>
          <w:position w:val="0"/>
          <w:sz w:val="32"/>
          <w:szCs w:val="32"/>
        </w:rPr>
        <w:t xml:space="preserve">第五十九条 </w:t>
      </w:r>
      <w:r>
        <w:rPr>
          <w:rFonts w:hint="default" w:ascii="Times New Roman" w:hAnsi="Times New Roman" w:eastAsia="仿宋_GB2312" w:cs="Times New Roman"/>
          <w:spacing w:val="0"/>
          <w:position w:val="0"/>
          <w:sz w:val="32"/>
          <w:szCs w:val="32"/>
        </w:rPr>
        <w:t>初步核实的工作一般应于30个工作日内完成，根据工作需要可以适当延长。</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第六十条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根据初步核实情况，对确有违规违纪违法事实的，按照规定的职责权限和程序进行分类处置，主要工作内容包括：</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（一）属于县国资监管机构责任追究职责范围的，县国资监管机构组织实施核查工作。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（二）属于县属国有企业责任追究职责范围的，移交和督促相关县属国有企业进行责任追究。</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（三）涉及县属集团公司主要负责人违规经营投资的问题线索，报经县纪委监委同意后，按要求开展有关核查工作。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（四）属于其他有关部门责任追究职责范围的，移送有关部门。</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（五）涉嫌违纪或职务违法的问题和线索，按照管理权限移送纪检监察机构。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（六）涉嫌犯罪的问题和线索，移送监察机关或司法机关。</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第六十一条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县国资监管机构对违规经营投资事项及时组织开展核查工作，核实责任追究情形，确定资产损失程度，查清资产损失原因，认定相关人员责任等。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第六十二条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结合县属国有企业减少或挽回资产损失工作进展情况，可以适时启动责任追究工作。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第六十三条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核查工作可以采取以下工作措施核查取证：</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（一）与被核查事项有关的人员谈话，形成核查谈话记录，并要求有关人员作出书面说明。</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（二）查阅、复制被核查企业的有关文件、会议纪要（记录）、资料和账簿、原始凭证等相关材料。</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（三）实地核查企业实物资产等。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（四）委托具有相应资质的专业机构对有关问题进行审计、评估或鉴证等。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（五）其他必要的工作措施。</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第六十四条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在核查期间，对相关责任人未支付或兑现的绩效年薪（效益工资）、任期激励收入、中长期激励收益等均应暂停支付或兑现；对有可能影响核查工作顺利开展的相关责任人，可视情况采取停职、调离工作岗位、免职等措施。</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第六十五条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在重大违规经营投资事项核查工作中，对确有工作需要的，负责核查的部门可请纪检监察机构提供必要支持。</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第六十六条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核查工作一般应于6个月内完成，根据工作需要可以适当延长。</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第六十七条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核查工作结束后，一般应当听取企业和相关责任人关于核查工作结果的意见，形成资产损失情况核查报告和责任认定报告。</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第六十八条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县国资监管机构根据核查工作结果，按照干部管理权限和相关程序对相关责任人追究处理，形成处理决定，送达有关企业及被处理人，并对有关企业提出整改要求。</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第六十九条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被处理人对处理决定有异议的，可以在处理决定送达之日起15个工作日内，提出书面申诉，并提供相关证明材料。申诉期间不停止原处理决定的执行。</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第七十条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县国资监管机构或县属国有企业作出处理决定的，被处理人向作出该处理决定的单位申诉；县属国有企业所属子企业作出处理决定的，向上一级企业申诉。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第七十一条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县国资监管机构和县属国有企业应当自受理申诉之日起30个工作日内复核，作出维持、撤销或变更原处理决定的复核决定，并以适当形式告知申诉人及其所在企业。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第七十二条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县属国有企业应当按照整改要求，认真总结吸取教训，制定和落实整改措施，优化业务流程，完善内控体系，堵塞经营管理漏洞，建立健全防范经营投资风险的长效机制。</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方正仿宋简体" w:cs="Times New Roman"/>
          <w:spacing w:val="0"/>
          <w:position w:val="0"/>
          <w:sz w:val="32"/>
          <w:szCs w:val="32"/>
        </w:rPr>
      </w:pPr>
      <w:r>
        <w:rPr>
          <w:rFonts w:hint="default" w:ascii="Times New Roman" w:hAnsi="Times New Roman" w:eastAsia="黑体" w:cs="Times New Roman"/>
          <w:spacing w:val="0"/>
          <w:position w:val="0"/>
          <w:sz w:val="32"/>
          <w:szCs w:val="32"/>
        </w:rPr>
        <w:t>第七十三条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县属国有企业应在收到处理决定之日起60个工作日内，向县国资监管机构报送整改报告及相关材料。</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第七十四条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县国资监管机构和县属国有企业应当按照国家、省、市、县有关信息公开规定，逐步向社会公开违规经营投资核查处理情况和有关整改情况等，接受社会监督。</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第七十五条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县国资监管机构和县属国有企业应当积极运用信息化手段开展责任追究工作，推进相关数据信息的报送、归集、共享和综合利用，加大信息化手段在发现问题线索、专项核查、责任追究等方面的运用力度。</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第七十六条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县国资监管机构开展责任追究工作需要委托具有相应资质的专业机构对有关问题进行审计、评估或鉴证的，按照有关规定公开选聘相关专业机构并签订委托业务合同。</w:t>
      </w: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黑体" w:cs="Times New Roman"/>
          <w:spacing w:val="0"/>
          <w:position w:val="0"/>
          <w:sz w:val="32"/>
          <w:szCs w:val="32"/>
        </w:rPr>
      </w:pPr>
      <w:r>
        <w:rPr>
          <w:rFonts w:hint="default" w:ascii="Times New Roman" w:hAnsi="Times New Roman" w:eastAsia="黑体" w:cs="Times New Roman"/>
          <w:spacing w:val="0"/>
          <w:position w:val="0"/>
          <w:sz w:val="32"/>
          <w:szCs w:val="32"/>
        </w:rPr>
        <w:t>第八章 附 则</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第七十七条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县属国有企业应根据本办法，结合本企业实际情况，细化责任追究的范围、资产损失程度划分标准等，研究制定责任追究相关制度规定，并报县国资监管机构备案。</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第七十八条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县属国有参股公司责任追究工作，可参照本办法向国有参股公司股东会提请开展责任追究工作。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第七十九条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金融、文化等县属国有企业违规经营投资责任追究工作，中央、省、市、县另有规定的依其规定执行。</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第八十条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对发生生产安全、环境污染责任事故和不稳定事件的，按照中央、省、市、县有关规定另行处理。</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第八十一条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本办法由县政府办公室会同县国资局商有关部门负责解释。</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黑体" w:cs="Times New Roman"/>
          <w:spacing w:val="0"/>
          <w:position w:val="0"/>
          <w:sz w:val="32"/>
          <w:szCs w:val="32"/>
        </w:rPr>
        <w:t>第八十二条</w:t>
      </w:r>
      <w:r>
        <w:rPr>
          <w:rFonts w:hint="default" w:ascii="Times New Roman" w:hAnsi="Times New Roman" w:eastAsia="方正仿宋简体" w:cs="Times New Roman"/>
          <w:spacing w:val="0"/>
          <w:position w:val="0"/>
          <w:sz w:val="32"/>
          <w:szCs w:val="32"/>
        </w:rPr>
        <w:t xml:space="preserve"> </w:t>
      </w:r>
      <w:r>
        <w:rPr>
          <w:rFonts w:hint="default" w:ascii="Times New Roman" w:hAnsi="Times New Roman" w:eastAsia="仿宋_GB2312" w:cs="Times New Roman"/>
          <w:spacing w:val="0"/>
          <w:position w:val="0"/>
          <w:sz w:val="32"/>
          <w:szCs w:val="32"/>
        </w:rPr>
        <w:t>本办法自发布之日起施行。</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cs="Times New Roman"/>
          <w:spacing w:val="0"/>
          <w:position w:val="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eastAsia="方正仿宋简体" w:cs="Times New Roman"/>
          <w:spacing w:val="0"/>
          <w:position w:val="0"/>
          <w:sz w:val="32"/>
          <w:szCs w:val="32"/>
        </w:rPr>
      </w:pPr>
      <w:r>
        <w:rPr>
          <w:rFonts w:hint="default" w:ascii="Times New Roman" w:hAnsi="Times New Roman" w:cs="Times New Roman"/>
          <w:spacing w:val="0"/>
          <w:position w:val="0"/>
          <w:sz w:val="28"/>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428625</wp:posOffset>
                </wp:positionV>
                <wp:extent cx="5532755" cy="0"/>
                <wp:effectExtent l="0" t="0" r="0" b="0"/>
                <wp:wrapNone/>
                <wp:docPr id="2" name="直接连接符 2"/>
                <wp:cNvGraphicFramePr/>
                <a:graphic xmlns:a="http://schemas.openxmlformats.org/drawingml/2006/main">
                  <a:graphicData uri="http://schemas.microsoft.com/office/word/2010/wordprocessingShape">
                    <wps:wsp>
                      <wps:cNvCnPr/>
                      <wps:spPr>
                        <a:xfrm>
                          <a:off x="1033780" y="9501505"/>
                          <a:ext cx="5532755" cy="0"/>
                        </a:xfrm>
                        <a:prstGeom prst="line">
                          <a:avLst/>
                        </a:prstGeom>
                        <a:noFill/>
                        <a:ln w="12700" cap="flat" cmpd="sng" algn="ctr">
                          <a:solidFill>
                            <a:srgbClr val="000000"/>
                          </a:solidFill>
                          <a:prstDash val="solid"/>
                        </a:ln>
                        <a:effectLst/>
                      </wps:spPr>
                      <wps:bodyPr/>
                    </wps:wsp>
                  </a:graphicData>
                </a:graphic>
              </wp:anchor>
            </w:drawing>
          </mc:Choice>
          <mc:Fallback>
            <w:pict>
              <v:line id="_x0000_s1026" o:spid="_x0000_s1026" o:spt="20" style="position:absolute;left:0pt;margin-left:2.05pt;margin-top:33.75pt;height:0pt;width:435.65pt;z-index:251661312;mso-width-relative:page;mso-height-relative:page;" filled="f" stroked="t" coordsize="21600,21600" o:gfxdata="UEsDBAoAAAAAAIdO4kAAAAAAAAAAAAAAAAAEAAAAZHJzL1BLAwQUAAAACACHTuJATFSDotYAAAAH&#10;AQAADwAAAGRycy9kb3ducmV2LnhtbE2OS0/CQBSF9yb8h8klcSfTEqBN7ZQFhBCNG8DE7aVz7VQ7&#10;d0pnePjvHeNCl+eRc75yebOduNDgW8cK0kkCgrh2uuVGweth85CD8AFZY+eYFHyRh2U1uiux0O7K&#10;O7rsQyPiCPsCFZgQ+kJKXxuy6CeuJ47ZuxsshiiHRuoBr3HcdnKaJAtpseX4YLCnlaH6c3+2CnC9&#10;3YW3fPqctU/m5eOwOW1NflLqfpwmjyAC3cJfGX7wIzpUkenozqy96BTM0lhUsMjmIGKcZ/MZiOOv&#10;IatS/uevvgFQSwMEFAAAAAgAh07iQLKr25nsAQAAtQMAAA4AAABkcnMvZTJvRG9jLnhtbK1TzY7T&#10;MBC+I/EOlu80aarQJWq6h62WC4JKwAO4jp1Y8p883qZ9CV4AiRucOHLnbVgeg7ETlmW57IEcnBl7&#10;8s18n79sLk9Gk6MIoJxt6XJRUiIsd52yfUvfv7t+dkEJRGY7pp0VLT0LoJfbp082o29E5QanOxEI&#10;glhoRt/SIUbfFAXwQRgGC+eFxUPpgmER09AXXWAjohtdVGX5vBhd6HxwXADg7m46pDNieAygk1Jx&#10;sXP8xggbJ9QgNItICQblgW7ztFIKHt9ICSIS3VJkGvOKTTA+pLXYbljTB+YHxecR2GNGeMDJMGWx&#10;6R3UjkVGboL6B8ooHhw4GRfcmWIikhVBFsvygTZvB+ZF5oJSg78THf4fLH993AeiupZWlFhm8MJv&#10;P3778eHzz++fcL39+oVUSaTRQ4O1V3Yf5gz8PiTGJxlMeiMXckJDlavV+gLlPbf0RV0u67KeRBan&#10;SDgW1PWqWtc1JRwr8gUUf0B8gPhSOENS0FKtbOLPGnZ8BREbY+nvkrRt3bXSOt+htmTE7tW6xN6c&#10;oTElGgJD45Ec2J4Spnt0PI8hQ4LTqkufJyAI/eFKB3JkySf5SVNju7/KUu8dg2Gqy0dzmbYJRmTH&#10;zaMmySaRUnRw3TlrV6QMbzOjz85LdrmfY3z/b9v+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xU&#10;g6LWAAAABwEAAA8AAAAAAAAAAQAgAAAAIgAAAGRycy9kb3ducmV2LnhtbFBLAQIUABQAAAAIAIdO&#10;4kCyq9uZ7AEAALUDAAAOAAAAAAAAAAEAIAAAACUBAABkcnMvZTJvRG9jLnhtbFBLBQYAAAAABgAG&#10;AFkBAACDBQAAAAA=&#10;">
                <v:fill on="f" focussize="0,0"/>
                <v:stroke weight="1pt" color="#000000" joinstyle="round"/>
                <v:imagedata o:title=""/>
                <o:lock v:ext="edit" aspectratio="f"/>
              </v:line>
            </w:pict>
          </mc:Fallback>
        </mc:AlternateContent>
      </w:r>
      <w:r>
        <w:rPr>
          <w:rFonts w:hint="default" w:ascii="Times New Roman" w:hAnsi="Times New Roman" w:cs="Times New Roman"/>
          <w:spacing w:val="0"/>
          <w:position w:val="0"/>
          <w:sz w:val="28"/>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1905</wp:posOffset>
                </wp:positionV>
                <wp:extent cx="5532755" cy="0"/>
                <wp:effectExtent l="0" t="0" r="0" b="0"/>
                <wp:wrapNone/>
                <wp:docPr id="4" name="直接连接符 4"/>
                <wp:cNvGraphicFramePr/>
                <a:graphic xmlns:a="http://schemas.openxmlformats.org/drawingml/2006/main">
                  <a:graphicData uri="http://schemas.microsoft.com/office/word/2010/wordprocessingShape">
                    <wps:wsp>
                      <wps:cNvCnPr/>
                      <wps:spPr>
                        <a:xfrm>
                          <a:off x="1033780" y="9501505"/>
                          <a:ext cx="553275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5pt;margin-top:0.15pt;height:0pt;width:435.65pt;z-index:251662336;mso-width-relative:page;mso-height-relative:page;" filled="f" stroked="t" coordsize="21600,21600" o:gfxdata="UEsDBAoAAAAAAIdO4kAAAAAAAAAAAAAAAAAEAAAAZHJzL1BLAwQUAAAACACHTuJA5Fs4rtMAAAAD&#10;AQAADwAAAGRycy9kb3ducmV2LnhtbE2PwW7CMAyG75P2DpEncRspdBqoNEUIhHbYCYa2HUNj2orG&#10;qZJQuj39zGnc/Om3fn/Ol4NtRY8+NI4UTMYJCKTSmYYqBYeP7fMcRIiajG4doYIfDLAsHh9ynRl3&#10;pR32+1gJLqGQaQV1jF0mZShrtDqMXYfE2cl5qyOjr6Tx+srltpXTJHmVVjfEF2rd4brG8ry/WAWf&#10;q9k5Hd42L9u4O3x716fv+Pul1OhpkixARBzi/zLc9FkdCnY6uguZIFpm/iQqSEFwOJ9NeTjeUBa5&#10;vHcv/gBQSwMEFAAAAAgAh07iQF1jP24FAgAA4AMAAA4AAABkcnMvZTJvRG9jLnhtbK1TzW4TMRC+&#10;I/EOlu9kN0mXhFU2PTQqFwSRKA8w9Xqzlvwnj5tNXoIXQOIGJ47ceZuWx2DsDaWUSw/swTu2x9/M&#10;9/nz6vxgNNvLgMrZhk8nJWfSCtcqu2v4h6vLF0vOMIJtQTsrG36UyM/Xz5+tBl/LmeudbmVgBGKx&#10;HnzD+xh9XRQoemkAJ85LS5udCwYiTcOuaAMMhG50MSvLl8XgQuuDExKRVjfjJj8hhqcAuq5TQm6c&#10;uDHSxhE1SA2RKGGvPPJ17rbrpIjvug5lZLrhxDTmkYpQfJ3GYr2CehfA90qcWoCntPCIkwFlqeg9&#10;1AYisJug/oEySgSHrosT4UwxEsmKEItp+Uib9z14mbmQ1OjvRcf/Byve7reBqbbhZ5xZMHThd5++&#10;33788vPHZxrvvn1lZ0mkwWNNuRd2G04z9NuQGB+6YNKfuLADGaqczxdLkvfY8FdVOa3KahRZHiIT&#10;lFBV89miqjgTlJEvoPgD4gPG19IZloKGa2UTf6hh/wYjFabU3ylp2bpLpXW+Q23ZQNVni5JqCyBj&#10;dmQICo0ncmh3nIHekeNFDBkSnVZtOp6A8IgXOrA9kE3Iq60brqhfzjRgpA1qNH+JCbXw19HUzwaw&#10;Hw/nrZGwUZEeilam4cuHp7VNFWU254lVUnfUM0XXrj1mmYs0o4vPRU8mTc56OKf44cNc/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Wziu0wAAAAMBAAAPAAAAAAAAAAEAIAAAACIAAABkcnMvZG93&#10;bnJldi54bWxQSwECFAAUAAAACACHTuJAXWM/bgUCAADgAwAADgAAAAAAAAABACAAAAAiAQAAZHJz&#10;L2Uyb0RvYy54bWxQSwUGAAAAAAYABgBZAQAAmQUAAAAA&#10;">
                <v:fill on="f" focussize="0,0"/>
                <v:stroke weight="1pt" color="#000000" miterlimit="8" joinstyle="miter"/>
                <v:imagedata o:title=""/>
                <o:lock v:ext="edit" aspectratio="f"/>
              </v:line>
            </w:pict>
          </mc:Fallback>
        </mc:AlternateContent>
      </w:r>
      <w:r>
        <w:rPr>
          <w:rFonts w:hint="default" w:ascii="Times New Roman" w:hAnsi="Times New Roman" w:eastAsia="仿宋_GB2312" w:cs="Times New Roman"/>
          <w:color w:val="auto"/>
          <w:spacing w:val="0"/>
          <w:w w:val="100"/>
          <w:position w:val="0"/>
          <w:sz w:val="28"/>
          <w:szCs w:val="28"/>
          <w:lang w:val="en-US" w:eastAsia="zh-CN"/>
        </w:rPr>
        <w:t>高青县人民政府办公室                         2022年9月</w:t>
      </w:r>
      <w:r>
        <w:rPr>
          <w:rFonts w:hint="eastAsia" w:ascii="Times New Roman" w:hAnsi="Times New Roman" w:eastAsia="仿宋_GB2312" w:cs="Times New Roman"/>
          <w:color w:val="auto"/>
          <w:spacing w:val="0"/>
          <w:w w:val="100"/>
          <w:position w:val="0"/>
          <w:sz w:val="28"/>
          <w:szCs w:val="28"/>
          <w:lang w:val="en-US" w:eastAsia="zh-CN"/>
        </w:rPr>
        <w:t>26</w:t>
      </w:r>
      <w:r>
        <w:rPr>
          <w:rFonts w:hint="default" w:ascii="Times New Roman" w:hAnsi="Times New Roman" w:eastAsia="仿宋_GB2312" w:cs="Times New Roman"/>
          <w:color w:val="auto"/>
          <w:spacing w:val="0"/>
          <w:w w:val="100"/>
          <w:position w:val="0"/>
          <w:sz w:val="28"/>
          <w:szCs w:val="28"/>
          <w:lang w:val="en-US" w:eastAsia="zh-CN"/>
        </w:rPr>
        <w:t>日印发</w:t>
      </w:r>
      <w:r>
        <w:rPr>
          <w:rFonts w:hint="default" w:ascii="Times New Roman" w:hAnsi="Times New Roman" w:cs="Times New Roman"/>
          <w:spacing w:val="0"/>
          <w:position w:val="0"/>
          <w:sz w:val="32"/>
        </w:rPr>
        <mc:AlternateContent>
          <mc:Choice Requires="wps">
            <w:drawing>
              <wp:anchor distT="0" distB="0" distL="114300" distR="114300" simplePos="0" relativeHeight="251660288" behindDoc="0" locked="0" layoutInCell="1" allowOverlap="1">
                <wp:simplePos x="0" y="0"/>
                <wp:positionH relativeFrom="column">
                  <wp:posOffset>2026920</wp:posOffset>
                </wp:positionH>
                <wp:positionV relativeFrom="paragraph">
                  <wp:posOffset>8263255</wp:posOffset>
                </wp:positionV>
                <wp:extent cx="1847850" cy="552450"/>
                <wp:effectExtent l="0" t="0" r="0" b="0"/>
                <wp:wrapNone/>
                <wp:docPr id="3" name="矩形 3"/>
                <wp:cNvGraphicFramePr/>
                <a:graphic xmlns:a="http://schemas.openxmlformats.org/drawingml/2006/main">
                  <a:graphicData uri="http://schemas.microsoft.com/office/word/2010/wordprocessingShape">
                    <wps:wsp>
                      <wps:cNvSpPr/>
                      <wps:spPr>
                        <a:xfrm>
                          <a:off x="2962910" y="9595485"/>
                          <a:ext cx="1847850" cy="552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9.6pt;margin-top:650.65pt;height:43.5pt;width:145.5pt;z-index:251660288;v-text-anchor:middle;mso-width-relative:page;mso-height-relative:page;" fillcolor="#FFFFFF [3212]" filled="t" stroked="f" coordsize="21600,21600" o:gfxdata="UEsDBAoAAAAAAIdO4kAAAAAAAAAAAAAAAAAEAAAAZHJzL1BLAwQUAAAACACHTuJAZgit+9oAAAAN&#10;AQAADwAAAGRycy9kb3ducmV2LnhtbE2PP0/DMBTEdyS+g/WQ2KjtWpQQ4nSoxJABCVoGRjc2SUhs&#10;R7bzp9+e1wnGd/fTvbtiv9qBzCbEzjsJfMOAGFd73blGwufp9SEDEpNyWg3eGQkXE2Ff3t4UKtd+&#10;cR9mPqaGYIiLuZLQpjTmlMa6NVbFjR+NQ+/bB6sSnqGhOqgFw+1At4ztqFWdww+tGs2hNXV/nKyE&#10;vqrstD7Wc/X+9vQjwnLpT18HKe/vOHsBksya/mC41sfqUGKns5+cjmSQIPjzFlE0BOMCCCI7zlA6&#10;X6UsE0DLgv5fUf4CUEsDBBQAAAAIAIdO4kBhWp71dgIAANcEAAAOAAAAZHJzL2Uyb0RvYy54bWyt&#10;VEtu2zAQ3RfoHQjuG9mOldhG5MCI4aJA0ARIi65pirII8FeS/qSXKdBdD9HjFL1GHyklTtMusqgW&#10;0oxm8Gbe4wwvLg9akZ3wQVpT0eHJgBJhuK2l2VT044fVmwklITJTM2WNqOi9CPRy/vrVxd7NxMi2&#10;VtXCE4CYMNu7irYxullRBN4KzcKJdcIg2FivWYTrN0Xt2R7oWhWjweCs2FtfO2+5CAF/l12Q9oj+&#10;JYC2aSQXS8u3WpjYoXqhWASl0EoX6Dx32zSCx5umCSISVVEwjfmNIrDX6V3ML9hs45lrJe9bYC9p&#10;4RknzaRB0UeoJYuMbL38C0pL7m2wTTzhVhcdkawIWAwHz7S5a5kTmQukDu5R9PD/YPn73a0nsq7o&#10;KSWGaRz4r6/ff/74Rk6TNnsXZki5c7e+9wLMRPTQeJ2+oEAOFR1Nz0bTIVS9r+i0nJbjSdlpKw6R&#10;cCQMJ+PzSYkEjoyyHI1hA7I4Ijkf4lthNUlGRT3OLkvKdtchdqkPKalwsErWK6lUdvxmfaU82TGc&#10;8yo/PfofacqQPVoZnQ9SIwzT22BqYGoHBYLZUMLUBmvBo8+1jU0VUJzNUu0lC21XI8N2DLWMWAgl&#10;dUUng/T0lZUBvSRgJ1my1ra+h9zednMYHF9JwF6zEG+Zx+ChLaxmvMGrURa92t6ipLX+y7/+p3zM&#10;A6KU7DHI4PF5y7ygRL0zmJTpcDwGbMzOuDwfwfFPI+unEbPVVxYaDnEJOJ7NlB/Vg9l4qz9hgxep&#10;KkLMcNTuFOudq9gtGO4ALhaLnIZpdyxemzvHE3gS1NjFNtpG5rM9qtOLhnnP09HvZlqop37OOt5H&#10;8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mCK372gAAAA0BAAAPAAAAAAAAAAEAIAAAACIAAABk&#10;cnMvZG93bnJldi54bWxQSwECFAAUAAAACACHTuJAYVqe9XYCAADXBAAADgAAAAAAAAABACAAAAAp&#10;AQAAZHJzL2Uyb0RvYy54bWxQSwUGAAAAAAYABgBZAQAAEQYAAAAA&#10;">
                <v:fill on="t" focussize="0,0"/>
                <v:stroke on="f" weight="1pt" miterlimit="8" joinstyle="miter"/>
                <v:imagedata o:title=""/>
                <o:lock v:ext="edit" aspectratio="f"/>
              </v:rect>
            </w:pict>
          </mc:Fallback>
        </mc:AlternateContent>
      </w:r>
    </w:p>
    <w:sectPr>
      <w:footerReference r:id="rId3" w:type="default"/>
      <w:pgSz w:w="11906" w:h="16838"/>
      <w:pgMar w:top="2098" w:right="1474" w:bottom="1984" w:left="1587" w:header="851" w:footer="1134"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0NDljNmFiMzFkY2ZjZmQ4N2MzMDQyM2Q3NzlkMzMifQ=="/>
  </w:docVars>
  <w:rsids>
    <w:rsidRoot w:val="00B31925"/>
    <w:rsid w:val="000C4DC3"/>
    <w:rsid w:val="001C196D"/>
    <w:rsid w:val="001D0359"/>
    <w:rsid w:val="001F3935"/>
    <w:rsid w:val="00305303"/>
    <w:rsid w:val="00577AE5"/>
    <w:rsid w:val="006B5FC4"/>
    <w:rsid w:val="0078115A"/>
    <w:rsid w:val="007F7981"/>
    <w:rsid w:val="008B54BA"/>
    <w:rsid w:val="009336E5"/>
    <w:rsid w:val="00B06DDE"/>
    <w:rsid w:val="00B31925"/>
    <w:rsid w:val="00B44D85"/>
    <w:rsid w:val="00CD07F3"/>
    <w:rsid w:val="00E95F31"/>
    <w:rsid w:val="00F35FB0"/>
    <w:rsid w:val="02C52233"/>
    <w:rsid w:val="038B5556"/>
    <w:rsid w:val="09BC3607"/>
    <w:rsid w:val="105844D5"/>
    <w:rsid w:val="130649EE"/>
    <w:rsid w:val="133A4B26"/>
    <w:rsid w:val="154653A7"/>
    <w:rsid w:val="17C06926"/>
    <w:rsid w:val="17EA7ADE"/>
    <w:rsid w:val="1893590A"/>
    <w:rsid w:val="1CCD61A9"/>
    <w:rsid w:val="1DE35537"/>
    <w:rsid w:val="1ED46BCA"/>
    <w:rsid w:val="2186547D"/>
    <w:rsid w:val="26A83CCD"/>
    <w:rsid w:val="2A07361A"/>
    <w:rsid w:val="2A2369F2"/>
    <w:rsid w:val="2B310E6C"/>
    <w:rsid w:val="3105254A"/>
    <w:rsid w:val="31A16D13"/>
    <w:rsid w:val="322139AC"/>
    <w:rsid w:val="38A229A0"/>
    <w:rsid w:val="43BD4CE4"/>
    <w:rsid w:val="4CCA6BFE"/>
    <w:rsid w:val="606A2BED"/>
    <w:rsid w:val="618754F9"/>
    <w:rsid w:val="61960E9E"/>
    <w:rsid w:val="61D36A3A"/>
    <w:rsid w:val="6254200A"/>
    <w:rsid w:val="69654A2A"/>
    <w:rsid w:val="69E13E5B"/>
    <w:rsid w:val="6D350278"/>
    <w:rsid w:val="6F386747"/>
    <w:rsid w:val="6F4B0C5A"/>
    <w:rsid w:val="6FAF1555"/>
    <w:rsid w:val="72F71B46"/>
    <w:rsid w:val="77C46B15"/>
    <w:rsid w:val="79AC5B13"/>
    <w:rsid w:val="7BA16F2F"/>
    <w:rsid w:val="7FE46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line="240" w:lineRule="auto"/>
      <w:ind w:leftChars="300" w:firstLine="883" w:firstLineChars="200"/>
      <w:outlineLvl w:val="0"/>
    </w:pPr>
    <w:rPr>
      <w:rFonts w:ascii="Calibri Light" w:hAnsi="Calibri Light" w:eastAsia="黑体" w:cs="Times New Roman"/>
      <w:bCs/>
      <w:kern w:val="44"/>
      <w:sz w:val="32"/>
      <w:szCs w:val="44"/>
      <w:lang w:eastAsia="en-US" w:bidi="en-US"/>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86"/>
    </w:pPr>
    <w:rPr>
      <w:rFonts w:ascii="Arial Unicode MS" w:hAnsi="Arial Unicode MS" w:eastAsia="Arial Unicode MS" w:cs="Arial Unicode MS"/>
      <w:sz w:val="29"/>
      <w:szCs w:val="29"/>
      <w:lang w:val="zh-CN" w:eastAsia="zh-CN" w:bidi="zh-CN"/>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ascii="Calibri" w:hAnsi="Calibri" w:eastAsia="宋体" w:cs="黑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12515</Words>
  <Characters>12615</Characters>
  <Lines>90</Lines>
  <Paragraphs>25</Paragraphs>
  <TotalTime>1</TotalTime>
  <ScaleCrop>false</ScaleCrop>
  <LinksUpToDate>false</LinksUpToDate>
  <CharactersWithSpaces>12770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2022-08-13T10:28:00Z</dcterms:created>
  <dc:creator>石 鹏程</dc:creator>
  <cp:lastModifiedBy>Administrator</cp:lastModifiedBy>
  <cp:lastPrinted>2022-09-29T02:06:00Z</cp:lastPrinted>
  <dcterms:modified xsi:type="dcterms:W3CDTF">2022-12-06T09:34:51Z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7021A276E88F48CFAE12AD4F58F2B0A8</vt:lpwstr>
  </property>
</Properties>
</file>