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51F" w:rsidRDefault="00DC475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高青县人民政府办公室</w:t>
      </w:r>
    </w:p>
    <w:p w:rsidR="001A251F" w:rsidRDefault="00DC475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2019</w:t>
      </w:r>
      <w:r>
        <w:rPr>
          <w:rFonts w:ascii="方正小标宋简体" w:eastAsia="方正小标宋简体" w:hint="eastAsia"/>
          <w:sz w:val="44"/>
          <w:szCs w:val="44"/>
        </w:rPr>
        <w:t>年政府信息公开工作年度报告</w:t>
      </w:r>
    </w:p>
    <w:p w:rsidR="001A251F" w:rsidRDefault="001A251F">
      <w:pPr>
        <w:spacing w:line="560" w:lineRule="exact"/>
        <w:rPr>
          <w:rFonts w:ascii="仿宋_GB2312" w:eastAsia="仿宋_GB2312"/>
          <w:sz w:val="32"/>
          <w:szCs w:val="32"/>
        </w:rPr>
      </w:pP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本报告根据《中华人民共和国政府信息公开条例》（国务院令第</w:t>
      </w:r>
      <w:r>
        <w:rPr>
          <w:rFonts w:ascii="仿宋_GB2312" w:eastAsia="仿宋_GB2312" w:hint="eastAsia"/>
          <w:sz w:val="32"/>
          <w:szCs w:val="32"/>
        </w:rPr>
        <w:t>711</w:t>
      </w:r>
      <w:r>
        <w:rPr>
          <w:rFonts w:ascii="仿宋_GB2312" w:eastAsia="仿宋_GB2312" w:hint="eastAsia"/>
          <w:sz w:val="32"/>
          <w:szCs w:val="32"/>
        </w:rPr>
        <w:t>号，以下简称《条例》）要求，由高青县人民政府办公室综合本单位信息公开工作情况编制。</w:t>
      </w: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报告全文由总体情况、主动公开政府信息情况、收到和处理政府信息公开申请情况、政府信息公开行政复议行政诉讼情况、存在的主要问题及改进情况、其他需要报告的事项</w:t>
      </w:r>
      <w:r>
        <w:rPr>
          <w:rFonts w:ascii="仿宋_GB2312" w:eastAsia="仿宋_GB2312" w:hint="eastAsia"/>
          <w:sz w:val="32"/>
          <w:szCs w:val="32"/>
        </w:rPr>
        <w:t>6</w:t>
      </w:r>
      <w:r>
        <w:rPr>
          <w:rFonts w:ascii="仿宋_GB2312" w:eastAsia="仿宋_GB2312" w:hint="eastAsia"/>
          <w:sz w:val="32"/>
          <w:szCs w:val="32"/>
        </w:rPr>
        <w:t>个部分组成。</w:t>
      </w: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报告中所列数据统计期限自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日始，至</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日止。报告电子版可在高青县人民政府门户网站（</w:t>
      </w:r>
      <w:r>
        <w:rPr>
          <w:rFonts w:ascii="仿宋_GB2312" w:eastAsia="仿宋_GB2312" w:hint="eastAsia"/>
          <w:sz w:val="32"/>
          <w:szCs w:val="32"/>
        </w:rPr>
        <w:t>www.gaoqing.gov.cn</w:t>
      </w:r>
      <w:r>
        <w:rPr>
          <w:rFonts w:ascii="仿宋_GB2312" w:eastAsia="仿宋_GB2312" w:hint="eastAsia"/>
          <w:sz w:val="32"/>
          <w:szCs w:val="32"/>
        </w:rPr>
        <w:t>）查阅和下载。如对报告内容有疑问，请与高青县人民政府办公室联系（地址：高青县黄河路</w:t>
      </w:r>
      <w:r>
        <w:rPr>
          <w:rFonts w:ascii="仿宋_GB2312" w:eastAsia="仿宋_GB2312" w:hint="eastAsia"/>
          <w:sz w:val="32"/>
          <w:szCs w:val="32"/>
        </w:rPr>
        <w:t>81</w:t>
      </w:r>
      <w:r>
        <w:rPr>
          <w:rFonts w:ascii="仿宋_GB2312" w:eastAsia="仿宋_GB2312" w:hint="eastAsia"/>
          <w:sz w:val="32"/>
          <w:szCs w:val="32"/>
        </w:rPr>
        <w:t>号；邮编：</w:t>
      </w:r>
      <w:r>
        <w:rPr>
          <w:rFonts w:ascii="仿宋_GB2312" w:eastAsia="仿宋_GB2312" w:hint="eastAsia"/>
          <w:sz w:val="32"/>
          <w:szCs w:val="32"/>
        </w:rPr>
        <w:t>256300</w:t>
      </w:r>
      <w:r>
        <w:rPr>
          <w:rFonts w:ascii="仿宋_GB2312" w:eastAsia="仿宋_GB2312" w:hint="eastAsia"/>
          <w:sz w:val="32"/>
          <w:szCs w:val="32"/>
        </w:rPr>
        <w:t>；电话：</w:t>
      </w:r>
      <w:r>
        <w:rPr>
          <w:rFonts w:ascii="仿宋_GB2312" w:eastAsia="仿宋_GB2312" w:hint="eastAsia"/>
          <w:sz w:val="32"/>
          <w:szCs w:val="32"/>
        </w:rPr>
        <w:t>0533-6967090</w:t>
      </w:r>
      <w:r>
        <w:rPr>
          <w:rFonts w:ascii="仿宋_GB2312" w:eastAsia="仿宋_GB2312" w:hint="eastAsia"/>
          <w:sz w:val="32"/>
          <w:szCs w:val="32"/>
        </w:rPr>
        <w:t>；传真：</w:t>
      </w:r>
      <w:r>
        <w:rPr>
          <w:rFonts w:ascii="仿宋_GB2312" w:eastAsia="仿宋_GB2312" w:hint="eastAsia"/>
          <w:sz w:val="32"/>
          <w:szCs w:val="32"/>
        </w:rPr>
        <w:t>0533-6967065</w:t>
      </w:r>
      <w:r>
        <w:rPr>
          <w:rFonts w:ascii="仿宋_GB2312" w:eastAsia="仿宋_GB2312" w:hint="eastAsia"/>
          <w:sz w:val="32"/>
          <w:szCs w:val="32"/>
        </w:rPr>
        <w:t>）。</w:t>
      </w:r>
    </w:p>
    <w:p w:rsidR="001A251F" w:rsidRDefault="00DC4751">
      <w:pPr>
        <w:spacing w:line="560" w:lineRule="exact"/>
        <w:ind w:firstLineChars="200" w:firstLine="640"/>
        <w:rPr>
          <w:rFonts w:ascii="黑体" w:eastAsia="黑体" w:hAnsi="黑体"/>
          <w:sz w:val="32"/>
          <w:szCs w:val="32"/>
        </w:rPr>
      </w:pPr>
      <w:r>
        <w:rPr>
          <w:rFonts w:ascii="黑体" w:eastAsia="黑体" w:hAnsi="黑体" w:hint="eastAsia"/>
          <w:sz w:val="32"/>
          <w:szCs w:val="32"/>
        </w:rPr>
        <w:t>一、总体情况</w:t>
      </w: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年，高青县人民政府办公室以习近平新时代中国特色社会主义思想为指导，紧紧围绕县委、县政府中心工作，持续做好信息发布、解读回应、</w:t>
      </w:r>
      <w:proofErr w:type="gramStart"/>
      <w:r>
        <w:rPr>
          <w:rFonts w:ascii="仿宋_GB2312" w:eastAsia="仿宋_GB2312" w:hint="eastAsia"/>
          <w:sz w:val="32"/>
          <w:szCs w:val="32"/>
        </w:rPr>
        <w:t>政民互动</w:t>
      </w:r>
      <w:proofErr w:type="gramEnd"/>
      <w:r>
        <w:rPr>
          <w:rFonts w:ascii="仿宋_GB2312" w:eastAsia="仿宋_GB2312" w:hint="eastAsia"/>
          <w:sz w:val="32"/>
          <w:szCs w:val="32"/>
        </w:rPr>
        <w:t>、平台建设，提高政府治理能力，切</w:t>
      </w:r>
      <w:r>
        <w:rPr>
          <w:rFonts w:ascii="仿宋_GB2312" w:eastAsia="仿宋_GB2312" w:hint="eastAsia"/>
          <w:sz w:val="32"/>
          <w:szCs w:val="32"/>
        </w:rPr>
        <w:t>实增强人民群众满意度、获得感。</w:t>
      </w:r>
    </w:p>
    <w:p w:rsidR="001A251F" w:rsidRDefault="00DC4751">
      <w:pPr>
        <w:spacing w:line="560" w:lineRule="exact"/>
        <w:ind w:firstLineChars="200" w:firstLine="640"/>
        <w:rPr>
          <w:rFonts w:ascii="楷体_GB2312" w:eastAsia="楷体_GB2312"/>
          <w:sz w:val="32"/>
          <w:szCs w:val="32"/>
        </w:rPr>
      </w:pPr>
      <w:r>
        <w:rPr>
          <w:rFonts w:ascii="楷体_GB2312" w:eastAsia="楷体_GB2312" w:hint="eastAsia"/>
          <w:sz w:val="32"/>
          <w:szCs w:val="32"/>
        </w:rPr>
        <w:t>（一）主动公开情况</w:t>
      </w: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一是做好建议提案办理结果公开。</w:t>
      </w:r>
      <w:r>
        <w:rPr>
          <w:rFonts w:ascii="仿宋_GB2312" w:eastAsia="仿宋_GB2312" w:hint="eastAsia"/>
          <w:sz w:val="32"/>
          <w:szCs w:val="32"/>
        </w:rPr>
        <w:t>20</w:t>
      </w:r>
      <w:r>
        <w:rPr>
          <w:rFonts w:ascii="仿宋_GB2312" w:eastAsia="仿宋_GB2312" w:hint="eastAsia"/>
          <w:sz w:val="32"/>
          <w:szCs w:val="32"/>
        </w:rPr>
        <w:t>19</w:t>
      </w:r>
      <w:r>
        <w:rPr>
          <w:rFonts w:ascii="仿宋_GB2312" w:eastAsia="仿宋_GB2312" w:hint="eastAsia"/>
          <w:sz w:val="32"/>
          <w:szCs w:val="32"/>
        </w:rPr>
        <w:t>年，高青县人民政府办公室未收到人大代表建议、政协委员提案。</w:t>
      </w:r>
    </w:p>
    <w:p w:rsidR="001A251F" w:rsidRDefault="00DC4751">
      <w:pPr>
        <w:spacing w:line="560" w:lineRule="exact"/>
        <w:ind w:firstLineChars="200" w:firstLine="640"/>
        <w:rPr>
          <w:rFonts w:ascii="仿宋_GB2312" w:eastAsia="仿宋_GB2312"/>
          <w:sz w:val="32"/>
          <w:szCs w:val="32"/>
        </w:rPr>
      </w:pPr>
      <w:r>
        <w:rPr>
          <w:rFonts w:ascii="仿宋_GB2312" w:eastAsia="仿宋_GB2312"/>
          <w:noProof/>
          <w:sz w:val="32"/>
          <w:szCs w:val="32"/>
        </w:rPr>
        <w:lastRenderedPageBreak/>
        <w:drawing>
          <wp:anchor distT="0" distB="0" distL="114300" distR="114300" simplePos="0" relativeHeight="251665408" behindDoc="0" locked="0" layoutInCell="1" allowOverlap="1">
            <wp:simplePos x="0" y="0"/>
            <wp:positionH relativeFrom="margin">
              <wp:posOffset>2821940</wp:posOffset>
            </wp:positionH>
            <wp:positionV relativeFrom="margin">
              <wp:posOffset>1589405</wp:posOffset>
            </wp:positionV>
            <wp:extent cx="2661285" cy="3596640"/>
            <wp:effectExtent l="0" t="0" r="5715" b="3810"/>
            <wp:wrapSquare wrapText="bothSides"/>
            <wp:docPr id="4" name="图片 4" descr="E:\信息中心\政府信息公开\信息公开年报\2020年年报\QQ截图20210209183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信息中心\政府信息公开\信息公开年报\2020年年报\QQ截图202102091831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61285" cy="3596640"/>
                    </a:xfrm>
                    <a:prstGeom prst="rect">
                      <a:avLst/>
                    </a:prstGeom>
                    <a:noFill/>
                    <a:ln>
                      <a:noFill/>
                    </a:ln>
                  </pic:spPr>
                </pic:pic>
              </a:graphicData>
            </a:graphic>
          </wp:anchor>
        </w:drawing>
      </w:r>
      <w:r>
        <w:rPr>
          <w:rFonts w:ascii="仿宋_GB2312" w:eastAsia="仿宋_GB2312" w:hint="eastAsia"/>
          <w:sz w:val="32"/>
          <w:szCs w:val="32"/>
        </w:rPr>
        <w:t>二是做好中心工作信息公开。政府会议方面，公开</w:t>
      </w:r>
      <w:r>
        <w:rPr>
          <w:rFonts w:ascii="仿宋_GB2312" w:eastAsia="仿宋_GB2312" w:hint="eastAsia"/>
          <w:sz w:val="32"/>
          <w:szCs w:val="32"/>
        </w:rPr>
        <w:t>20</w:t>
      </w:r>
      <w:r>
        <w:rPr>
          <w:rFonts w:ascii="仿宋_GB2312" w:eastAsia="仿宋_GB2312" w:hint="eastAsia"/>
          <w:sz w:val="32"/>
          <w:szCs w:val="32"/>
        </w:rPr>
        <w:t>次政府常务会议的议题和会议内容。财政信息方面，公开</w:t>
      </w:r>
      <w:r>
        <w:rPr>
          <w:rFonts w:ascii="仿宋_GB2312" w:eastAsia="仿宋_GB2312" w:hint="eastAsia"/>
          <w:sz w:val="32"/>
          <w:szCs w:val="32"/>
        </w:rPr>
        <w:t>2019</w:t>
      </w:r>
      <w:r>
        <w:rPr>
          <w:rFonts w:ascii="仿宋_GB2312" w:eastAsia="仿宋_GB2312" w:hint="eastAsia"/>
          <w:sz w:val="32"/>
          <w:szCs w:val="32"/>
        </w:rPr>
        <w:t>年政府办公室预算和</w:t>
      </w:r>
      <w:r>
        <w:rPr>
          <w:rFonts w:ascii="仿宋_GB2312" w:eastAsia="仿宋_GB2312" w:hint="eastAsia"/>
          <w:sz w:val="32"/>
          <w:szCs w:val="32"/>
        </w:rPr>
        <w:t>2018</w:t>
      </w:r>
      <w:r>
        <w:rPr>
          <w:rFonts w:ascii="仿宋_GB2312" w:eastAsia="仿宋_GB2312" w:hint="eastAsia"/>
          <w:sz w:val="32"/>
          <w:szCs w:val="32"/>
        </w:rPr>
        <w:t>年政府办公室决算信息。政策文件方面，县政府、县政府办公室印发的文件，属于主动公开的，均通过县政府门户网站进行公开。</w:t>
      </w: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三是做好政策解读信息公开。按照“谁起草谁解读”原则，坚持政策性文件与解读方案、解读材料同步组织、同步审签、同步部</w:t>
      </w:r>
      <w:r>
        <w:rPr>
          <w:rFonts w:ascii="仿宋_GB2312" w:eastAsia="仿宋_GB2312" w:hint="eastAsia"/>
          <w:sz w:val="32"/>
          <w:szCs w:val="32"/>
        </w:rPr>
        <w:t>署。涉及群众利益、需要社会广泛知晓的政策均进行解读，探索采用图片图表形式解读政策，确保群众看得懂、能理解。</w:t>
      </w:r>
    </w:p>
    <w:p w:rsidR="001A251F" w:rsidRDefault="00DC4751">
      <w:pPr>
        <w:spacing w:line="560" w:lineRule="exact"/>
        <w:ind w:firstLineChars="200" w:firstLine="640"/>
        <w:rPr>
          <w:rFonts w:ascii="楷体_GB2312" w:eastAsia="楷体_GB2312"/>
          <w:sz w:val="32"/>
          <w:szCs w:val="32"/>
        </w:rPr>
      </w:pPr>
      <w:r>
        <w:rPr>
          <w:rFonts w:ascii="楷体_GB2312" w:eastAsia="楷体_GB2312" w:hint="eastAsia"/>
          <w:sz w:val="32"/>
          <w:szCs w:val="32"/>
        </w:rPr>
        <w:t>（二）依申请公开情况</w:t>
      </w: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收到和处理政府信息公开申请情况。</w:t>
      </w:r>
    </w:p>
    <w:p w:rsidR="001A251F" w:rsidRDefault="00DC4751">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2019</w:t>
      </w:r>
      <w:r>
        <w:rPr>
          <w:rFonts w:ascii="仿宋_GB2312" w:eastAsia="仿宋_GB2312" w:hint="eastAsia"/>
          <w:color w:val="000000" w:themeColor="text1"/>
          <w:sz w:val="32"/>
          <w:szCs w:val="32"/>
        </w:rPr>
        <w:t>年，高青县人民政府办公室共收到政府信息公开申请</w:t>
      </w:r>
      <w:r>
        <w:rPr>
          <w:rFonts w:ascii="仿宋_GB2312" w:eastAsia="仿宋_GB2312" w:hint="eastAsia"/>
          <w:color w:val="000000" w:themeColor="text1"/>
          <w:sz w:val="32"/>
          <w:szCs w:val="32"/>
        </w:rPr>
        <w:t>17</w:t>
      </w:r>
      <w:r>
        <w:rPr>
          <w:rFonts w:ascii="仿宋_GB2312" w:eastAsia="仿宋_GB2312" w:hint="eastAsia"/>
          <w:color w:val="000000" w:themeColor="text1"/>
          <w:sz w:val="32"/>
          <w:szCs w:val="32"/>
        </w:rPr>
        <w:t>件，申请</w:t>
      </w:r>
      <w:proofErr w:type="gramStart"/>
      <w:r>
        <w:rPr>
          <w:rFonts w:ascii="仿宋_GB2312" w:eastAsia="仿宋_GB2312" w:hint="eastAsia"/>
          <w:color w:val="000000" w:themeColor="text1"/>
          <w:sz w:val="32"/>
          <w:szCs w:val="32"/>
        </w:rPr>
        <w:t>办结数</w:t>
      </w:r>
      <w:proofErr w:type="gramEnd"/>
      <w:r>
        <w:rPr>
          <w:rFonts w:ascii="仿宋_GB2312" w:eastAsia="仿宋_GB2312" w:hint="eastAsia"/>
          <w:color w:val="000000" w:themeColor="text1"/>
          <w:sz w:val="32"/>
          <w:szCs w:val="32"/>
        </w:rPr>
        <w:t>17</w:t>
      </w:r>
      <w:r>
        <w:rPr>
          <w:rFonts w:ascii="仿宋_GB2312" w:eastAsia="仿宋_GB2312" w:hint="eastAsia"/>
          <w:color w:val="000000" w:themeColor="text1"/>
          <w:sz w:val="32"/>
          <w:szCs w:val="32"/>
        </w:rPr>
        <w:t>件，按时</w:t>
      </w:r>
      <w:proofErr w:type="gramStart"/>
      <w:r>
        <w:rPr>
          <w:rFonts w:ascii="仿宋_GB2312" w:eastAsia="仿宋_GB2312" w:hint="eastAsia"/>
          <w:color w:val="000000" w:themeColor="text1"/>
          <w:sz w:val="32"/>
          <w:szCs w:val="32"/>
        </w:rPr>
        <w:t>办结数</w:t>
      </w:r>
      <w:proofErr w:type="gramEnd"/>
      <w:r>
        <w:rPr>
          <w:rFonts w:ascii="仿宋_GB2312" w:eastAsia="仿宋_GB2312" w:hint="eastAsia"/>
          <w:color w:val="000000" w:themeColor="text1"/>
          <w:sz w:val="32"/>
          <w:szCs w:val="32"/>
        </w:rPr>
        <w:t>17</w:t>
      </w:r>
      <w:r>
        <w:rPr>
          <w:rFonts w:ascii="仿宋_GB2312" w:eastAsia="仿宋_GB2312" w:hint="eastAsia"/>
          <w:color w:val="000000" w:themeColor="text1"/>
          <w:sz w:val="32"/>
          <w:szCs w:val="32"/>
        </w:rPr>
        <w:t>件。在办结的申请中：予以公开</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件，部分公开</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件，不予公开</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件，无法提供</w:t>
      </w:r>
      <w:r>
        <w:rPr>
          <w:rFonts w:ascii="仿宋_GB2312" w:eastAsia="仿宋_GB2312" w:hint="eastAsia"/>
          <w:color w:val="000000" w:themeColor="text1"/>
          <w:sz w:val="32"/>
          <w:szCs w:val="32"/>
        </w:rPr>
        <w:t>16</w:t>
      </w:r>
      <w:r>
        <w:rPr>
          <w:rFonts w:ascii="仿宋_GB2312" w:eastAsia="仿宋_GB2312" w:hint="eastAsia"/>
          <w:color w:val="000000" w:themeColor="text1"/>
          <w:sz w:val="32"/>
          <w:szCs w:val="32"/>
        </w:rPr>
        <w:t>件，</w:t>
      </w:r>
      <w:proofErr w:type="gramStart"/>
      <w:r>
        <w:rPr>
          <w:rFonts w:ascii="仿宋_GB2312" w:eastAsia="仿宋_GB2312" w:hint="eastAsia"/>
          <w:color w:val="000000" w:themeColor="text1"/>
          <w:sz w:val="32"/>
          <w:szCs w:val="32"/>
        </w:rPr>
        <w:t>不予处理</w:t>
      </w:r>
      <w:proofErr w:type="gramEnd"/>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件，其他处理</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件。无结转下年度继续办理件。</w:t>
      </w:r>
    </w:p>
    <w:p w:rsidR="001A251F" w:rsidRDefault="00DC4751">
      <w:pPr>
        <w:spacing w:line="560" w:lineRule="exact"/>
        <w:ind w:firstLineChars="300" w:firstLine="630"/>
        <w:rPr>
          <w:rFonts w:ascii="仿宋_GB2312" w:eastAsia="仿宋_GB2312"/>
          <w:color w:val="000000" w:themeColor="text1"/>
          <w:sz w:val="32"/>
          <w:szCs w:val="32"/>
        </w:rPr>
      </w:pPr>
      <w:r>
        <w:rPr>
          <w:noProof/>
        </w:rPr>
        <w:lastRenderedPageBreak/>
        <w:drawing>
          <wp:anchor distT="0" distB="0" distL="114300" distR="114300" simplePos="0" relativeHeight="251662336" behindDoc="0" locked="0" layoutInCell="1" allowOverlap="1">
            <wp:simplePos x="0" y="0"/>
            <wp:positionH relativeFrom="margin">
              <wp:posOffset>42545</wp:posOffset>
            </wp:positionH>
            <wp:positionV relativeFrom="margin">
              <wp:posOffset>-259715</wp:posOffset>
            </wp:positionV>
            <wp:extent cx="5486400" cy="3335655"/>
            <wp:effectExtent l="0" t="0" r="19050" b="1714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_GB2312" w:eastAsia="仿宋_GB2312" w:hint="eastAsia"/>
          <w:color w:val="000000" w:themeColor="text1"/>
          <w:sz w:val="32"/>
          <w:szCs w:val="32"/>
        </w:rPr>
        <w:t xml:space="preserve">2. </w:t>
      </w:r>
      <w:r>
        <w:rPr>
          <w:rFonts w:ascii="仿宋_GB2312" w:eastAsia="仿宋_GB2312" w:hint="eastAsia"/>
          <w:color w:val="000000" w:themeColor="text1"/>
          <w:sz w:val="32"/>
          <w:szCs w:val="32"/>
        </w:rPr>
        <w:t>收费和减免情况。</w:t>
      </w:r>
    </w:p>
    <w:p w:rsidR="001A251F" w:rsidRDefault="00DC4751">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2019</w:t>
      </w:r>
      <w:r>
        <w:rPr>
          <w:rFonts w:ascii="仿宋_GB2312" w:eastAsia="仿宋_GB2312" w:hint="eastAsia"/>
          <w:color w:val="000000" w:themeColor="text1"/>
          <w:sz w:val="32"/>
          <w:szCs w:val="32"/>
        </w:rPr>
        <w:t>年度，高青县人民政府办公室在政府信息公开申请办理过程中，未收取任何费用。</w:t>
      </w:r>
    </w:p>
    <w:p w:rsidR="001A251F" w:rsidRDefault="00DC4751">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政府信息公开行政复议、行政诉讼情况。</w:t>
      </w:r>
    </w:p>
    <w:p w:rsidR="001A251F" w:rsidRDefault="00DC4751">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2019</w:t>
      </w:r>
      <w:r>
        <w:rPr>
          <w:rFonts w:ascii="仿宋_GB2312" w:eastAsia="仿宋_GB2312" w:hint="eastAsia"/>
          <w:color w:val="000000" w:themeColor="text1"/>
          <w:sz w:val="32"/>
          <w:szCs w:val="32"/>
        </w:rPr>
        <w:t>年，高青县人民政府办公室因政府信息公开被申请行政复议</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件。其中，结果维持</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件、结果纠正</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件，其他结果数</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件，尚未审结数</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件。</w:t>
      </w:r>
    </w:p>
    <w:p w:rsidR="001A251F" w:rsidRDefault="00DC4751">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因政府信息公开被提起行政诉讼</w:t>
      </w: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件。其中，未经复议直接起诉</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件，复议后起诉</w:t>
      </w: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件。在行政诉讼案件中，结果维持数</w:t>
      </w: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件，结果纠正数</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件，尚未审结数</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件，其他结果数</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件。</w:t>
      </w:r>
    </w:p>
    <w:p w:rsidR="001A251F" w:rsidRDefault="00DC4751">
      <w:pPr>
        <w:spacing w:line="560" w:lineRule="exact"/>
        <w:ind w:firstLineChars="200" w:firstLine="640"/>
        <w:rPr>
          <w:rFonts w:ascii="楷体_GB2312" w:eastAsia="楷体_GB2312"/>
          <w:color w:val="000000" w:themeColor="text1"/>
          <w:sz w:val="32"/>
          <w:szCs w:val="32"/>
        </w:rPr>
      </w:pPr>
      <w:r>
        <w:rPr>
          <w:rFonts w:ascii="楷体_GB2312" w:eastAsia="楷体_GB2312" w:hint="eastAsia"/>
          <w:color w:val="000000" w:themeColor="text1"/>
          <w:sz w:val="32"/>
          <w:szCs w:val="32"/>
        </w:rPr>
        <w:t>（三）政府信息管理情况</w:t>
      </w: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对政府信息进行全生命周期的规范管理，在出台新的政策性文件同时，同步梳理已有同类政策并做好废止修改工作，保证政策措施的统一性。对于清理失效、保留的文件，</w:t>
      </w:r>
      <w:r>
        <w:rPr>
          <w:rFonts w:ascii="仿宋_GB2312" w:eastAsia="仿宋_GB2312" w:hint="eastAsia"/>
          <w:sz w:val="32"/>
          <w:szCs w:val="32"/>
        </w:rPr>
        <w:t>及时通过县政府</w:t>
      </w:r>
      <w:r>
        <w:rPr>
          <w:rFonts w:ascii="仿宋_GB2312" w:eastAsia="仿宋_GB2312" w:hint="eastAsia"/>
          <w:sz w:val="32"/>
          <w:szCs w:val="32"/>
        </w:rPr>
        <w:lastRenderedPageBreak/>
        <w:t>门户网站进行公开。</w:t>
      </w:r>
    </w:p>
    <w:p w:rsidR="001A251F" w:rsidRDefault="00DC4751">
      <w:pPr>
        <w:spacing w:line="560" w:lineRule="exact"/>
        <w:ind w:firstLineChars="200" w:firstLine="640"/>
        <w:rPr>
          <w:rFonts w:ascii="楷体_GB2312" w:eastAsia="楷体_GB2312"/>
          <w:sz w:val="32"/>
          <w:szCs w:val="32"/>
        </w:rPr>
      </w:pPr>
      <w:r>
        <w:rPr>
          <w:rFonts w:ascii="楷体_GB2312" w:eastAsia="楷体_GB2312" w:hint="eastAsia"/>
          <w:sz w:val="32"/>
          <w:szCs w:val="32"/>
        </w:rPr>
        <w:t>（四）平台建设情况</w:t>
      </w:r>
    </w:p>
    <w:p w:rsidR="001A251F" w:rsidRDefault="00DC4751">
      <w:pPr>
        <w:spacing w:line="560" w:lineRule="exact"/>
        <w:ind w:firstLineChars="200" w:firstLine="640"/>
        <w:rPr>
          <w:rFonts w:ascii="仿宋_GB2312" w:eastAsia="仿宋_GB2312"/>
          <w:sz w:val="32"/>
          <w:szCs w:val="32"/>
        </w:rPr>
      </w:pPr>
      <w:r>
        <w:rPr>
          <w:rFonts w:ascii="仿宋_GB2312" w:eastAsia="仿宋_GB2312"/>
          <w:noProof/>
          <w:sz w:val="32"/>
          <w:szCs w:val="32"/>
        </w:rPr>
        <w:drawing>
          <wp:anchor distT="0" distB="0" distL="114300" distR="114300" simplePos="0" relativeHeight="251664384" behindDoc="0" locked="0" layoutInCell="1" allowOverlap="1">
            <wp:simplePos x="0" y="0"/>
            <wp:positionH relativeFrom="margin">
              <wp:posOffset>1285240</wp:posOffset>
            </wp:positionH>
            <wp:positionV relativeFrom="margin">
              <wp:posOffset>1197610</wp:posOffset>
            </wp:positionV>
            <wp:extent cx="4312920" cy="2522855"/>
            <wp:effectExtent l="0" t="0" r="0" b="0"/>
            <wp:wrapSquare wrapText="bothSides"/>
            <wp:docPr id="2" name="图片 2" descr="C:\Users\Administrator.luobo-504031037\Desktop\QQ截图20210209183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luobo-504031037\Desktop\QQ截图2021020918324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12920" cy="2522855"/>
                    </a:xfrm>
                    <a:prstGeom prst="rect">
                      <a:avLst/>
                    </a:prstGeom>
                    <a:noFill/>
                    <a:ln>
                      <a:noFill/>
                    </a:ln>
                  </pic:spPr>
                </pic:pic>
              </a:graphicData>
            </a:graphic>
          </wp:anchor>
        </w:drawing>
      </w:r>
      <w:r>
        <w:rPr>
          <w:rFonts w:ascii="仿宋_GB2312" w:eastAsia="仿宋_GB2312" w:hint="eastAsia"/>
          <w:sz w:val="32"/>
          <w:szCs w:val="32"/>
        </w:rPr>
        <w:t>一是做好政府公报发行。《高青县人民政府公报》自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月创刊，集中刊发县政府文件、县政府办公室文件和规范性文件，公报电子版通过县政府门户网站公开，并在县政务服务大厅、各镇（街道、开发区）便民服务大厅设有免费取阅点。</w:t>
      </w:r>
      <w:r>
        <w:rPr>
          <w:rFonts w:ascii="仿宋_GB2312" w:eastAsia="仿宋_GB2312" w:hint="eastAsia"/>
          <w:sz w:val="32"/>
          <w:szCs w:val="32"/>
        </w:rPr>
        <w:t>2019</w:t>
      </w:r>
      <w:r>
        <w:rPr>
          <w:rFonts w:ascii="仿宋_GB2312" w:eastAsia="仿宋_GB2312" w:hint="eastAsia"/>
          <w:sz w:val="32"/>
          <w:szCs w:val="32"/>
        </w:rPr>
        <w:t>年共发布政府公报</w:t>
      </w:r>
      <w:r>
        <w:rPr>
          <w:rFonts w:ascii="仿宋_GB2312" w:eastAsia="仿宋_GB2312" w:hint="eastAsia"/>
          <w:sz w:val="32"/>
          <w:szCs w:val="32"/>
        </w:rPr>
        <w:t>4</w:t>
      </w:r>
      <w:r>
        <w:rPr>
          <w:rFonts w:ascii="仿宋_GB2312" w:eastAsia="仿宋_GB2312" w:hint="eastAsia"/>
          <w:sz w:val="32"/>
          <w:szCs w:val="32"/>
        </w:rPr>
        <w:t>期。二是加强政府门户网站建设，完善政府网站搜索功能，根据用户真实需求调整搜索结果排序，提供多维度分类展现，实现“搜索即服务”。</w:t>
      </w:r>
    </w:p>
    <w:p w:rsidR="001A251F" w:rsidRDefault="00DC4751">
      <w:pPr>
        <w:spacing w:line="560" w:lineRule="exact"/>
        <w:ind w:firstLineChars="200" w:firstLine="640"/>
        <w:rPr>
          <w:rFonts w:ascii="楷体_GB2312" w:eastAsia="楷体_GB2312"/>
          <w:sz w:val="32"/>
          <w:szCs w:val="32"/>
        </w:rPr>
      </w:pPr>
      <w:r>
        <w:rPr>
          <w:rFonts w:ascii="楷体_GB2312" w:eastAsia="楷体_GB2312" w:hint="eastAsia"/>
          <w:sz w:val="32"/>
          <w:szCs w:val="32"/>
        </w:rPr>
        <w:t>（五）监督保障情况</w:t>
      </w: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一是完善体制机制建设，高青县人民政府办公室党组会议专题研究推进政务公开工作；机构改革后，高青县人民政府办公室重新制定了“三定”方案，确定信息调研科具体负责政务公开工作。制定了《高青县人民政府办公室关于印发</w:t>
      </w:r>
      <w:r>
        <w:rPr>
          <w:rFonts w:ascii="仿宋_GB2312" w:eastAsia="仿宋_GB2312" w:hint="eastAsia"/>
          <w:sz w:val="32"/>
          <w:szCs w:val="32"/>
        </w:rPr>
        <w:t>2019</w:t>
      </w:r>
      <w:r>
        <w:rPr>
          <w:rFonts w:ascii="仿宋_GB2312" w:eastAsia="仿宋_GB2312" w:hint="eastAsia"/>
          <w:sz w:val="32"/>
          <w:szCs w:val="32"/>
        </w:rPr>
        <w:t>年高青县政务公开工作方案的通知》（</w:t>
      </w:r>
      <w:proofErr w:type="gramStart"/>
      <w:r>
        <w:rPr>
          <w:rFonts w:ascii="仿宋_GB2312" w:eastAsia="仿宋_GB2312" w:hint="eastAsia"/>
          <w:sz w:val="32"/>
          <w:szCs w:val="32"/>
        </w:rPr>
        <w:t>高政办</w:t>
      </w:r>
      <w:proofErr w:type="gramEnd"/>
      <w:r>
        <w:rPr>
          <w:rFonts w:ascii="仿宋_GB2312" w:eastAsia="仿宋_GB2312" w:hint="eastAsia"/>
          <w:sz w:val="32"/>
          <w:szCs w:val="32"/>
        </w:rPr>
        <w:t>发〔</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号），印发了《</w:t>
      </w:r>
      <w:r>
        <w:rPr>
          <w:rFonts w:ascii="仿宋_GB2312" w:eastAsia="仿宋_GB2312" w:hint="eastAsia"/>
          <w:sz w:val="32"/>
          <w:szCs w:val="32"/>
        </w:rPr>
        <w:t>2019</w:t>
      </w:r>
      <w:r>
        <w:rPr>
          <w:rFonts w:ascii="仿宋_GB2312" w:eastAsia="仿宋_GB2312" w:hint="eastAsia"/>
          <w:sz w:val="32"/>
          <w:szCs w:val="32"/>
        </w:rPr>
        <w:t>年高青县政务公开主要任务分解表》，将任务落实到具体单位和</w:t>
      </w:r>
      <w:r>
        <w:rPr>
          <w:rFonts w:ascii="仿宋_GB2312" w:eastAsia="仿宋_GB2312" w:hint="eastAsia"/>
          <w:sz w:val="32"/>
          <w:szCs w:val="32"/>
        </w:rPr>
        <w:lastRenderedPageBreak/>
        <w:t>科室人员。二是加大工作考核，将政务公开纳入全县经济社会发</w:t>
      </w:r>
      <w:r>
        <w:rPr>
          <w:noProof/>
        </w:rPr>
        <w:drawing>
          <wp:anchor distT="0" distB="0" distL="114300" distR="114300" simplePos="0" relativeHeight="251660288" behindDoc="0" locked="0" layoutInCell="1" allowOverlap="1">
            <wp:simplePos x="0" y="0"/>
            <wp:positionH relativeFrom="margin">
              <wp:posOffset>1343660</wp:posOffset>
            </wp:positionH>
            <wp:positionV relativeFrom="margin">
              <wp:posOffset>437515</wp:posOffset>
            </wp:positionV>
            <wp:extent cx="4347210" cy="2704465"/>
            <wp:effectExtent l="0" t="0" r="0" b="635"/>
            <wp:wrapSquare wrapText="bothSides"/>
            <wp:docPr id="3" name="图片 3" descr="C:\Users\Administrator.luobo-504031037\Desktop\c2c7694329ba4febb3c01183267a66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luobo-504031037\Desktop\c2c7694329ba4febb3c01183267a66b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47210" cy="2704465"/>
                    </a:xfrm>
                    <a:prstGeom prst="rect">
                      <a:avLst/>
                    </a:prstGeom>
                    <a:noFill/>
                    <a:ln>
                      <a:noFill/>
                    </a:ln>
                  </pic:spPr>
                </pic:pic>
              </a:graphicData>
            </a:graphic>
          </wp:anchor>
        </w:drawing>
      </w:r>
      <w:proofErr w:type="gramStart"/>
      <w:r>
        <w:rPr>
          <w:rFonts w:ascii="仿宋_GB2312" w:eastAsia="仿宋_GB2312" w:hint="eastAsia"/>
          <w:sz w:val="32"/>
          <w:szCs w:val="32"/>
        </w:rPr>
        <w:t>展综合</w:t>
      </w:r>
      <w:proofErr w:type="gramEnd"/>
      <w:r>
        <w:rPr>
          <w:rFonts w:ascii="仿宋_GB2312" w:eastAsia="仿宋_GB2312" w:hint="eastAsia"/>
          <w:sz w:val="32"/>
          <w:szCs w:val="32"/>
        </w:rPr>
        <w:t>考核指标体系，加大对专题会议、社会公益、行政执法等方面考核力度。三是加大业务培训，共组织政务公开培训</w:t>
      </w:r>
      <w:r>
        <w:rPr>
          <w:rFonts w:ascii="仿宋_GB2312" w:eastAsia="仿宋_GB2312" w:hint="eastAsia"/>
          <w:sz w:val="32"/>
          <w:szCs w:val="32"/>
        </w:rPr>
        <w:t>2</w:t>
      </w:r>
      <w:r>
        <w:rPr>
          <w:rFonts w:ascii="仿宋_GB2312" w:eastAsia="仿宋_GB2312" w:hint="eastAsia"/>
          <w:sz w:val="32"/>
          <w:szCs w:val="32"/>
        </w:rPr>
        <w:t>次，全县各镇办、各部门政府公开分管负责人和工作人员参加培训。</w:t>
      </w: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1A251F">
      <w:pPr>
        <w:ind w:firstLineChars="200" w:firstLine="420"/>
      </w:pPr>
    </w:p>
    <w:p w:rsidR="001A251F" w:rsidRDefault="00DC4751">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二、主动公开政府信息情况</w:t>
      </w:r>
    </w:p>
    <w:tbl>
      <w:tblPr>
        <w:tblW w:w="8705" w:type="dxa"/>
        <w:jc w:val="center"/>
        <w:tblLook w:val="04A0" w:firstRow="1" w:lastRow="0" w:firstColumn="1" w:lastColumn="0" w:noHBand="0" w:noVBand="1"/>
      </w:tblPr>
      <w:tblGrid>
        <w:gridCol w:w="2752"/>
        <w:gridCol w:w="1984"/>
        <w:gridCol w:w="1985"/>
        <w:gridCol w:w="1984"/>
      </w:tblGrid>
      <w:tr w:rsidR="001A251F">
        <w:trPr>
          <w:trHeight w:val="495"/>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A251F" w:rsidRDefault="00DC4751">
            <w:pPr>
              <w:widowControl/>
              <w:spacing w:line="36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第二十条第（一）项</w:t>
            </w:r>
          </w:p>
        </w:tc>
      </w:tr>
      <w:tr w:rsidR="001A251F">
        <w:trPr>
          <w:trHeight w:val="882"/>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本年新</w:t>
            </w:r>
            <w:r>
              <w:rPr>
                <w:rFonts w:ascii="宋体" w:eastAsia="宋体" w:hAnsi="宋体" w:cs="宋体"/>
                <w:color w:val="333333"/>
                <w:kern w:val="0"/>
                <w:sz w:val="24"/>
                <w:szCs w:val="24"/>
              </w:rPr>
              <w:t>制作数量</w:t>
            </w:r>
          </w:p>
        </w:tc>
        <w:tc>
          <w:tcPr>
            <w:tcW w:w="1985" w:type="dxa"/>
            <w:tcBorders>
              <w:top w:val="single" w:sz="4" w:space="0" w:color="auto"/>
              <w:left w:val="nil"/>
              <w:bottom w:val="single" w:sz="4" w:space="0" w:color="auto"/>
              <w:right w:val="single" w:sz="4" w:space="0" w:color="auto"/>
            </w:tcBorders>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本年新</w:t>
            </w:r>
            <w:r>
              <w:rPr>
                <w:rFonts w:ascii="宋体" w:eastAsia="宋体" w:hAnsi="宋体" w:cs="宋体"/>
                <w:color w:val="333333"/>
                <w:kern w:val="0"/>
                <w:sz w:val="24"/>
                <w:szCs w:val="24"/>
              </w:rPr>
              <w:t>公开数量</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对外公开总数量</w:t>
            </w:r>
          </w:p>
        </w:tc>
      </w:tr>
      <w:tr w:rsidR="001A251F">
        <w:trPr>
          <w:trHeight w:val="692"/>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规章</w:t>
            </w:r>
          </w:p>
        </w:tc>
        <w:tc>
          <w:tcPr>
            <w:tcW w:w="1984" w:type="dxa"/>
            <w:tcBorders>
              <w:top w:val="single" w:sz="4" w:space="0" w:color="auto"/>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single" w:sz="4" w:space="0" w:color="auto"/>
              <w:left w:val="nil"/>
              <w:bottom w:val="single" w:sz="4" w:space="0" w:color="auto"/>
              <w:right w:val="single" w:sz="4" w:space="0" w:color="auto"/>
            </w:tcBorders>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1A251F">
        <w:trPr>
          <w:trHeight w:val="572"/>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规范性文件</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5</w:t>
            </w:r>
          </w:p>
        </w:tc>
        <w:tc>
          <w:tcPr>
            <w:tcW w:w="1985" w:type="dxa"/>
            <w:tcBorders>
              <w:top w:val="nil"/>
              <w:left w:val="nil"/>
              <w:bottom w:val="single" w:sz="4" w:space="0" w:color="auto"/>
              <w:right w:val="single" w:sz="4" w:space="0" w:color="auto"/>
            </w:tcBorders>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5</w:t>
            </w:r>
          </w:p>
        </w:tc>
        <w:tc>
          <w:tcPr>
            <w:tcW w:w="1984" w:type="dxa"/>
            <w:tcBorders>
              <w:top w:val="nil"/>
              <w:left w:val="nil"/>
              <w:bottom w:val="single" w:sz="4" w:space="0" w:color="auto"/>
              <w:right w:val="single" w:sz="4" w:space="0" w:color="auto"/>
            </w:tcBorders>
            <w:noWrap/>
            <w:vAlign w:val="center"/>
          </w:tcPr>
          <w:p w:rsidR="001A251F" w:rsidRDefault="006D355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28</w:t>
            </w:r>
            <w:bookmarkStart w:id="0" w:name="_GoBack"/>
            <w:bookmarkEnd w:id="0"/>
          </w:p>
        </w:tc>
      </w:tr>
      <w:tr w:rsidR="001A251F">
        <w:trPr>
          <w:trHeight w:val="480"/>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第二十条第（五）项</w:t>
            </w:r>
          </w:p>
        </w:tc>
      </w:tr>
      <w:tr w:rsidR="001A251F">
        <w:trPr>
          <w:trHeight w:val="634"/>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本年增</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减</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处理决定数量</w:t>
            </w:r>
          </w:p>
        </w:tc>
      </w:tr>
      <w:tr w:rsidR="001A251F">
        <w:trPr>
          <w:trHeight w:val="670"/>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行政许可</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1A251F">
        <w:trPr>
          <w:trHeight w:val="694"/>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其他对外管理服务事项</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1</w:t>
            </w:r>
          </w:p>
        </w:tc>
        <w:tc>
          <w:tcPr>
            <w:tcW w:w="1985"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17</w:t>
            </w:r>
          </w:p>
        </w:tc>
      </w:tr>
      <w:tr w:rsidR="001A251F">
        <w:trPr>
          <w:trHeight w:val="40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第二十条第（六）项</w:t>
            </w:r>
          </w:p>
        </w:tc>
      </w:tr>
      <w:tr w:rsidR="001A251F">
        <w:trPr>
          <w:trHeight w:val="634"/>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本年增</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减</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处理决定数量</w:t>
            </w:r>
          </w:p>
        </w:tc>
      </w:tr>
      <w:tr w:rsidR="001A251F">
        <w:trPr>
          <w:trHeight w:val="564"/>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行政处罚</w:t>
            </w:r>
          </w:p>
        </w:tc>
        <w:tc>
          <w:tcPr>
            <w:tcW w:w="1984" w:type="dxa"/>
            <w:tcBorders>
              <w:top w:val="single" w:sz="4" w:space="0" w:color="auto"/>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single" w:sz="4" w:space="0" w:color="auto"/>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1A251F">
        <w:trPr>
          <w:trHeight w:val="572"/>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行政强制</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1A251F">
        <w:trPr>
          <w:trHeight w:val="474"/>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第二十条第（八）项</w:t>
            </w:r>
          </w:p>
        </w:tc>
      </w:tr>
      <w:tr w:rsidR="001A251F">
        <w:trPr>
          <w:trHeight w:val="270"/>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上一年项目数量</w:t>
            </w:r>
          </w:p>
        </w:tc>
        <w:tc>
          <w:tcPr>
            <w:tcW w:w="3969" w:type="dxa"/>
            <w:gridSpan w:val="2"/>
            <w:tcBorders>
              <w:top w:val="single" w:sz="4" w:space="0" w:color="auto"/>
              <w:left w:val="nil"/>
              <w:bottom w:val="single" w:sz="4" w:space="0" w:color="auto"/>
              <w:right w:val="single" w:sz="4" w:space="0" w:color="000000"/>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本年增</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减</w:t>
            </w:r>
          </w:p>
        </w:tc>
      </w:tr>
      <w:tr w:rsidR="001A251F">
        <w:trPr>
          <w:trHeight w:val="722"/>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行政事业性收费</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3969" w:type="dxa"/>
            <w:gridSpan w:val="2"/>
            <w:tcBorders>
              <w:top w:val="single" w:sz="4" w:space="0" w:color="auto"/>
              <w:left w:val="nil"/>
              <w:bottom w:val="single" w:sz="4" w:space="0" w:color="auto"/>
              <w:right w:val="single" w:sz="4" w:space="0" w:color="000000"/>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0</w:t>
            </w:r>
          </w:p>
        </w:tc>
      </w:tr>
      <w:tr w:rsidR="001A251F">
        <w:trPr>
          <w:trHeight w:val="47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第二十条第（九）项</w:t>
            </w:r>
          </w:p>
        </w:tc>
      </w:tr>
      <w:tr w:rsidR="001A251F">
        <w:trPr>
          <w:trHeight w:val="585"/>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采购项目数量</w:t>
            </w:r>
          </w:p>
        </w:tc>
        <w:tc>
          <w:tcPr>
            <w:tcW w:w="3969" w:type="dxa"/>
            <w:gridSpan w:val="2"/>
            <w:tcBorders>
              <w:top w:val="single" w:sz="4" w:space="0" w:color="auto"/>
              <w:left w:val="nil"/>
              <w:bottom w:val="single" w:sz="4" w:space="0" w:color="auto"/>
              <w:right w:val="single" w:sz="4" w:space="0" w:color="000000"/>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proofErr w:type="gramStart"/>
            <w:r>
              <w:rPr>
                <w:rFonts w:ascii="宋体" w:eastAsia="宋体" w:hAnsi="宋体" w:cs="宋体" w:hint="eastAsia"/>
                <w:color w:val="000000"/>
                <w:kern w:val="0"/>
                <w:sz w:val="24"/>
                <w:szCs w:val="24"/>
              </w:rPr>
              <w:t>采购总</w:t>
            </w:r>
            <w:proofErr w:type="gramEnd"/>
            <w:r>
              <w:rPr>
                <w:rFonts w:ascii="宋体" w:eastAsia="宋体" w:hAnsi="宋体" w:cs="宋体" w:hint="eastAsia"/>
                <w:color w:val="000000"/>
                <w:kern w:val="0"/>
                <w:sz w:val="24"/>
                <w:szCs w:val="24"/>
              </w:rPr>
              <w:t>金额</w:t>
            </w:r>
          </w:p>
        </w:tc>
      </w:tr>
      <w:tr w:rsidR="001A251F">
        <w:trPr>
          <w:trHeight w:val="748"/>
          <w:jc w:val="center"/>
        </w:trPr>
        <w:tc>
          <w:tcPr>
            <w:tcW w:w="2752" w:type="dxa"/>
            <w:tcBorders>
              <w:top w:val="nil"/>
              <w:left w:val="single" w:sz="4" w:space="0" w:color="auto"/>
              <w:bottom w:val="single" w:sz="4" w:space="0" w:color="auto"/>
              <w:right w:val="single" w:sz="4" w:space="0" w:color="auto"/>
            </w:tcBorders>
            <w:noWrap/>
            <w:vAlign w:val="center"/>
          </w:tcPr>
          <w:p w:rsidR="001A251F" w:rsidRDefault="00DC4751">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政府集中采购</w:t>
            </w:r>
          </w:p>
        </w:tc>
        <w:tc>
          <w:tcPr>
            <w:tcW w:w="1984" w:type="dxa"/>
            <w:tcBorders>
              <w:top w:val="nil"/>
              <w:left w:val="nil"/>
              <w:bottom w:val="single" w:sz="4" w:space="0" w:color="auto"/>
              <w:right w:val="single" w:sz="4" w:space="0" w:color="auto"/>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3969" w:type="dxa"/>
            <w:gridSpan w:val="2"/>
            <w:tcBorders>
              <w:top w:val="single" w:sz="4" w:space="0" w:color="auto"/>
              <w:left w:val="nil"/>
              <w:bottom w:val="single" w:sz="4" w:space="0" w:color="auto"/>
              <w:right w:val="single" w:sz="4" w:space="0" w:color="000000"/>
            </w:tcBorders>
            <w:noWrap/>
            <w:vAlign w:val="center"/>
          </w:tcPr>
          <w:p w:rsidR="001A251F" w:rsidRDefault="00DC4751">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r>
    </w:tbl>
    <w:p w:rsidR="001A251F" w:rsidRDefault="001A251F">
      <w:pPr>
        <w:spacing w:line="560" w:lineRule="exact"/>
        <w:ind w:firstLineChars="200" w:firstLine="640"/>
        <w:rPr>
          <w:rFonts w:ascii="仿宋_GB2312" w:eastAsia="仿宋_GB2312"/>
          <w:sz w:val="32"/>
          <w:szCs w:val="32"/>
        </w:rPr>
      </w:pPr>
    </w:p>
    <w:p w:rsidR="001A251F" w:rsidRDefault="001A251F">
      <w:pPr>
        <w:spacing w:line="560" w:lineRule="exact"/>
        <w:ind w:firstLineChars="200" w:firstLine="640"/>
        <w:rPr>
          <w:rFonts w:ascii="黑体" w:eastAsia="黑体" w:hAnsi="黑体"/>
          <w:sz w:val="32"/>
          <w:szCs w:val="32"/>
        </w:rPr>
        <w:sectPr w:rsidR="001A251F">
          <w:footerReference w:type="default" r:id="rId13"/>
          <w:pgSz w:w="11906" w:h="16838"/>
          <w:pgMar w:top="2098" w:right="1474" w:bottom="1985" w:left="1588" w:header="851" w:footer="992" w:gutter="0"/>
          <w:cols w:space="425"/>
          <w:docGrid w:type="lines" w:linePitch="312"/>
        </w:sectPr>
      </w:pPr>
    </w:p>
    <w:p w:rsidR="001A251F" w:rsidRDefault="00DC4751">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三、收到和处理政府信息公开申请情况</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93"/>
        <w:gridCol w:w="2417"/>
        <w:gridCol w:w="985"/>
        <w:gridCol w:w="1007"/>
        <w:gridCol w:w="765"/>
        <w:gridCol w:w="825"/>
        <w:gridCol w:w="990"/>
        <w:gridCol w:w="720"/>
        <w:gridCol w:w="702"/>
      </w:tblGrid>
      <w:tr w:rsidR="001A251F">
        <w:trPr>
          <w:jc w:val="center"/>
        </w:trPr>
        <w:tc>
          <w:tcPr>
            <w:tcW w:w="3970" w:type="dxa"/>
            <w:gridSpan w:val="3"/>
            <w:vMerge w:val="restart"/>
            <w:tcBorders>
              <w:top w:val="single" w:sz="4" w:space="0" w:color="auto"/>
              <w:left w:val="single" w:sz="4" w:space="0" w:color="auto"/>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（本列数据的勾</w:t>
            </w:r>
            <w:proofErr w:type="gramStart"/>
            <w:r>
              <w:rPr>
                <w:rFonts w:ascii="Calibri" w:eastAsia="宋体" w:hAnsi="Calibri" w:cs="Times New Roman" w:hint="eastAsia"/>
                <w:color w:val="333333"/>
                <w:szCs w:val="21"/>
              </w:rPr>
              <w:t>稽</w:t>
            </w:r>
            <w:proofErr w:type="gramEnd"/>
            <w:r>
              <w:rPr>
                <w:rFonts w:ascii="Calibri" w:eastAsia="宋体" w:hAnsi="Calibri" w:cs="Times New Roman" w:hint="eastAsia"/>
                <w:color w:val="333333"/>
                <w:szCs w:val="21"/>
              </w:rPr>
              <w:t>关系为：第一项加第二项之和，等于第三项加第四项之和）</w:t>
            </w:r>
          </w:p>
        </w:tc>
        <w:tc>
          <w:tcPr>
            <w:tcW w:w="5994" w:type="dxa"/>
            <w:gridSpan w:val="7"/>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申请人情况</w:t>
            </w:r>
          </w:p>
        </w:tc>
      </w:tr>
      <w:tr w:rsidR="001A251F">
        <w:trPr>
          <w:jc w:val="center"/>
        </w:trPr>
        <w:tc>
          <w:tcPr>
            <w:tcW w:w="3970" w:type="dxa"/>
            <w:gridSpan w:val="3"/>
            <w:vMerge/>
            <w:tcBorders>
              <w:top w:val="single" w:sz="4" w:space="0" w:color="auto"/>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85" w:type="dxa"/>
            <w:vMerge w:val="restart"/>
            <w:tcBorders>
              <w:top w:val="nil"/>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自然人</w:t>
            </w:r>
          </w:p>
        </w:tc>
        <w:tc>
          <w:tcPr>
            <w:tcW w:w="4307" w:type="dxa"/>
            <w:gridSpan w:val="5"/>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法人或其他组织</w:t>
            </w:r>
          </w:p>
        </w:tc>
        <w:tc>
          <w:tcPr>
            <w:tcW w:w="702" w:type="dxa"/>
            <w:vMerge w:val="restart"/>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总计</w:t>
            </w:r>
          </w:p>
        </w:tc>
      </w:tr>
      <w:tr w:rsidR="001A251F">
        <w:trPr>
          <w:jc w:val="center"/>
        </w:trPr>
        <w:tc>
          <w:tcPr>
            <w:tcW w:w="3970" w:type="dxa"/>
            <w:gridSpan w:val="3"/>
            <w:vMerge/>
            <w:tcBorders>
              <w:top w:val="single" w:sz="4" w:space="0" w:color="auto"/>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85"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Calibri" w:eastAsia="宋体" w:hAnsi="Calibri" w:cs="Times New Roman"/>
                <w:color w:val="333333"/>
                <w:szCs w:val="21"/>
              </w:rPr>
            </w:pPr>
            <w:r>
              <w:rPr>
                <w:rFonts w:ascii="Calibri" w:eastAsia="宋体" w:hAnsi="Calibri" w:cs="Times New Roman" w:hint="eastAsia"/>
                <w:color w:val="333333"/>
                <w:szCs w:val="21"/>
              </w:rPr>
              <w:t>商业</w:t>
            </w:r>
          </w:p>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企业</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科研机构</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社会公益组织</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法律服务机构</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其他</w:t>
            </w:r>
          </w:p>
        </w:tc>
        <w:tc>
          <w:tcPr>
            <w:tcW w:w="702" w:type="dxa"/>
            <w:vMerge/>
            <w:tcBorders>
              <w:top w:val="single" w:sz="4" w:space="0" w:color="auto"/>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r>
      <w:tr w:rsidR="001A251F">
        <w:trPr>
          <w:trHeight w:val="473"/>
          <w:jc w:val="center"/>
        </w:trPr>
        <w:tc>
          <w:tcPr>
            <w:tcW w:w="3970" w:type="dxa"/>
            <w:gridSpan w:val="3"/>
            <w:tcBorders>
              <w:top w:val="single" w:sz="4" w:space="0" w:color="auto"/>
              <w:left w:val="single" w:sz="4" w:space="0" w:color="auto"/>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Calibri" w:eastAsia="宋体" w:hAnsi="Calibri" w:cs="Times New Roman" w:hint="eastAsia"/>
                <w:color w:val="333333"/>
                <w:szCs w:val="21"/>
              </w:rPr>
              <w:t>一、本年新收政府信息公开申请数量</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15</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17</w:t>
            </w:r>
          </w:p>
        </w:tc>
      </w:tr>
      <w:tr w:rsidR="001A251F">
        <w:trPr>
          <w:trHeight w:val="423"/>
          <w:jc w:val="center"/>
        </w:trPr>
        <w:tc>
          <w:tcPr>
            <w:tcW w:w="3970" w:type="dxa"/>
            <w:gridSpan w:val="3"/>
            <w:tcBorders>
              <w:top w:val="single" w:sz="4" w:space="0" w:color="auto"/>
              <w:left w:val="single" w:sz="4" w:space="0" w:color="auto"/>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Calibri" w:eastAsia="宋体" w:hAnsi="Calibri" w:cs="Times New Roman" w:hint="eastAsia"/>
                <w:color w:val="333333"/>
                <w:szCs w:val="21"/>
              </w:rPr>
              <w:t>二、上年结转政府信息公开申请数量</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trHeight w:val="401"/>
          <w:jc w:val="center"/>
        </w:trPr>
        <w:tc>
          <w:tcPr>
            <w:tcW w:w="560" w:type="dxa"/>
            <w:vMerge w:val="restart"/>
            <w:tcBorders>
              <w:top w:val="nil"/>
              <w:left w:val="single" w:sz="4" w:space="0" w:color="auto"/>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三、本年度办理结果</w:t>
            </w:r>
          </w:p>
        </w:tc>
        <w:tc>
          <w:tcPr>
            <w:tcW w:w="3410" w:type="dxa"/>
            <w:gridSpan w:val="2"/>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（一）予以公开</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3410" w:type="dxa"/>
            <w:gridSpan w:val="2"/>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（二）部分公开（区分处理的，只计这一情形，不计其他情形）</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r>
      <w:tr w:rsidR="001A251F">
        <w:trPr>
          <w:trHeight w:val="345"/>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val="restart"/>
            <w:tcBorders>
              <w:top w:val="nil"/>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（三）不予公开</w:t>
            </w: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1.</w:t>
            </w:r>
            <w:r>
              <w:rPr>
                <w:rFonts w:ascii="楷体" w:eastAsia="楷体" w:hAnsi="楷体" w:cs="宋体" w:hint="eastAsia"/>
                <w:color w:val="333333"/>
                <w:szCs w:val="21"/>
              </w:rPr>
              <w:t>属于国家秘密</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2.</w:t>
            </w:r>
            <w:r>
              <w:rPr>
                <w:rFonts w:ascii="楷体" w:eastAsia="楷体" w:hAnsi="楷体" w:cs="宋体" w:hint="eastAsia"/>
                <w:color w:val="333333"/>
                <w:szCs w:val="21"/>
              </w:rPr>
              <w:t>其他法律行政法规禁止公开</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3.</w:t>
            </w:r>
            <w:r>
              <w:rPr>
                <w:rFonts w:ascii="楷体" w:eastAsia="楷体" w:hAnsi="楷体" w:cs="宋体" w:hint="eastAsia"/>
                <w:color w:val="333333"/>
                <w:szCs w:val="21"/>
              </w:rPr>
              <w:t>危及“三安全</w:t>
            </w:r>
            <w:proofErr w:type="gramStart"/>
            <w:r>
              <w:rPr>
                <w:rFonts w:ascii="楷体" w:eastAsia="楷体" w:hAnsi="楷体" w:cs="宋体" w:hint="eastAsia"/>
                <w:color w:val="333333"/>
                <w:szCs w:val="21"/>
              </w:rPr>
              <w:t>一</w:t>
            </w:r>
            <w:proofErr w:type="gramEnd"/>
            <w:r>
              <w:rPr>
                <w:rFonts w:ascii="楷体" w:eastAsia="楷体" w:hAnsi="楷体" w:cs="宋体" w:hint="eastAsia"/>
                <w:color w:val="333333"/>
                <w:szCs w:val="21"/>
              </w:rPr>
              <w:t>稳定”</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4.</w:t>
            </w:r>
            <w:r>
              <w:rPr>
                <w:rFonts w:ascii="楷体" w:eastAsia="楷体" w:hAnsi="楷体" w:cs="宋体" w:hint="eastAsia"/>
                <w:color w:val="333333"/>
                <w:szCs w:val="21"/>
              </w:rPr>
              <w:t>保护第三方合法权益</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5.</w:t>
            </w:r>
            <w:r>
              <w:rPr>
                <w:rFonts w:ascii="楷体" w:eastAsia="楷体" w:hAnsi="楷体" w:cs="宋体" w:hint="eastAsia"/>
                <w:color w:val="333333"/>
                <w:szCs w:val="21"/>
              </w:rPr>
              <w:t>属于三类内部事务信息</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6.</w:t>
            </w:r>
            <w:r>
              <w:rPr>
                <w:rFonts w:ascii="楷体" w:eastAsia="楷体" w:hAnsi="楷体" w:cs="宋体" w:hint="eastAsia"/>
                <w:color w:val="333333"/>
                <w:szCs w:val="21"/>
              </w:rPr>
              <w:t>属于四类过程性信息</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7.</w:t>
            </w:r>
            <w:r>
              <w:rPr>
                <w:rFonts w:ascii="楷体" w:eastAsia="楷体" w:hAnsi="楷体" w:cs="宋体" w:hint="eastAsia"/>
                <w:color w:val="333333"/>
                <w:szCs w:val="21"/>
              </w:rPr>
              <w:t>属于行政执法案卷</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trHeight w:val="344"/>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8.</w:t>
            </w:r>
            <w:r>
              <w:rPr>
                <w:rFonts w:ascii="楷体" w:eastAsia="楷体" w:hAnsi="楷体" w:cs="宋体" w:hint="eastAsia"/>
                <w:color w:val="333333"/>
                <w:szCs w:val="21"/>
              </w:rPr>
              <w:t>属于行政查询事项</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val="restart"/>
            <w:tcBorders>
              <w:top w:val="nil"/>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（四）无法提供</w:t>
            </w: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1.</w:t>
            </w:r>
            <w:r>
              <w:rPr>
                <w:rFonts w:ascii="楷体" w:eastAsia="楷体" w:hAnsi="楷体" w:cs="宋体" w:hint="eastAsia"/>
                <w:color w:val="333333"/>
                <w:szCs w:val="21"/>
              </w:rPr>
              <w:t>本机关不掌握相关政府信息</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15</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16</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2.</w:t>
            </w:r>
            <w:r>
              <w:rPr>
                <w:rFonts w:ascii="楷体" w:eastAsia="楷体" w:hAnsi="楷体" w:cs="宋体" w:hint="eastAsia"/>
                <w:color w:val="333333"/>
                <w:szCs w:val="21"/>
              </w:rPr>
              <w:t>没有现成信息需要另行制作</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3.</w:t>
            </w:r>
            <w:r>
              <w:rPr>
                <w:rFonts w:ascii="楷体" w:eastAsia="楷体" w:hAnsi="楷体" w:cs="宋体" w:hint="eastAsia"/>
                <w:color w:val="333333"/>
                <w:szCs w:val="21"/>
              </w:rPr>
              <w:t>补正后申请内容仍不明确</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val="restart"/>
            <w:tcBorders>
              <w:top w:val="nil"/>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（五）</w:t>
            </w:r>
            <w:proofErr w:type="gramStart"/>
            <w:r>
              <w:rPr>
                <w:rFonts w:ascii="楷体" w:eastAsia="楷体" w:hAnsi="楷体" w:cs="宋体" w:hint="eastAsia"/>
                <w:color w:val="333333"/>
                <w:szCs w:val="21"/>
              </w:rPr>
              <w:t>不予处理</w:t>
            </w:r>
            <w:proofErr w:type="gramEnd"/>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1.</w:t>
            </w:r>
            <w:r>
              <w:rPr>
                <w:rFonts w:ascii="楷体" w:eastAsia="楷体" w:hAnsi="楷体" w:cs="宋体" w:hint="eastAsia"/>
                <w:color w:val="333333"/>
                <w:szCs w:val="21"/>
              </w:rPr>
              <w:t>信访举报投诉类申请</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trHeight w:val="456"/>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2.</w:t>
            </w:r>
            <w:r>
              <w:rPr>
                <w:rFonts w:ascii="楷体" w:eastAsia="楷体" w:hAnsi="楷体" w:cs="宋体" w:hint="eastAsia"/>
                <w:color w:val="333333"/>
                <w:szCs w:val="21"/>
              </w:rPr>
              <w:t>重复申请</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3.</w:t>
            </w:r>
            <w:r>
              <w:rPr>
                <w:rFonts w:ascii="楷体" w:eastAsia="楷体" w:hAnsi="楷体" w:cs="宋体" w:hint="eastAsia"/>
                <w:color w:val="333333"/>
                <w:szCs w:val="21"/>
              </w:rPr>
              <w:t>要求提供公开出版物</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4.</w:t>
            </w:r>
            <w:r>
              <w:rPr>
                <w:rFonts w:ascii="楷体" w:eastAsia="楷体" w:hAnsi="楷体" w:cs="宋体" w:hint="eastAsia"/>
                <w:color w:val="333333"/>
                <w:szCs w:val="21"/>
              </w:rPr>
              <w:t>无正当理由大量反复申请</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5.</w:t>
            </w:r>
            <w:r>
              <w:rPr>
                <w:rFonts w:ascii="楷体" w:eastAsia="楷体" w:hAnsi="楷体" w:cs="宋体" w:hint="eastAsia"/>
                <w:color w:val="333333"/>
                <w:szCs w:val="21"/>
              </w:rPr>
              <w:t>要求行政机关确认或重新出具已获取信息</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3410" w:type="dxa"/>
            <w:gridSpan w:val="2"/>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（六）其他处理</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1A251F">
        <w:trPr>
          <w:jc w:val="center"/>
        </w:trPr>
        <w:tc>
          <w:tcPr>
            <w:tcW w:w="560"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Cs w:val="21"/>
              </w:rPr>
            </w:pPr>
          </w:p>
        </w:tc>
        <w:tc>
          <w:tcPr>
            <w:tcW w:w="3410" w:type="dxa"/>
            <w:gridSpan w:val="2"/>
            <w:tcBorders>
              <w:top w:val="single" w:sz="4" w:space="0" w:color="auto"/>
              <w:left w:val="nil"/>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楷体" w:eastAsia="楷体" w:hAnsi="楷体" w:cs="宋体" w:hint="eastAsia"/>
                <w:color w:val="333333"/>
                <w:szCs w:val="21"/>
              </w:rPr>
              <w:t>（七）总计</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15</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17</w:t>
            </w:r>
          </w:p>
        </w:tc>
      </w:tr>
      <w:tr w:rsidR="001A251F">
        <w:trPr>
          <w:jc w:val="center"/>
        </w:trPr>
        <w:tc>
          <w:tcPr>
            <w:tcW w:w="3970" w:type="dxa"/>
            <w:gridSpan w:val="3"/>
            <w:tcBorders>
              <w:top w:val="single" w:sz="4" w:space="0" w:color="auto"/>
              <w:left w:val="single" w:sz="4" w:space="0" w:color="auto"/>
              <w:bottom w:val="single" w:sz="4" w:space="0" w:color="auto"/>
              <w:right w:val="single" w:sz="4" w:space="0" w:color="auto"/>
            </w:tcBorders>
            <w:vAlign w:val="center"/>
          </w:tcPr>
          <w:p w:rsidR="001A251F" w:rsidRDefault="00DC4751">
            <w:pPr>
              <w:widowControl/>
              <w:jc w:val="left"/>
              <w:rPr>
                <w:rFonts w:ascii="宋体" w:eastAsia="宋体" w:hAnsi="宋体" w:cs="宋体"/>
                <w:color w:val="333333"/>
                <w:kern w:val="0"/>
                <w:szCs w:val="21"/>
              </w:rPr>
            </w:pPr>
            <w:r>
              <w:rPr>
                <w:rFonts w:ascii="Calibri" w:eastAsia="宋体" w:hAnsi="Calibri" w:cs="Times New Roman" w:hint="eastAsia"/>
                <w:color w:val="333333"/>
                <w:szCs w:val="21"/>
              </w:rPr>
              <w:t>四、结转下年度继续办理</w:t>
            </w:r>
          </w:p>
        </w:tc>
        <w:tc>
          <w:tcPr>
            <w:tcW w:w="98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100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bl>
    <w:p w:rsidR="001A251F" w:rsidRDefault="001A251F">
      <w:pPr>
        <w:spacing w:line="560" w:lineRule="exact"/>
        <w:ind w:firstLineChars="200" w:firstLine="640"/>
        <w:rPr>
          <w:rFonts w:ascii="仿宋_GB2312" w:eastAsia="仿宋_GB2312"/>
          <w:sz w:val="32"/>
          <w:szCs w:val="32"/>
        </w:rPr>
        <w:sectPr w:rsidR="001A251F">
          <w:pgSz w:w="11906" w:h="16838"/>
          <w:pgMar w:top="2098" w:right="1474" w:bottom="1985" w:left="1588" w:header="851" w:footer="992" w:gutter="0"/>
          <w:cols w:space="425"/>
          <w:docGrid w:type="linesAndChars" w:linePitch="312"/>
        </w:sectPr>
      </w:pPr>
    </w:p>
    <w:p w:rsidR="001A251F" w:rsidRDefault="00DC4751">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四、政府信息公开行政复议、行政诉讼情况</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708"/>
        <w:gridCol w:w="707"/>
        <w:gridCol w:w="707"/>
        <w:gridCol w:w="566"/>
        <w:gridCol w:w="707"/>
        <w:gridCol w:w="706"/>
        <w:gridCol w:w="755"/>
        <w:gridCol w:w="659"/>
        <w:gridCol w:w="548"/>
        <w:gridCol w:w="725"/>
        <w:gridCol w:w="699"/>
        <w:gridCol w:w="714"/>
        <w:gridCol w:w="707"/>
        <w:gridCol w:w="416"/>
      </w:tblGrid>
      <w:tr w:rsidR="001A251F">
        <w:trPr>
          <w:jc w:val="center"/>
        </w:trPr>
        <w:tc>
          <w:tcPr>
            <w:tcW w:w="3427" w:type="dxa"/>
            <w:gridSpan w:val="5"/>
            <w:tcBorders>
              <w:top w:val="single" w:sz="4" w:space="0" w:color="auto"/>
              <w:left w:val="single" w:sz="4" w:space="0" w:color="auto"/>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行政复议</w:t>
            </w:r>
          </w:p>
        </w:tc>
        <w:tc>
          <w:tcPr>
            <w:tcW w:w="6629" w:type="dxa"/>
            <w:gridSpan w:val="10"/>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行政诉讼</w:t>
            </w:r>
          </w:p>
        </w:tc>
      </w:tr>
      <w:tr w:rsidR="001A251F">
        <w:trPr>
          <w:trHeight w:val="747"/>
          <w:jc w:val="center"/>
        </w:trPr>
        <w:tc>
          <w:tcPr>
            <w:tcW w:w="733" w:type="dxa"/>
            <w:vMerge w:val="restart"/>
            <w:tcBorders>
              <w:top w:val="nil"/>
              <w:left w:val="single" w:sz="4" w:space="0" w:color="auto"/>
              <w:bottom w:val="single" w:sz="4" w:space="0" w:color="auto"/>
              <w:right w:val="single" w:sz="4" w:space="0" w:color="auto"/>
            </w:tcBorders>
            <w:vAlign w:val="center"/>
          </w:tcPr>
          <w:p w:rsidR="001A251F" w:rsidRDefault="00DC4751">
            <w:pPr>
              <w:widowControl/>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结果</w:t>
            </w:r>
          </w:p>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维持</w:t>
            </w:r>
          </w:p>
        </w:tc>
        <w:tc>
          <w:tcPr>
            <w:tcW w:w="709" w:type="dxa"/>
            <w:vMerge w:val="restart"/>
            <w:tcBorders>
              <w:top w:val="nil"/>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709" w:type="dxa"/>
            <w:vMerge w:val="restart"/>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其他结果</w:t>
            </w:r>
          </w:p>
        </w:tc>
        <w:tc>
          <w:tcPr>
            <w:tcW w:w="709" w:type="dxa"/>
            <w:vMerge w:val="restart"/>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567" w:type="dxa"/>
            <w:vMerge w:val="restart"/>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总计</w:t>
            </w:r>
          </w:p>
        </w:tc>
        <w:tc>
          <w:tcPr>
            <w:tcW w:w="3384" w:type="dxa"/>
            <w:gridSpan w:val="5"/>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未经复议直接起诉</w:t>
            </w:r>
          </w:p>
        </w:tc>
        <w:tc>
          <w:tcPr>
            <w:tcW w:w="3245" w:type="dxa"/>
            <w:gridSpan w:val="5"/>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复议后起诉</w:t>
            </w:r>
          </w:p>
        </w:tc>
      </w:tr>
      <w:tr w:rsidR="001A251F">
        <w:trPr>
          <w:trHeight w:val="1551"/>
          <w:jc w:val="center"/>
        </w:trPr>
        <w:tc>
          <w:tcPr>
            <w:tcW w:w="733" w:type="dxa"/>
            <w:vMerge/>
            <w:tcBorders>
              <w:top w:val="nil"/>
              <w:left w:val="single" w:sz="4" w:space="0" w:color="auto"/>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 w:val="24"/>
                <w:szCs w:val="24"/>
              </w:rPr>
            </w:pPr>
          </w:p>
        </w:tc>
        <w:tc>
          <w:tcPr>
            <w:tcW w:w="709" w:type="dxa"/>
            <w:vMerge/>
            <w:tcBorders>
              <w:top w:val="nil"/>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 w:val="24"/>
                <w:szCs w:val="24"/>
              </w:rPr>
            </w:pPr>
          </w:p>
        </w:tc>
        <w:tc>
          <w:tcPr>
            <w:tcW w:w="709" w:type="dxa"/>
            <w:vMerge/>
            <w:tcBorders>
              <w:top w:val="single" w:sz="4" w:space="0" w:color="auto"/>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 w:val="24"/>
                <w:szCs w:val="24"/>
              </w:rPr>
            </w:pPr>
          </w:p>
        </w:tc>
        <w:tc>
          <w:tcPr>
            <w:tcW w:w="709" w:type="dxa"/>
            <w:vMerge/>
            <w:tcBorders>
              <w:top w:val="single" w:sz="4" w:space="0" w:color="auto"/>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 w:val="24"/>
                <w:szCs w:val="24"/>
              </w:rPr>
            </w:pPr>
          </w:p>
        </w:tc>
        <w:tc>
          <w:tcPr>
            <w:tcW w:w="567" w:type="dxa"/>
            <w:vMerge/>
            <w:tcBorders>
              <w:top w:val="single" w:sz="4" w:space="0" w:color="auto"/>
              <w:left w:val="nil"/>
              <w:bottom w:val="single" w:sz="4" w:space="0" w:color="auto"/>
              <w:right w:val="single" w:sz="4" w:space="0" w:color="auto"/>
            </w:tcBorders>
            <w:vAlign w:val="center"/>
          </w:tcPr>
          <w:p w:rsidR="001A251F" w:rsidRDefault="001A251F">
            <w:pPr>
              <w:widowControl/>
              <w:jc w:val="left"/>
              <w:rPr>
                <w:rFonts w:ascii="宋体" w:eastAsia="宋体" w:hAnsi="宋体" w:cs="宋体"/>
                <w:color w:val="333333"/>
                <w:kern w:val="0"/>
                <w:sz w:val="24"/>
                <w:szCs w:val="24"/>
              </w:rPr>
            </w:pPr>
          </w:p>
        </w:tc>
        <w:tc>
          <w:tcPr>
            <w:tcW w:w="709"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708"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75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其他结果</w:t>
            </w:r>
          </w:p>
        </w:tc>
        <w:tc>
          <w:tcPr>
            <w:tcW w:w="661"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549"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总计</w:t>
            </w:r>
          </w:p>
        </w:tc>
        <w:tc>
          <w:tcPr>
            <w:tcW w:w="727"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701"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716"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其他结果</w:t>
            </w:r>
          </w:p>
        </w:tc>
        <w:tc>
          <w:tcPr>
            <w:tcW w:w="709"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392" w:type="dxa"/>
            <w:tcBorders>
              <w:top w:val="single" w:sz="4" w:space="0" w:color="auto"/>
              <w:left w:val="nil"/>
              <w:bottom w:val="single" w:sz="4" w:space="0" w:color="auto"/>
              <w:right w:val="single" w:sz="4" w:space="0" w:color="auto"/>
            </w:tcBorders>
            <w:vAlign w:val="center"/>
          </w:tcPr>
          <w:p w:rsidR="001A251F" w:rsidRDefault="00DC4751">
            <w:pPr>
              <w:widowControl/>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总计</w:t>
            </w:r>
          </w:p>
        </w:tc>
      </w:tr>
      <w:tr w:rsidR="001A251F">
        <w:trPr>
          <w:trHeight w:val="1402"/>
          <w:jc w:val="center"/>
        </w:trPr>
        <w:tc>
          <w:tcPr>
            <w:tcW w:w="733" w:type="dxa"/>
            <w:tcBorders>
              <w:top w:val="single" w:sz="4" w:space="0" w:color="auto"/>
              <w:left w:val="single" w:sz="4" w:space="0" w:color="auto"/>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709"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09"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09"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567"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709"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08"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57"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661"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549"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27"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701"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716"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709" w:type="dxa"/>
            <w:tcBorders>
              <w:top w:val="single" w:sz="4" w:space="0" w:color="auto"/>
              <w:left w:val="nil"/>
              <w:bottom w:val="single" w:sz="4" w:space="0" w:color="auto"/>
              <w:right w:val="single" w:sz="4" w:space="0" w:color="auto"/>
            </w:tcBorders>
            <w:vAlign w:val="center"/>
          </w:tcPr>
          <w:p w:rsidR="001A251F" w:rsidRDefault="00DC4751">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392" w:type="dxa"/>
            <w:tcBorders>
              <w:top w:val="single" w:sz="4" w:space="0" w:color="auto"/>
              <w:left w:val="nil"/>
              <w:bottom w:val="single" w:sz="4" w:space="0" w:color="auto"/>
              <w:right w:val="single" w:sz="4" w:space="0" w:color="auto"/>
            </w:tcBorders>
            <w:vAlign w:val="center"/>
          </w:tcPr>
          <w:p w:rsidR="001A251F" w:rsidRDefault="00DC4751">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r>
    </w:tbl>
    <w:p w:rsidR="001A251F" w:rsidRDefault="001A251F">
      <w:pPr>
        <w:ind w:firstLineChars="200" w:firstLine="420"/>
      </w:pPr>
    </w:p>
    <w:p w:rsidR="001A251F" w:rsidRDefault="00DC4751">
      <w:pPr>
        <w:spacing w:line="560" w:lineRule="exact"/>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1A251F" w:rsidRDefault="00DC4751">
      <w:pPr>
        <w:spacing w:line="560" w:lineRule="exact"/>
        <w:ind w:firstLineChars="200" w:firstLine="640"/>
        <w:rPr>
          <w:rFonts w:ascii="楷体_GB2312" w:eastAsia="楷体_GB2312"/>
          <w:sz w:val="32"/>
          <w:szCs w:val="32"/>
        </w:rPr>
      </w:pPr>
      <w:r>
        <w:rPr>
          <w:rFonts w:ascii="楷体_GB2312" w:eastAsia="楷体_GB2312" w:hint="eastAsia"/>
          <w:sz w:val="32"/>
          <w:szCs w:val="32"/>
        </w:rPr>
        <w:t>（一）主要问题</w:t>
      </w: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一是公开的深度有待拓展，涉及政府常务会议、专题会议的议定事项要加强解读。二是公开平台有待优化，政府网站上部分信息公开位置较为分散，不方便群众查找。</w:t>
      </w:r>
    </w:p>
    <w:p w:rsidR="001A251F" w:rsidRDefault="00DC4751">
      <w:pPr>
        <w:spacing w:line="560" w:lineRule="exact"/>
        <w:ind w:firstLineChars="200" w:firstLine="640"/>
        <w:rPr>
          <w:rFonts w:ascii="楷体_GB2312" w:eastAsia="楷体_GB2312"/>
          <w:sz w:val="32"/>
          <w:szCs w:val="32"/>
        </w:rPr>
      </w:pPr>
      <w:r>
        <w:rPr>
          <w:rFonts w:ascii="楷体_GB2312" w:eastAsia="楷体_GB2312" w:hint="eastAsia"/>
          <w:sz w:val="32"/>
          <w:szCs w:val="32"/>
        </w:rPr>
        <w:t>（二）改进情况</w:t>
      </w:r>
    </w:p>
    <w:p w:rsidR="001A251F" w:rsidRDefault="00DC4751">
      <w:pPr>
        <w:spacing w:line="560" w:lineRule="exact"/>
        <w:ind w:firstLineChars="200" w:firstLine="640"/>
        <w:rPr>
          <w:rFonts w:ascii="仿宋_GB2312" w:eastAsia="仿宋_GB2312"/>
          <w:sz w:val="32"/>
          <w:szCs w:val="32"/>
        </w:rPr>
      </w:pPr>
      <w:r>
        <w:rPr>
          <w:rFonts w:ascii="仿宋_GB2312" w:eastAsia="仿宋_GB2312" w:hint="eastAsia"/>
          <w:sz w:val="32"/>
          <w:szCs w:val="32"/>
        </w:rPr>
        <w:t>一是加大政策解读力度，政府常务会议、专题会议议定的事项，需要社会广泛知晓的，要加强解读力度，通过图文图标、视频</w:t>
      </w:r>
      <w:proofErr w:type="gramStart"/>
      <w:r>
        <w:rPr>
          <w:rFonts w:ascii="仿宋_GB2312" w:eastAsia="仿宋_GB2312" w:hint="eastAsia"/>
          <w:sz w:val="32"/>
          <w:szCs w:val="32"/>
        </w:rPr>
        <w:t>动漫等</w:t>
      </w:r>
      <w:proofErr w:type="gramEnd"/>
      <w:r>
        <w:rPr>
          <w:rFonts w:ascii="仿宋_GB2312" w:eastAsia="仿宋_GB2312" w:hint="eastAsia"/>
          <w:sz w:val="32"/>
          <w:szCs w:val="32"/>
        </w:rPr>
        <w:t>形式展现，让群众更</w:t>
      </w:r>
      <w:proofErr w:type="gramStart"/>
      <w:r>
        <w:rPr>
          <w:rFonts w:ascii="仿宋_GB2312" w:eastAsia="仿宋_GB2312" w:hint="eastAsia"/>
          <w:sz w:val="32"/>
          <w:szCs w:val="32"/>
        </w:rPr>
        <w:t>够深入</w:t>
      </w:r>
      <w:proofErr w:type="gramEnd"/>
      <w:r>
        <w:rPr>
          <w:rFonts w:ascii="仿宋_GB2312" w:eastAsia="仿宋_GB2312" w:hint="eastAsia"/>
          <w:sz w:val="32"/>
          <w:szCs w:val="32"/>
        </w:rPr>
        <w:t>了解各项政策措施。二是加强政府网站功能建设，特别是优化政务公开</w:t>
      </w:r>
      <w:proofErr w:type="gramStart"/>
      <w:r>
        <w:rPr>
          <w:rFonts w:ascii="仿宋_GB2312" w:eastAsia="仿宋_GB2312" w:hint="eastAsia"/>
          <w:sz w:val="32"/>
          <w:szCs w:val="32"/>
        </w:rPr>
        <w:t>版块</w:t>
      </w:r>
      <w:proofErr w:type="gramEnd"/>
      <w:r>
        <w:rPr>
          <w:rFonts w:ascii="仿宋_GB2312" w:eastAsia="仿宋_GB2312" w:hint="eastAsia"/>
          <w:sz w:val="32"/>
          <w:szCs w:val="32"/>
        </w:rPr>
        <w:t>栏目设置，通过专题页面的形式展现信息，为群众提供实实在在的便利。</w:t>
      </w:r>
    </w:p>
    <w:p w:rsidR="001A251F" w:rsidRDefault="00DC4751">
      <w:pPr>
        <w:spacing w:line="560" w:lineRule="exact"/>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1A251F" w:rsidRDefault="00DC4751">
      <w:pPr>
        <w:ind w:firstLineChars="200" w:firstLine="640"/>
        <w:rPr>
          <w:rFonts w:ascii="仿宋_GB2312" w:eastAsia="仿宋_GB2312"/>
          <w:sz w:val="32"/>
          <w:szCs w:val="32"/>
        </w:rPr>
      </w:pPr>
      <w:r>
        <w:rPr>
          <w:rFonts w:ascii="仿宋_GB2312" w:eastAsia="仿宋_GB2312" w:hint="eastAsia"/>
          <w:sz w:val="32"/>
          <w:szCs w:val="32"/>
        </w:rPr>
        <w:t>无。</w:t>
      </w:r>
    </w:p>
    <w:p w:rsidR="001A251F" w:rsidRDefault="001A251F">
      <w:pPr>
        <w:ind w:firstLineChars="200" w:firstLine="420"/>
      </w:pPr>
    </w:p>
    <w:sectPr w:rsidR="001A25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51" w:rsidRDefault="00DC4751">
      <w:r>
        <w:separator/>
      </w:r>
    </w:p>
  </w:endnote>
  <w:endnote w:type="continuationSeparator" w:id="0">
    <w:p w:rsidR="00DC4751" w:rsidRDefault="00DC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750232"/>
      <w:docPartObj>
        <w:docPartGallery w:val="AutoText"/>
      </w:docPartObj>
    </w:sdtPr>
    <w:sdtEndPr>
      <w:rPr>
        <w:rFonts w:ascii="仿宋_GB2312" w:eastAsia="仿宋_GB2312" w:hint="eastAsia"/>
        <w:sz w:val="24"/>
        <w:szCs w:val="24"/>
      </w:rPr>
    </w:sdtEndPr>
    <w:sdtContent>
      <w:p w:rsidR="001A251F" w:rsidRDefault="00DC4751">
        <w:pPr>
          <w:pStyle w:val="a5"/>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6D3557" w:rsidRPr="006D3557">
          <w:rPr>
            <w:rFonts w:ascii="仿宋_GB2312" w:eastAsia="仿宋_GB2312"/>
            <w:noProof/>
            <w:sz w:val="24"/>
            <w:szCs w:val="24"/>
            <w:lang w:val="zh-CN"/>
          </w:rPr>
          <w:t>6</w:t>
        </w:r>
        <w:r>
          <w:rPr>
            <w:rFonts w:ascii="仿宋_GB2312" w:eastAsia="仿宋_GB2312" w:hint="eastAsia"/>
            <w:sz w:val="24"/>
            <w:szCs w:val="24"/>
          </w:rPr>
          <w:fldChar w:fldCharType="end"/>
        </w:r>
      </w:p>
    </w:sdtContent>
  </w:sdt>
  <w:p w:rsidR="001A251F" w:rsidRDefault="001A25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51" w:rsidRDefault="00DC4751">
      <w:r>
        <w:separator/>
      </w:r>
    </w:p>
  </w:footnote>
  <w:footnote w:type="continuationSeparator" w:id="0">
    <w:p w:rsidR="00DC4751" w:rsidRDefault="00DC4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95"/>
    <w:rsid w:val="000069DE"/>
    <w:rsid w:val="00054D99"/>
    <w:rsid w:val="000930EC"/>
    <w:rsid w:val="001467ED"/>
    <w:rsid w:val="001A251F"/>
    <w:rsid w:val="001A7964"/>
    <w:rsid w:val="001B202F"/>
    <w:rsid w:val="002F42D5"/>
    <w:rsid w:val="002F759B"/>
    <w:rsid w:val="00356E34"/>
    <w:rsid w:val="003874F5"/>
    <w:rsid w:val="003B3385"/>
    <w:rsid w:val="00420B06"/>
    <w:rsid w:val="004622DF"/>
    <w:rsid w:val="00473C2F"/>
    <w:rsid w:val="00483A75"/>
    <w:rsid w:val="0049502B"/>
    <w:rsid w:val="00566E61"/>
    <w:rsid w:val="006D3557"/>
    <w:rsid w:val="007527EF"/>
    <w:rsid w:val="00876AAF"/>
    <w:rsid w:val="008F0036"/>
    <w:rsid w:val="0095298E"/>
    <w:rsid w:val="00964103"/>
    <w:rsid w:val="0096688E"/>
    <w:rsid w:val="00A646FB"/>
    <w:rsid w:val="00A80195"/>
    <w:rsid w:val="00AA3647"/>
    <w:rsid w:val="00AB49E7"/>
    <w:rsid w:val="00B25B31"/>
    <w:rsid w:val="00B725F6"/>
    <w:rsid w:val="00B74CFF"/>
    <w:rsid w:val="00C04EE5"/>
    <w:rsid w:val="00CF01FA"/>
    <w:rsid w:val="00D50523"/>
    <w:rsid w:val="00DC4751"/>
    <w:rsid w:val="00DF469B"/>
    <w:rsid w:val="00E40556"/>
    <w:rsid w:val="00E9728A"/>
    <w:rsid w:val="00F00388"/>
    <w:rsid w:val="00F01B52"/>
    <w:rsid w:val="00F20BD0"/>
    <w:rsid w:val="00F62A75"/>
    <w:rsid w:val="00F73C0F"/>
    <w:rsid w:val="00F90603"/>
    <w:rsid w:val="1CFD1D8A"/>
    <w:rsid w:val="353A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楷体_GB2312"/>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脚 Char"/>
    <w:basedOn w:val="a0"/>
    <w:link w:val="a5"/>
    <w:uiPriority w:val="99"/>
    <w:rPr>
      <w:sz w:val="18"/>
      <w:szCs w:val="18"/>
    </w:rPr>
  </w:style>
  <w:style w:type="character" w:customStyle="1" w:styleId="Char2">
    <w:name w:val="页眉 Char"/>
    <w:basedOn w:val="a0"/>
    <w:link w:val="a6"/>
    <w:uiPriority w:val="99"/>
    <w:rPr>
      <w:sz w:val="18"/>
      <w:szCs w:val="18"/>
    </w:rPr>
  </w:style>
  <w:style w:type="character" w:customStyle="1" w:styleId="Char">
    <w:name w:val="纯文本 Char"/>
    <w:basedOn w:val="a0"/>
    <w:link w:val="a3"/>
    <w:qFormat/>
    <w:rPr>
      <w:rFonts w:ascii="宋体" w:eastAsia="宋体" w:hAnsi="Courier New" w:cs="楷体_GB2312"/>
      <w:szCs w:val="21"/>
    </w:rPr>
  </w:style>
  <w:style w:type="character" w:customStyle="1" w:styleId="Char0">
    <w:name w:val="批注框文本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楷体_GB2312"/>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脚 Char"/>
    <w:basedOn w:val="a0"/>
    <w:link w:val="a5"/>
    <w:uiPriority w:val="99"/>
    <w:rPr>
      <w:sz w:val="18"/>
      <w:szCs w:val="18"/>
    </w:rPr>
  </w:style>
  <w:style w:type="character" w:customStyle="1" w:styleId="Char2">
    <w:name w:val="页眉 Char"/>
    <w:basedOn w:val="a0"/>
    <w:link w:val="a6"/>
    <w:uiPriority w:val="99"/>
    <w:rPr>
      <w:sz w:val="18"/>
      <w:szCs w:val="18"/>
    </w:rPr>
  </w:style>
  <w:style w:type="character" w:customStyle="1" w:styleId="Char">
    <w:name w:val="纯文本 Char"/>
    <w:basedOn w:val="a0"/>
    <w:link w:val="a3"/>
    <w:qFormat/>
    <w:rPr>
      <w:rFonts w:ascii="宋体" w:eastAsia="宋体" w:hAnsi="Courier New" w:cs="楷体_GB2312"/>
      <w:szCs w:val="21"/>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20449;&#24687;&#20013;&#24515;\&#25919;&#24220;&#20449;&#24687;&#20844;&#24320;\&#20449;&#24687;&#20844;&#24320;&#24180;&#25253;\2020&#24180;&#24180;&#25253;\&#26032;&#24314;&#25991;&#20214;&#22841;\&#32479;&#3574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依申请公开办理结果统计</a:t>
            </a:r>
          </a:p>
        </c:rich>
      </c:tx>
      <c:overlay val="0"/>
    </c:title>
    <c:autoTitleDeleted val="0"/>
    <c:plotArea>
      <c:layout/>
      <c:pieChart>
        <c:varyColors val="1"/>
        <c:ser>
          <c:idx val="0"/>
          <c:order val="0"/>
          <c:dPt>
            <c:idx val="0"/>
            <c:bubble3D val="0"/>
          </c:dPt>
          <c:dPt>
            <c:idx val="1"/>
            <c:bubble3D val="0"/>
          </c:dPt>
          <c:dPt>
            <c:idx val="2"/>
            <c:bubble3D val="0"/>
          </c:dPt>
          <c:dPt>
            <c:idx val="3"/>
            <c:bubble3D val="0"/>
          </c:dPt>
          <c:dPt>
            <c:idx val="4"/>
            <c:bubble3D val="0"/>
          </c:dPt>
          <c:dPt>
            <c:idx val="5"/>
            <c:bubble3D val="0"/>
          </c:dPt>
          <c:dLbls>
            <c:dLbl>
              <c:idx val="0"/>
              <c:layout>
                <c:manualLayout>
                  <c:x val="0.122131014873141"/>
                  <c:y val="-2.8179862933799898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3096587926509201"/>
                  <c:y val="2.3993511227763199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45096237970254E-2"/>
                  <c:y val="-6.6977252843394605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5769903762029694E-2"/>
                  <c:y val="-3.1240886555847198E-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47660651793526"/>
                  <c:y val="5.3845873432487599E-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4049540682414699E-2"/>
                  <c:y val="-2.8180227471566101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Sheet1!$D$6:$D$11</c:f>
              <c:strCache>
                <c:ptCount val="6"/>
                <c:pt idx="0">
                  <c:v>予以公开</c:v>
                </c:pt>
                <c:pt idx="1">
                  <c:v>部分公开</c:v>
                </c:pt>
                <c:pt idx="2">
                  <c:v>不予公开</c:v>
                </c:pt>
                <c:pt idx="3">
                  <c:v>无法提供</c:v>
                </c:pt>
                <c:pt idx="4">
                  <c:v>不予处理</c:v>
                </c:pt>
                <c:pt idx="5">
                  <c:v>其他处理</c:v>
                </c:pt>
              </c:strCache>
            </c:strRef>
          </c:cat>
          <c:val>
            <c:numRef>
              <c:f>Sheet1!$E$6:$E$11</c:f>
              <c:numCache>
                <c:formatCode>0.00%</c:formatCode>
                <c:ptCount val="6"/>
                <c:pt idx="0" formatCode="0%">
                  <c:v>0</c:v>
                </c:pt>
                <c:pt idx="1">
                  <c:v>5.8900000000000001E-2</c:v>
                </c:pt>
                <c:pt idx="2" formatCode="0%">
                  <c:v>0</c:v>
                </c:pt>
                <c:pt idx="3">
                  <c:v>0.94120000000000004</c:v>
                </c:pt>
                <c:pt idx="4" formatCode="0%">
                  <c:v>0</c:v>
                </c:pt>
                <c:pt idx="5" formatCode="0%">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9290273217692797"/>
          <c:y val="0.484100811752949"/>
          <c:w val="0.15365360633522901"/>
          <c:h val="0.46270316950649398"/>
        </c:manualLayout>
      </c:layout>
      <c:overlay val="0"/>
      <c:txPr>
        <a:bodyPr rot="0" spcFirstLastPara="0" vertOverflow="ellipsis" vert="horz" wrap="square" anchor="ctr" anchorCtr="1"/>
        <a:lstStyle/>
        <a:p>
          <a:pPr>
            <a:defRPr lang="zh-CN" sz="1200" b="0" i="0" u="none" strike="noStrike" kern="1200" baseline="0">
              <a:solidFill>
                <a:schemeClr val="tx1"/>
              </a:solidFill>
              <a:latin typeface="+mn-lt"/>
              <a:ea typeface="+mn-ea"/>
              <a:cs typeface="+mn-cs"/>
            </a:defRPr>
          </a:pPr>
          <a:endParaRPr lang="zh-CN"/>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D911A3-3D87-454D-A8ED-C13DD485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489</Words>
  <Characters>2792</Characters>
  <Application>Microsoft Office Word</Application>
  <DocSecurity>0</DocSecurity>
  <Lines>23</Lines>
  <Paragraphs>6</Paragraphs>
  <ScaleCrop>false</ScaleCrop>
  <Company>gq</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12</cp:revision>
  <cp:lastPrinted>2021-02-10T01:08:00Z</cp:lastPrinted>
  <dcterms:created xsi:type="dcterms:W3CDTF">2021-02-09T02:01:00Z</dcterms:created>
  <dcterms:modified xsi:type="dcterms:W3CDTF">2022-01-16T08:19:00Z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