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高青县2014年政府信息公开工作年度报告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本报告由高青县人民政府办公室按照《中华人民共和国政府信息公开条例》（以下简称《条例》）和《山东省政府信息公开办法》要求编制，报告中所列数据的统计期限是2014年1月1日至</w:t>
      </w:r>
      <w:r>
        <w:rPr>
          <w:rFonts w:hint="eastAsia" w:ascii="仿宋_GB2312" w:eastAsia="仿宋_GB2312"/>
          <w:spacing w:val="2"/>
          <w:sz w:val="32"/>
          <w:szCs w:val="32"/>
        </w:rPr>
        <w:t>12月31日，</w:t>
      </w:r>
      <w:r>
        <w:rPr>
          <w:rFonts w:hint="eastAsia" w:ascii="仿宋_GB2312" w:eastAsia="仿宋_GB2312"/>
          <w:color w:val="000000"/>
          <w:sz w:val="32"/>
          <w:szCs w:val="32"/>
        </w:rPr>
        <w:t>报告电子版可在高青县人民政府门户网站（</w:t>
      </w:r>
      <w:r>
        <w:fldChar w:fldCharType="begin"/>
      </w:r>
      <w:r>
        <w:instrText xml:space="preserve"> HYPERLINK "http://www.gaoqing.gov.cn/" </w:instrText>
      </w:r>
      <w: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www.gaoqing.gov.cn</w:t>
      </w:r>
      <w:r>
        <w:rPr>
          <w:rStyle w:val="9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）查阅和下载。如对报告内容有疑问，请与高青县政府信息中心联系（地址：高青县城黄河路81号；邮编：256300；电话：0533-6967090；传真：0533-6967065）。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一、政府信息公开工作概述</w:t>
      </w:r>
    </w:p>
    <w:p>
      <w:pPr>
        <w:spacing w:line="560" w:lineRule="exact"/>
        <w:ind w:firstLine="64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2014年，高青县</w:t>
      </w:r>
      <w:r>
        <w:rPr>
          <w:rFonts w:hint="eastAsia" w:ascii="仿宋_GB2312" w:eastAsia="仿宋_GB2312"/>
          <w:sz w:val="32"/>
          <w:szCs w:val="32"/>
          <w:lang w:eastAsia="zh-CN"/>
        </w:rPr>
        <w:t>人民政府办公室坚持把推进政府信息公开与加快推进政府职能转变、规范行政权力运行、促进依法行政相结合，不断拓宽主动公开内容和范围、创新主动公开渠道和平台，做好重点领域的政府信息公开工作，为推动我县各项事业发展营造了良好的政务环境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二、政府信息公开的组织领导和制度建设情况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为加强对政府信息公开工作的管理，本单位把政府信息公开工作列入重要议事日程，明确领导分工。同时优化完善政务公开工作部门，配备专职人员负责政务公开工作。为切实推进政务公开，提高工作效率，</w:t>
      </w:r>
      <w:r>
        <w:rPr>
          <w:rFonts w:hint="eastAsia" w:ascii="仿宋_GB2312" w:eastAsia="仿宋_GB2312"/>
          <w:sz w:val="32"/>
          <w:szCs w:val="32"/>
        </w:rPr>
        <w:t>制定了主动公开、依申请公开、信息公开属性源头认定、发布协调、保密审查、虚假或不完整信息澄清、责任追究、评议考核等政府信息公开工作制度。在实际工作中，把各项制度落到实处，确保政府信息公开工作制度化、规范化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三、发布解读</w:t>
      </w:r>
      <w:r>
        <w:rPr>
          <w:rFonts w:ascii="黑体" w:eastAsia="黑体"/>
          <w:sz w:val="32"/>
          <w:szCs w:val="32"/>
        </w:rPr>
        <w:t>、回应社会关切以及互动交流情况</w:t>
      </w:r>
    </w:p>
    <w:p>
      <w:pPr>
        <w:spacing w:line="560" w:lineRule="exact"/>
        <w:ind w:firstLine="64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建立政策解读机制,明确解读范围,强化解读责任,规范解读程序。</w:t>
      </w:r>
      <w:r>
        <w:rPr>
          <w:rFonts w:hint="eastAsia" w:ascii="仿宋_GB2312" w:eastAsia="仿宋_GB2312"/>
          <w:sz w:val="32"/>
          <w:szCs w:val="32"/>
          <w:lang w:eastAsia="zh-CN"/>
        </w:rPr>
        <w:t>积极建设基于新媒体政府信息发布和互动交流渠道。</w:t>
      </w:r>
      <w:r>
        <w:rPr>
          <w:rFonts w:hint="eastAsia" w:ascii="仿宋_GB2312" w:eastAsia="仿宋_GB2312"/>
          <w:sz w:val="32"/>
          <w:szCs w:val="32"/>
        </w:rPr>
        <w:t>截至目前，“政民互动平台”收到各类咨询、投诉、建议10599条，回复率97%以上。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</w:t>
      </w:r>
      <w:r>
        <w:rPr>
          <w:rFonts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重点领域政府信息公开工作推进情况</w:t>
      </w:r>
    </w:p>
    <w:p>
      <w:pPr>
        <w:spacing w:line="560" w:lineRule="exact"/>
        <w:ind w:firstLine="64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根据国务院及省、市政府关于政府信息公开重点工作的要求，</w:t>
      </w:r>
      <w:r>
        <w:rPr>
          <w:rFonts w:hint="eastAsia" w:ascii="仿宋_GB2312" w:eastAsia="仿宋_GB2312"/>
          <w:sz w:val="32"/>
          <w:szCs w:val="32"/>
          <w:lang w:eastAsia="zh-CN"/>
        </w:rPr>
        <w:t>指导督促各有关部门根据职责分工，认真对有关信息进行梳理。</w:t>
      </w:r>
      <w:r>
        <w:rPr>
          <w:rFonts w:hint="eastAsia" w:ascii="仿宋_GB2312" w:eastAsia="仿宋_GB2312"/>
          <w:sz w:val="32"/>
          <w:szCs w:val="32"/>
        </w:rPr>
        <w:t>结合我县实际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推进</w:t>
      </w:r>
      <w:r>
        <w:rPr>
          <w:rFonts w:hint="eastAsia" w:ascii="仿宋_GB2312" w:eastAsia="仿宋_GB2312"/>
          <w:sz w:val="32"/>
          <w:szCs w:val="32"/>
          <w:lang w:eastAsia="zh-CN"/>
        </w:rPr>
        <w:t>重点领域公开。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五、主动公开政府信息以及公开平台建设情况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（一）主动公开政府信息情况</w:t>
      </w:r>
    </w:p>
    <w:p>
      <w:pPr>
        <w:adjustRightInd w:val="0"/>
        <w:snapToGrid w:val="0"/>
        <w:spacing w:line="560" w:lineRule="exact"/>
        <w:ind w:firstLine="67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126条。</w:t>
      </w:r>
      <w:r>
        <w:rPr>
          <w:rFonts w:hint="eastAsia" w:ascii="仿宋_GB2312" w:eastAsia="仿宋_GB2312"/>
          <w:sz w:val="32"/>
          <w:szCs w:val="32"/>
          <w:lang w:eastAsia="zh-CN"/>
        </w:rPr>
        <w:t>公众可通过政府门户网站检索县政府办公室主动公开的政府信息。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（二）政府信息公开平台建设情况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切实发挥政府门户网站的作用。</w:t>
      </w:r>
      <w:r>
        <w:rPr>
          <w:rFonts w:hint="eastAsia" w:ascii="仿宋_GB2312" w:eastAsia="仿宋_GB2312"/>
          <w:sz w:val="32"/>
          <w:szCs w:val="32"/>
        </w:rPr>
        <w:t>据统计，截至2014年底县政府门户网站访问量已突破2180万人次</w:t>
      </w:r>
      <w:r>
        <w:rPr>
          <w:rFonts w:ascii="仿宋_GB2312" w:eastAsia="仿宋_GB2312"/>
          <w:sz w:val="32"/>
          <w:szCs w:val="32"/>
        </w:rPr>
        <w:t>，信息发布数量和实效性大幅提升。</w:t>
      </w:r>
      <w:r>
        <w:rPr>
          <w:rFonts w:hint="eastAsia" w:ascii="仿宋_GB2312" w:eastAsia="仿宋_GB2312"/>
          <w:sz w:val="32"/>
          <w:szCs w:val="32"/>
        </w:rPr>
        <w:t>积极</w:t>
      </w:r>
      <w:r>
        <w:rPr>
          <w:rFonts w:ascii="仿宋_GB2312" w:eastAsia="仿宋_GB2312"/>
          <w:sz w:val="32"/>
          <w:szCs w:val="32"/>
        </w:rPr>
        <w:t>通过政务微博、微信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ascii="仿宋_GB2312" w:eastAsia="仿宋_GB2312"/>
          <w:sz w:val="32"/>
          <w:szCs w:val="32"/>
        </w:rPr>
        <w:t>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拓宽了社会公众获悉政府主动公开信息的渠道。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六、政府信息公开申请的办理情况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高青县人民政府办公室未收到</w:t>
      </w:r>
      <w:r>
        <w:rPr>
          <w:rFonts w:hint="eastAsia" w:ascii="仿宋_GB2312" w:eastAsia="仿宋_GB2312"/>
          <w:sz w:val="32"/>
          <w:szCs w:val="32"/>
        </w:rPr>
        <w:t>公民、法人或其他组织提出政府信息公开申请。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七、政府信息公开的收费及减免情况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高青县人民政府办公室</w:t>
      </w:r>
      <w:r>
        <w:rPr>
          <w:rFonts w:hint="eastAsia" w:ascii="仿宋_GB2312" w:eastAsia="仿宋_GB2312"/>
          <w:sz w:val="32"/>
          <w:szCs w:val="32"/>
        </w:rPr>
        <w:t>无政府信息公开收费及减免情况。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八、因政府信息公开申请行政复议、提起行政诉讼情况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高青县人民政府办公室</w:t>
      </w:r>
      <w:r>
        <w:rPr>
          <w:rFonts w:hint="eastAsia" w:ascii="仿宋_GB2312" w:eastAsia="仿宋_GB2312"/>
          <w:sz w:val="32"/>
          <w:szCs w:val="32"/>
        </w:rPr>
        <w:t>没有发生因政府信息公开申请行政复议、提起行政诉讼的情况。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九、政府信息公开保密审查及监督检查情况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（一）保密审查情况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按照《关于加强信息报送和信息公开保密审查工作的通知》（高办字〔2013〕2号）要求，规范保密审查程序，保证公开的政府信息内容不涉及国家秘密、商业秘密、个人隐私，不危及国家安全、公共安全、经济安全和社会稳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（二）监督检查情况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县政府办公室切实加强对各单位政府信息公开工作的监督，定期或不定期对各单位主动公开政府信息数量进行统计、通报，并将统计结果与年度目标管理考核挂钩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此外，在日常工作中，通过网络、投诉电话、信箱等方式，广泛听取社会各界的意见和要求，充分发挥社会监督的作用。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十、所属事业单位信息公开工作推进情况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积极推进事业单位信息公开工作。各</w:t>
      </w:r>
      <w:r>
        <w:rPr>
          <w:rFonts w:ascii="仿宋_GB2312" w:eastAsia="仿宋_GB2312"/>
          <w:sz w:val="32"/>
          <w:szCs w:val="32"/>
        </w:rPr>
        <w:t>事业单位认真贯彻《条例》，进一步建立健全了工作机制，完善了工作程序，明确了工作人员，增强了办事透明度，提升了服务效能，提高了服务质量。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十一、政府信息公开工作存在的主要问题及改进情况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主要问题：一是对部分</w:t>
      </w:r>
      <w:r>
        <w:rPr>
          <w:rFonts w:ascii="仿宋_GB2312" w:eastAsia="仿宋_GB2312"/>
          <w:sz w:val="32"/>
          <w:szCs w:val="32"/>
        </w:rPr>
        <w:t>部门的工作积极性和主动</w:t>
      </w:r>
      <w:r>
        <w:rPr>
          <w:rFonts w:hint="eastAsia" w:ascii="仿宋_GB2312" w:eastAsia="仿宋_GB2312"/>
          <w:sz w:val="32"/>
          <w:szCs w:val="32"/>
        </w:rPr>
        <w:t>性</w:t>
      </w:r>
      <w:r>
        <w:rPr>
          <w:rFonts w:hint="eastAsia" w:ascii="仿宋_GB2312" w:eastAsia="仿宋_GB2312"/>
          <w:sz w:val="32"/>
          <w:szCs w:val="32"/>
          <w:lang w:eastAsia="zh-CN"/>
        </w:rPr>
        <w:t>调动不够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推进</w:t>
      </w:r>
      <w:r>
        <w:rPr>
          <w:rFonts w:ascii="仿宋_GB2312" w:eastAsia="仿宋_GB2312"/>
          <w:sz w:val="32"/>
          <w:szCs w:val="32"/>
        </w:rPr>
        <w:t>公共企事业单位信息公开工作</w:t>
      </w:r>
      <w:r>
        <w:rPr>
          <w:rFonts w:hint="eastAsia" w:ascii="仿宋_GB2312" w:eastAsia="仿宋_GB2312"/>
          <w:sz w:val="32"/>
          <w:szCs w:val="32"/>
          <w:lang w:eastAsia="zh-CN"/>
        </w:rPr>
        <w:t>不够到位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改进措施：县政府办公室</w:t>
      </w:r>
      <w:r>
        <w:rPr>
          <w:rFonts w:hint="eastAsia" w:ascii="仿宋_GB2312" w:eastAsia="仿宋_GB2312"/>
          <w:sz w:val="32"/>
          <w:szCs w:val="32"/>
        </w:rPr>
        <w:t>将进一步深入贯彻落实《条例》和《山东省政府信息公开办法》，加强工作力度，扩大公开范围，不断把全县政府信息公开工作推向深入，进一步提升全县政府信息公开工作水平。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十二、附表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2014年度政府信息公开工作情况统计样表</w:t>
      </w:r>
    </w:p>
    <w:p>
      <w:pPr>
        <w:jc w:val="center"/>
        <w:rPr>
          <w:rFonts w:ascii="楷体_GB2312" w:hAnsi="楷体_GB2312" w:eastAsia="楷体_GB2312" w:cs="楷体_GB2312"/>
          <w:b/>
          <w:sz w:val="28"/>
          <w:szCs w:val="28"/>
        </w:rPr>
      </w:pPr>
    </w:p>
    <w:tbl>
      <w:tblPr>
        <w:tblStyle w:val="6"/>
        <w:tblW w:w="9450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仿宋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（一）主动公开政府信息数（不同渠道和方式公开相同信息计1条）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126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814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414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（一）区县政府及其部门网站数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15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（二）乡镇政府（街道办事处）门户网站数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（一）公报发行期数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（一）区县政府及其部门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57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198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（一）区县政府及其部门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103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95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66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（三）政府信息公开专项经费（不包括用于政府公报编辑管理及政府网站建设维</w:t>
            </w:r>
          </w:p>
          <w:p>
            <w:pPr>
              <w:spacing w:line="300" w:lineRule="exact"/>
              <w:ind w:firstLine="40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103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24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8897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3D"/>
    <w:rsid w:val="00053BD8"/>
    <w:rsid w:val="00077CCF"/>
    <w:rsid w:val="000F6B5F"/>
    <w:rsid w:val="00112FAC"/>
    <w:rsid w:val="001559BE"/>
    <w:rsid w:val="0025544C"/>
    <w:rsid w:val="00287EDC"/>
    <w:rsid w:val="002B3C49"/>
    <w:rsid w:val="002C628D"/>
    <w:rsid w:val="0033287C"/>
    <w:rsid w:val="003F0FC4"/>
    <w:rsid w:val="003F7FAD"/>
    <w:rsid w:val="00464E3D"/>
    <w:rsid w:val="004725DE"/>
    <w:rsid w:val="00475EA2"/>
    <w:rsid w:val="004926CC"/>
    <w:rsid w:val="004B05AA"/>
    <w:rsid w:val="004D1C0B"/>
    <w:rsid w:val="00532521"/>
    <w:rsid w:val="0059536A"/>
    <w:rsid w:val="005A5398"/>
    <w:rsid w:val="005C4778"/>
    <w:rsid w:val="005F1225"/>
    <w:rsid w:val="005F737E"/>
    <w:rsid w:val="00601608"/>
    <w:rsid w:val="0062049E"/>
    <w:rsid w:val="006421F5"/>
    <w:rsid w:val="006815F6"/>
    <w:rsid w:val="008C547F"/>
    <w:rsid w:val="00915AE8"/>
    <w:rsid w:val="00953075"/>
    <w:rsid w:val="00981A7A"/>
    <w:rsid w:val="009C285C"/>
    <w:rsid w:val="00A82F2A"/>
    <w:rsid w:val="00AC2481"/>
    <w:rsid w:val="00AF00EC"/>
    <w:rsid w:val="00B529FC"/>
    <w:rsid w:val="00B77B57"/>
    <w:rsid w:val="00C150F4"/>
    <w:rsid w:val="00C25B99"/>
    <w:rsid w:val="00C57712"/>
    <w:rsid w:val="00C93754"/>
    <w:rsid w:val="00D058F1"/>
    <w:rsid w:val="00D460EC"/>
    <w:rsid w:val="00DA44CD"/>
    <w:rsid w:val="00DD015A"/>
    <w:rsid w:val="00DE303C"/>
    <w:rsid w:val="00E34EDA"/>
    <w:rsid w:val="00E618D8"/>
    <w:rsid w:val="00E77630"/>
    <w:rsid w:val="00EB53D3"/>
    <w:rsid w:val="00EE3E0F"/>
    <w:rsid w:val="00F458F5"/>
    <w:rsid w:val="00F9531E"/>
    <w:rsid w:val="00FB7290"/>
    <w:rsid w:val="00FD4FF0"/>
    <w:rsid w:val="00FF416C"/>
    <w:rsid w:val="1FCE07D0"/>
    <w:rsid w:val="2EF8178B"/>
    <w:rsid w:val="32260BEE"/>
    <w:rsid w:val="3FEF7654"/>
    <w:rsid w:val="51FED7AB"/>
    <w:rsid w:val="5BD462C2"/>
    <w:rsid w:val="5D7EA438"/>
    <w:rsid w:val="5DBFD48B"/>
    <w:rsid w:val="5EFA7CCD"/>
    <w:rsid w:val="5FBFC764"/>
    <w:rsid w:val="63BFD95A"/>
    <w:rsid w:val="6FBB27F8"/>
    <w:rsid w:val="6FFF438D"/>
    <w:rsid w:val="72EE4E2A"/>
    <w:rsid w:val="74F49EB4"/>
    <w:rsid w:val="757DE146"/>
    <w:rsid w:val="75ED5D32"/>
    <w:rsid w:val="777D1F6F"/>
    <w:rsid w:val="7CA3E458"/>
    <w:rsid w:val="7D9FE750"/>
    <w:rsid w:val="7EE7B7C2"/>
    <w:rsid w:val="7EFAF087"/>
    <w:rsid w:val="7F7D58EC"/>
    <w:rsid w:val="7F9BE0C6"/>
    <w:rsid w:val="7FEAE645"/>
    <w:rsid w:val="873F2367"/>
    <w:rsid w:val="9D4B5CFF"/>
    <w:rsid w:val="AD5F5AE9"/>
    <w:rsid w:val="AFFF3055"/>
    <w:rsid w:val="BA7B23C6"/>
    <w:rsid w:val="C57FAD79"/>
    <w:rsid w:val="CBFC8F54"/>
    <w:rsid w:val="CD3EDDE9"/>
    <w:rsid w:val="CFFF7263"/>
    <w:rsid w:val="D7FF1140"/>
    <w:rsid w:val="DDB904CD"/>
    <w:rsid w:val="DFEB4ADC"/>
    <w:rsid w:val="DFEFD79F"/>
    <w:rsid w:val="DFF1E3D3"/>
    <w:rsid w:val="DFF7E9E8"/>
    <w:rsid w:val="DFFCCCAF"/>
    <w:rsid w:val="E34FD4A1"/>
    <w:rsid w:val="E9F71EFB"/>
    <w:rsid w:val="ECAE8611"/>
    <w:rsid w:val="EF9F9B50"/>
    <w:rsid w:val="F38D895D"/>
    <w:rsid w:val="F77E5F01"/>
    <w:rsid w:val="F9CF8CB2"/>
    <w:rsid w:val="FA5DA317"/>
    <w:rsid w:val="FA7A06FB"/>
    <w:rsid w:val="FAF41D82"/>
    <w:rsid w:val="FB3BD7B7"/>
    <w:rsid w:val="FB6E079A"/>
    <w:rsid w:val="FB7E255A"/>
    <w:rsid w:val="FBFF25BE"/>
    <w:rsid w:val="FD338641"/>
    <w:rsid w:val="FDABA8D4"/>
    <w:rsid w:val="FDEA2A97"/>
    <w:rsid w:val="FDFDBD3D"/>
    <w:rsid w:val="FDFFF8E1"/>
    <w:rsid w:val="FE734873"/>
    <w:rsid w:val="FE7B7CB0"/>
    <w:rsid w:val="FEBA00D1"/>
    <w:rsid w:val="FFAFDA49"/>
    <w:rsid w:val="FFDD72F3"/>
    <w:rsid w:val="FFD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0"/>
    <w:rPr>
      <w:color w:val="000000"/>
      <w:u w:val="non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11</Pages>
  <Words>918</Words>
  <Characters>5239</Characters>
  <Lines>43</Lines>
  <Paragraphs>12</Paragraphs>
  <TotalTime>53</TotalTime>
  <ScaleCrop>false</ScaleCrop>
  <LinksUpToDate>false</LinksUpToDate>
  <CharactersWithSpaces>6145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2015-01-21T23:37:00Z</dcterms:created>
  <dc:creator>sff</dc:creator>
  <cp:lastModifiedBy>user</cp:lastModifiedBy>
  <cp:lastPrinted>2020-06-30T18:20:00Z</cp:lastPrinted>
  <dcterms:modified xsi:type="dcterms:W3CDTF">2022-02-07T15:11:51Z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8B565BFBB13849FAB8958CDEE92199F8</vt:lpwstr>
  </property>
</Properties>
</file>