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11" w:rsidRDefault="00A51D11">
      <w:pPr>
        <w:tabs>
          <w:tab w:val="left" w:pos="790"/>
          <w:tab w:val="left" w:pos="1264"/>
        </w:tabs>
        <w:overflowPunct w:val="0"/>
        <w:adjustRightInd w:val="0"/>
        <w:snapToGrid w:val="0"/>
        <w:spacing w:line="540" w:lineRule="exact"/>
        <w:jc w:val="center"/>
        <w:rPr>
          <w:rFonts w:ascii="方正小标宋简体" w:eastAsia="方正小标宋简体" w:hAnsiTheme="majorEastAsia"/>
          <w:sz w:val="44"/>
          <w:szCs w:val="30"/>
        </w:rPr>
      </w:pPr>
    </w:p>
    <w:p w:rsidR="00A51D11" w:rsidRDefault="00A51D11">
      <w:pPr>
        <w:tabs>
          <w:tab w:val="left" w:pos="790"/>
          <w:tab w:val="left" w:pos="1264"/>
        </w:tabs>
        <w:overflowPunct w:val="0"/>
        <w:adjustRightInd w:val="0"/>
        <w:snapToGrid w:val="0"/>
        <w:spacing w:line="540" w:lineRule="exact"/>
        <w:jc w:val="center"/>
        <w:rPr>
          <w:rFonts w:ascii="方正小标宋简体" w:eastAsia="方正小标宋简体" w:hAnsiTheme="majorEastAsia"/>
          <w:sz w:val="44"/>
          <w:szCs w:val="30"/>
        </w:rPr>
      </w:pPr>
    </w:p>
    <w:p w:rsidR="00A51D11" w:rsidRDefault="00A51D11">
      <w:pPr>
        <w:tabs>
          <w:tab w:val="left" w:pos="790"/>
          <w:tab w:val="left" w:pos="1264"/>
        </w:tabs>
        <w:overflowPunct w:val="0"/>
        <w:adjustRightInd w:val="0"/>
        <w:snapToGrid w:val="0"/>
        <w:spacing w:line="540" w:lineRule="exact"/>
        <w:jc w:val="center"/>
        <w:rPr>
          <w:rFonts w:ascii="方正小标宋简体" w:eastAsia="方正小标宋简体" w:hAnsiTheme="majorEastAsia"/>
          <w:sz w:val="44"/>
          <w:szCs w:val="30"/>
        </w:rPr>
      </w:pPr>
    </w:p>
    <w:p w:rsidR="00A51D11" w:rsidRPr="00341009" w:rsidRDefault="00402D05">
      <w:pPr>
        <w:tabs>
          <w:tab w:val="left" w:pos="790"/>
          <w:tab w:val="left" w:pos="1264"/>
        </w:tabs>
        <w:overflowPunct w:val="0"/>
        <w:adjustRightInd w:val="0"/>
        <w:snapToGrid w:val="0"/>
        <w:spacing w:line="540" w:lineRule="exact"/>
        <w:jc w:val="center"/>
        <w:rPr>
          <w:rFonts w:asciiTheme="minorEastAsia" w:eastAsiaTheme="minorEastAsia" w:hAnsiTheme="minorEastAsia"/>
          <w:b/>
          <w:sz w:val="44"/>
          <w:szCs w:val="30"/>
        </w:rPr>
      </w:pPr>
      <w:bookmarkStart w:id="0" w:name="_GoBack"/>
      <w:bookmarkEnd w:id="0"/>
      <w:r w:rsidRPr="00341009">
        <w:rPr>
          <w:rFonts w:asciiTheme="minorEastAsia" w:eastAsiaTheme="minorEastAsia" w:hAnsiTheme="minorEastAsia" w:hint="eastAsia"/>
          <w:b/>
          <w:sz w:val="44"/>
          <w:szCs w:val="30"/>
        </w:rPr>
        <w:t>关于印发《高青县市场监管系统</w:t>
      </w:r>
      <w:r w:rsidRPr="00341009">
        <w:rPr>
          <w:rFonts w:asciiTheme="minorEastAsia" w:eastAsiaTheme="minorEastAsia" w:hAnsiTheme="minorEastAsia" w:hint="eastAsia"/>
          <w:b/>
          <w:sz w:val="44"/>
          <w:szCs w:val="30"/>
        </w:rPr>
        <w:t>2020</w:t>
      </w:r>
      <w:r w:rsidRPr="00341009">
        <w:rPr>
          <w:rFonts w:asciiTheme="minorEastAsia" w:eastAsiaTheme="minorEastAsia" w:hAnsiTheme="minorEastAsia" w:hint="eastAsia"/>
          <w:b/>
          <w:sz w:val="44"/>
          <w:szCs w:val="30"/>
        </w:rPr>
        <w:t>年度</w:t>
      </w:r>
    </w:p>
    <w:p w:rsidR="00A51D11" w:rsidRPr="00341009" w:rsidRDefault="00402D05">
      <w:pPr>
        <w:tabs>
          <w:tab w:val="left" w:pos="790"/>
          <w:tab w:val="left" w:pos="1264"/>
        </w:tabs>
        <w:overflowPunct w:val="0"/>
        <w:adjustRightInd w:val="0"/>
        <w:snapToGrid w:val="0"/>
        <w:spacing w:line="540" w:lineRule="exact"/>
        <w:jc w:val="center"/>
        <w:rPr>
          <w:rFonts w:asciiTheme="minorEastAsia" w:eastAsiaTheme="minorEastAsia" w:hAnsiTheme="minorEastAsia"/>
          <w:b/>
          <w:sz w:val="44"/>
          <w:szCs w:val="30"/>
        </w:rPr>
      </w:pPr>
      <w:r w:rsidRPr="00341009">
        <w:rPr>
          <w:rFonts w:asciiTheme="minorEastAsia" w:eastAsiaTheme="minorEastAsia" w:hAnsiTheme="minorEastAsia" w:hint="eastAsia"/>
          <w:b/>
          <w:sz w:val="44"/>
          <w:szCs w:val="30"/>
        </w:rPr>
        <w:t>“双随机、一公开”抽查工作计划》的通知</w:t>
      </w:r>
    </w:p>
    <w:p w:rsidR="00A51D11" w:rsidRDefault="00A51D11">
      <w:pPr>
        <w:tabs>
          <w:tab w:val="left" w:pos="790"/>
          <w:tab w:val="left" w:pos="1264"/>
        </w:tabs>
        <w:overflowPunct w:val="0"/>
        <w:adjustRightInd w:val="0"/>
        <w:snapToGrid w:val="0"/>
        <w:spacing w:line="540" w:lineRule="exact"/>
        <w:rPr>
          <w:rFonts w:hAnsi="宋体"/>
          <w:szCs w:val="30"/>
        </w:rPr>
      </w:pPr>
    </w:p>
    <w:p w:rsidR="00A51D11" w:rsidRPr="00341009" w:rsidRDefault="00402D05">
      <w:pPr>
        <w:tabs>
          <w:tab w:val="left" w:pos="790"/>
          <w:tab w:val="left" w:pos="1264"/>
        </w:tabs>
        <w:overflowPunct w:val="0"/>
        <w:adjustRightInd w:val="0"/>
        <w:snapToGrid w:val="0"/>
        <w:spacing w:line="540" w:lineRule="exact"/>
        <w:rPr>
          <w:rFonts w:ascii="仿宋" w:eastAsia="仿宋" w:hAnsi="仿宋"/>
          <w:szCs w:val="30"/>
        </w:rPr>
      </w:pPr>
      <w:r w:rsidRPr="00341009">
        <w:rPr>
          <w:rFonts w:ascii="仿宋" w:eastAsia="仿宋" w:hAnsi="仿宋" w:hint="eastAsia"/>
          <w:szCs w:val="30"/>
        </w:rPr>
        <w:t>各监管所、执法中队、科室：</w:t>
      </w:r>
    </w:p>
    <w:p w:rsidR="00A51D11" w:rsidRPr="00341009" w:rsidRDefault="00402D05" w:rsidP="001C4154">
      <w:pPr>
        <w:tabs>
          <w:tab w:val="left" w:pos="790"/>
          <w:tab w:val="left" w:pos="1264"/>
        </w:tabs>
        <w:overflowPunct w:val="0"/>
        <w:adjustRightInd w:val="0"/>
        <w:snapToGrid w:val="0"/>
        <w:spacing w:line="540" w:lineRule="exact"/>
        <w:ind w:firstLine="624"/>
        <w:rPr>
          <w:rFonts w:ascii="仿宋" w:eastAsia="仿宋" w:hAnsi="仿宋" w:cs="仿宋_GB2312"/>
          <w:szCs w:val="30"/>
        </w:rPr>
      </w:pPr>
      <w:r w:rsidRPr="00341009">
        <w:rPr>
          <w:rFonts w:ascii="仿宋" w:eastAsia="仿宋" w:hAnsi="仿宋" w:hint="eastAsia"/>
          <w:szCs w:val="30"/>
        </w:rPr>
        <w:t>为</w:t>
      </w:r>
      <w:r w:rsidR="001C4154">
        <w:rPr>
          <w:rFonts w:ascii="仿宋" w:eastAsia="仿宋" w:hAnsi="仿宋" w:hint="eastAsia"/>
          <w:szCs w:val="30"/>
        </w:rPr>
        <w:t>实现</w:t>
      </w:r>
      <w:r w:rsidRPr="00341009">
        <w:rPr>
          <w:rFonts w:ascii="仿宋" w:eastAsia="仿宋" w:hAnsi="仿宋" w:hint="eastAsia"/>
          <w:szCs w:val="30"/>
        </w:rPr>
        <w:t>全县市场监管系统“双随机、一公开”监管工作</w:t>
      </w:r>
      <w:r w:rsidR="001C4154">
        <w:rPr>
          <w:rFonts w:ascii="仿宋" w:eastAsia="仿宋" w:hAnsi="仿宋" w:hint="eastAsia"/>
          <w:szCs w:val="30"/>
        </w:rPr>
        <w:t>全覆盖</w:t>
      </w:r>
      <w:r w:rsidRPr="00341009">
        <w:rPr>
          <w:rFonts w:ascii="仿宋" w:eastAsia="仿宋" w:hAnsi="仿宋" w:hint="eastAsia"/>
          <w:szCs w:val="30"/>
        </w:rPr>
        <w:t>，</w:t>
      </w:r>
      <w:r w:rsidR="001C4154">
        <w:rPr>
          <w:rFonts w:ascii="仿宋" w:eastAsia="仿宋" w:hAnsi="仿宋" w:hint="eastAsia"/>
          <w:szCs w:val="30"/>
        </w:rPr>
        <w:t>现</w:t>
      </w:r>
      <w:r w:rsidR="009966DE">
        <w:rPr>
          <w:rFonts w:ascii="仿宋" w:eastAsia="仿宋" w:hAnsi="仿宋" w:hint="eastAsia"/>
          <w:szCs w:val="30"/>
        </w:rPr>
        <w:t>对</w:t>
      </w:r>
      <w:r w:rsidRPr="00341009">
        <w:rPr>
          <w:rFonts w:ascii="仿宋" w:eastAsia="仿宋" w:hAnsi="仿宋" w:hint="eastAsia"/>
          <w:szCs w:val="30"/>
        </w:rPr>
        <w:t>《高青县市场监管系统</w:t>
      </w:r>
      <w:r w:rsidRPr="00341009">
        <w:rPr>
          <w:rFonts w:ascii="仿宋" w:eastAsia="仿宋" w:hAnsi="仿宋" w:hint="eastAsia"/>
          <w:szCs w:val="30"/>
        </w:rPr>
        <w:t>20</w:t>
      </w:r>
      <w:r w:rsidRPr="00341009">
        <w:rPr>
          <w:rFonts w:ascii="仿宋" w:eastAsia="仿宋" w:hAnsi="仿宋"/>
          <w:szCs w:val="30"/>
        </w:rPr>
        <w:t>20</w:t>
      </w:r>
      <w:r w:rsidRPr="00341009">
        <w:rPr>
          <w:rFonts w:ascii="仿宋" w:eastAsia="仿宋" w:hAnsi="仿宋" w:hint="eastAsia"/>
          <w:szCs w:val="30"/>
        </w:rPr>
        <w:t>年度“双随机、一公开”抽查工作计划》</w:t>
      </w:r>
      <w:r w:rsidRPr="00341009">
        <w:rPr>
          <w:rFonts w:ascii="仿宋" w:eastAsia="仿宋" w:hAnsi="仿宋" w:hint="eastAsia"/>
          <w:szCs w:val="30"/>
        </w:rPr>
        <w:t>（以下简称《计划》）</w:t>
      </w:r>
      <w:r w:rsidR="009966DE">
        <w:rPr>
          <w:rFonts w:ascii="仿宋" w:eastAsia="仿宋" w:hAnsi="仿宋" w:hint="eastAsia"/>
          <w:szCs w:val="30"/>
        </w:rPr>
        <w:t>进行调整</w:t>
      </w:r>
      <w:r w:rsidRPr="00341009">
        <w:rPr>
          <w:rFonts w:ascii="仿宋" w:eastAsia="仿宋" w:hAnsi="仿宋" w:hint="eastAsia"/>
          <w:szCs w:val="30"/>
        </w:rPr>
        <w:t>，</w:t>
      </w:r>
      <w:r w:rsidR="001C4154">
        <w:rPr>
          <w:rFonts w:ascii="仿宋" w:eastAsia="仿宋" w:hAnsi="仿宋" w:hint="eastAsia"/>
          <w:szCs w:val="30"/>
        </w:rPr>
        <w:t>请结合工作实际，抓好贯彻落实。</w:t>
      </w:r>
    </w:p>
    <w:p w:rsidR="00A51D11" w:rsidRPr="00341009" w:rsidRDefault="00402D05">
      <w:pPr>
        <w:tabs>
          <w:tab w:val="left" w:pos="790"/>
          <w:tab w:val="left" w:pos="1264"/>
        </w:tabs>
        <w:overflowPunct w:val="0"/>
        <w:adjustRightInd w:val="0"/>
        <w:snapToGrid w:val="0"/>
        <w:spacing w:line="540" w:lineRule="exact"/>
        <w:ind w:leftChars="200" w:left="1600" w:hangingChars="300" w:hanging="960"/>
        <w:rPr>
          <w:rFonts w:ascii="仿宋" w:eastAsia="仿宋" w:hAnsi="仿宋" w:cs="仿宋_GB2312"/>
          <w:szCs w:val="30"/>
        </w:rPr>
      </w:pPr>
      <w:r w:rsidRPr="00341009">
        <w:rPr>
          <w:rFonts w:ascii="仿宋" w:eastAsia="仿宋" w:hAnsi="仿宋" w:cs="仿宋_GB2312" w:hint="eastAsia"/>
          <w:szCs w:val="30"/>
        </w:rPr>
        <w:t>附件：《高青县市场监管系统</w:t>
      </w:r>
      <w:r w:rsidRPr="00341009">
        <w:rPr>
          <w:rFonts w:ascii="仿宋" w:eastAsia="仿宋" w:hAnsi="仿宋" w:cs="仿宋_GB2312" w:hint="eastAsia"/>
          <w:szCs w:val="30"/>
        </w:rPr>
        <w:t>2020</w:t>
      </w:r>
      <w:r w:rsidRPr="00341009">
        <w:rPr>
          <w:rFonts w:ascii="仿宋" w:eastAsia="仿宋" w:hAnsi="仿宋" w:cs="仿宋_GB2312" w:hint="eastAsia"/>
          <w:szCs w:val="30"/>
        </w:rPr>
        <w:t>年度“双随机、一公开”抽查工作计划》（第</w:t>
      </w:r>
      <w:r w:rsidR="00341009" w:rsidRPr="00341009">
        <w:rPr>
          <w:rFonts w:ascii="仿宋" w:eastAsia="仿宋" w:hAnsi="仿宋" w:cs="仿宋_GB2312" w:hint="eastAsia"/>
          <w:szCs w:val="30"/>
        </w:rPr>
        <w:t>二</w:t>
      </w:r>
      <w:r w:rsidRPr="00341009">
        <w:rPr>
          <w:rFonts w:ascii="仿宋" w:eastAsia="仿宋" w:hAnsi="仿宋" w:cs="仿宋_GB2312" w:hint="eastAsia"/>
          <w:szCs w:val="30"/>
        </w:rPr>
        <w:t>版）</w:t>
      </w:r>
    </w:p>
    <w:p w:rsidR="00A51D11" w:rsidRPr="00341009" w:rsidRDefault="00A51D11">
      <w:pPr>
        <w:tabs>
          <w:tab w:val="left" w:pos="790"/>
          <w:tab w:val="left" w:pos="1264"/>
        </w:tabs>
        <w:overflowPunct w:val="0"/>
        <w:adjustRightInd w:val="0"/>
        <w:snapToGrid w:val="0"/>
        <w:spacing w:line="540" w:lineRule="exact"/>
        <w:jc w:val="left"/>
        <w:rPr>
          <w:rFonts w:ascii="仿宋" w:eastAsia="仿宋" w:hAnsi="仿宋"/>
          <w:szCs w:val="30"/>
        </w:rPr>
      </w:pPr>
    </w:p>
    <w:p w:rsidR="00A51D11" w:rsidRPr="00341009" w:rsidRDefault="00A51D11">
      <w:pPr>
        <w:tabs>
          <w:tab w:val="left" w:pos="790"/>
          <w:tab w:val="left" w:pos="1264"/>
        </w:tabs>
        <w:overflowPunct w:val="0"/>
        <w:adjustRightInd w:val="0"/>
        <w:snapToGrid w:val="0"/>
        <w:spacing w:line="540" w:lineRule="exact"/>
        <w:jc w:val="left"/>
        <w:rPr>
          <w:rFonts w:ascii="仿宋" w:eastAsia="仿宋" w:hAnsi="仿宋"/>
          <w:szCs w:val="30"/>
        </w:rPr>
      </w:pPr>
    </w:p>
    <w:p w:rsidR="00A51D11" w:rsidRPr="00341009" w:rsidRDefault="00402D05">
      <w:pPr>
        <w:tabs>
          <w:tab w:val="left" w:pos="790"/>
          <w:tab w:val="left" w:pos="1264"/>
        </w:tabs>
        <w:wordWrap w:val="0"/>
        <w:overflowPunct w:val="0"/>
        <w:adjustRightInd w:val="0"/>
        <w:snapToGrid w:val="0"/>
        <w:spacing w:line="540" w:lineRule="exact"/>
        <w:jc w:val="right"/>
        <w:rPr>
          <w:rFonts w:ascii="仿宋" w:eastAsia="仿宋" w:hAnsi="仿宋"/>
          <w:szCs w:val="30"/>
        </w:rPr>
      </w:pPr>
      <w:r w:rsidRPr="00341009">
        <w:rPr>
          <w:rFonts w:ascii="仿宋" w:eastAsia="仿宋" w:hAnsi="仿宋"/>
          <w:szCs w:val="30"/>
        </w:rPr>
        <w:t xml:space="preserve">                  </w:t>
      </w:r>
      <w:r w:rsidRPr="00341009">
        <w:rPr>
          <w:rFonts w:ascii="仿宋" w:eastAsia="仿宋" w:hAnsi="仿宋" w:hint="eastAsia"/>
          <w:szCs w:val="30"/>
        </w:rPr>
        <w:t>高青县</w:t>
      </w:r>
      <w:r w:rsidRPr="00341009">
        <w:rPr>
          <w:rFonts w:ascii="仿宋" w:eastAsia="仿宋" w:hAnsi="仿宋"/>
          <w:szCs w:val="30"/>
        </w:rPr>
        <w:t>市场监督管理局</w:t>
      </w:r>
      <w:r w:rsidRPr="00341009">
        <w:rPr>
          <w:rFonts w:ascii="仿宋" w:eastAsia="仿宋" w:hAnsi="仿宋" w:hint="eastAsia"/>
          <w:szCs w:val="30"/>
        </w:rPr>
        <w:t xml:space="preserve">      </w:t>
      </w:r>
    </w:p>
    <w:p w:rsidR="00A51D11" w:rsidRPr="00341009" w:rsidRDefault="00402D05">
      <w:pPr>
        <w:tabs>
          <w:tab w:val="left" w:pos="790"/>
          <w:tab w:val="left" w:pos="1264"/>
        </w:tabs>
        <w:wordWrap w:val="0"/>
        <w:overflowPunct w:val="0"/>
        <w:adjustRightInd w:val="0"/>
        <w:snapToGrid w:val="0"/>
        <w:spacing w:line="540" w:lineRule="exact"/>
        <w:ind w:left="1560" w:hanging="936"/>
        <w:jc w:val="right"/>
        <w:rPr>
          <w:rFonts w:ascii="仿宋" w:eastAsia="仿宋" w:hAnsi="仿宋"/>
          <w:szCs w:val="30"/>
        </w:rPr>
      </w:pPr>
      <w:r w:rsidRPr="00341009">
        <w:rPr>
          <w:rFonts w:ascii="仿宋" w:eastAsia="仿宋" w:hAnsi="仿宋" w:hint="eastAsia"/>
          <w:szCs w:val="30"/>
        </w:rPr>
        <w:t xml:space="preserve">              </w:t>
      </w:r>
      <w:r w:rsidRPr="00341009">
        <w:rPr>
          <w:rFonts w:ascii="仿宋" w:eastAsia="仿宋" w:hAnsi="仿宋"/>
          <w:szCs w:val="30"/>
        </w:rPr>
        <w:t xml:space="preserve"> </w:t>
      </w:r>
      <w:r w:rsidRPr="00341009">
        <w:rPr>
          <w:rFonts w:ascii="仿宋" w:eastAsia="仿宋" w:hAnsi="仿宋" w:hint="eastAsia"/>
          <w:szCs w:val="30"/>
        </w:rPr>
        <w:t>20</w:t>
      </w:r>
      <w:r w:rsidRPr="00341009">
        <w:rPr>
          <w:rFonts w:ascii="仿宋" w:eastAsia="仿宋" w:hAnsi="仿宋"/>
          <w:szCs w:val="30"/>
        </w:rPr>
        <w:t>20</w:t>
      </w:r>
      <w:r w:rsidRPr="00341009">
        <w:rPr>
          <w:rFonts w:ascii="仿宋" w:eastAsia="仿宋" w:hAnsi="仿宋" w:hint="eastAsia"/>
          <w:szCs w:val="30"/>
        </w:rPr>
        <w:t>年</w:t>
      </w:r>
      <w:r w:rsidR="00341009" w:rsidRPr="00341009">
        <w:rPr>
          <w:rFonts w:ascii="仿宋" w:eastAsia="仿宋" w:hAnsi="仿宋" w:hint="eastAsia"/>
          <w:szCs w:val="30"/>
        </w:rPr>
        <w:t>8</w:t>
      </w:r>
      <w:r w:rsidRPr="00341009">
        <w:rPr>
          <w:rFonts w:ascii="仿宋" w:eastAsia="仿宋" w:hAnsi="仿宋" w:hint="eastAsia"/>
          <w:szCs w:val="30"/>
        </w:rPr>
        <w:t>月</w:t>
      </w:r>
      <w:r w:rsidR="00341009" w:rsidRPr="00341009">
        <w:rPr>
          <w:rFonts w:ascii="仿宋" w:eastAsia="仿宋" w:hAnsi="仿宋" w:hint="eastAsia"/>
          <w:szCs w:val="30"/>
        </w:rPr>
        <w:t>28</w:t>
      </w:r>
      <w:r w:rsidRPr="00341009">
        <w:rPr>
          <w:rFonts w:ascii="仿宋" w:eastAsia="仿宋" w:hAnsi="仿宋" w:hint="eastAsia"/>
          <w:szCs w:val="30"/>
        </w:rPr>
        <w:t>日</w:t>
      </w:r>
      <w:r w:rsidRPr="00341009">
        <w:rPr>
          <w:rFonts w:ascii="仿宋" w:eastAsia="仿宋" w:hAnsi="仿宋" w:hint="eastAsia"/>
          <w:szCs w:val="30"/>
        </w:rPr>
        <w:t xml:space="preserve">        </w:t>
      </w:r>
    </w:p>
    <w:p w:rsidR="00A51D11" w:rsidRPr="00341009" w:rsidRDefault="00A51D11">
      <w:pPr>
        <w:tabs>
          <w:tab w:val="left" w:pos="790"/>
          <w:tab w:val="left" w:pos="1264"/>
        </w:tabs>
        <w:overflowPunct w:val="0"/>
        <w:adjustRightInd w:val="0"/>
        <w:snapToGrid w:val="0"/>
        <w:spacing w:line="540" w:lineRule="exact"/>
        <w:ind w:left="1560" w:hanging="936"/>
        <w:jc w:val="right"/>
        <w:rPr>
          <w:rFonts w:ascii="仿宋" w:eastAsia="仿宋" w:hAnsi="仿宋"/>
          <w:szCs w:val="30"/>
        </w:rPr>
      </w:pPr>
    </w:p>
    <w:p w:rsidR="00A51D11" w:rsidRDefault="00402D05">
      <w:pPr>
        <w:tabs>
          <w:tab w:val="left" w:pos="790"/>
          <w:tab w:val="left" w:pos="1264"/>
        </w:tabs>
        <w:overflowPunct w:val="0"/>
        <w:adjustRightInd w:val="0"/>
        <w:snapToGrid w:val="0"/>
        <w:spacing w:line="540" w:lineRule="exact"/>
        <w:ind w:left="1560" w:hanging="936"/>
        <w:jc w:val="left"/>
        <w:rPr>
          <w:rFonts w:hAnsi="宋体"/>
          <w:szCs w:val="30"/>
        </w:rPr>
        <w:sectPr w:rsidR="00A51D11">
          <w:headerReference w:type="default" r:id="rId8"/>
          <w:footerReference w:type="default" r:id="rId9"/>
          <w:footerReference w:type="first" r:id="rId10"/>
          <w:pgSz w:w="11906" w:h="16838"/>
          <w:pgMar w:top="2098" w:right="1531" w:bottom="1417" w:left="1531" w:header="851" w:footer="992" w:gutter="0"/>
          <w:pgNumType w:fmt="numberInDash"/>
          <w:cols w:space="0"/>
          <w:docGrid w:type="lines" w:linePitch="444"/>
        </w:sectPr>
      </w:pPr>
      <w:r w:rsidRPr="00341009">
        <w:rPr>
          <w:rFonts w:ascii="仿宋" w:eastAsia="仿宋" w:hAnsi="仿宋" w:hint="eastAsia"/>
          <w:szCs w:val="30"/>
        </w:rPr>
        <w:t>（此件主动公开）</w:t>
      </w:r>
    </w:p>
    <w:tbl>
      <w:tblPr>
        <w:tblW w:w="150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37"/>
      </w:tblGrid>
      <w:tr w:rsidR="00A51D11">
        <w:trPr>
          <w:trHeight w:val="567"/>
          <w:jc w:val="center"/>
        </w:trPr>
        <w:tc>
          <w:tcPr>
            <w:tcW w:w="15037" w:type="dxa"/>
            <w:shd w:val="clear" w:color="auto" w:fill="auto"/>
            <w:vAlign w:val="center"/>
          </w:tcPr>
          <w:tbl>
            <w:tblPr>
              <w:tblW w:w="15037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5"/>
              <w:gridCol w:w="1693"/>
              <w:gridCol w:w="3864"/>
              <w:gridCol w:w="3061"/>
              <w:gridCol w:w="805"/>
              <w:gridCol w:w="2113"/>
              <w:gridCol w:w="1200"/>
              <w:gridCol w:w="1676"/>
            </w:tblGrid>
            <w:tr w:rsidR="00341009" w:rsidTr="00A639AB">
              <w:trPr>
                <w:trHeight w:val="567"/>
                <w:jc w:val="center"/>
              </w:trPr>
              <w:tc>
                <w:tcPr>
                  <w:tcW w:w="15037" w:type="dxa"/>
                  <w:gridSpan w:val="8"/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400" w:lineRule="exact"/>
                    <w:jc w:val="left"/>
                    <w:textAlignment w:val="center"/>
                    <w:rPr>
                      <w:rFonts w:ascii="黑体" w:eastAsia="黑体" w:hAnsi="宋体" w:cs="黑体"/>
                      <w:color w:val="000000"/>
                      <w:sz w:val="28"/>
                      <w:szCs w:val="28"/>
                    </w:rPr>
                  </w:pPr>
                  <w:r w:rsidRPr="009E3CA3">
                    <w:rPr>
                      <w:sz w:val="28"/>
                    </w:rPr>
                    <w:lastRenderedPageBreak/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9" type="#_x0000_t202" style="position:absolute;margin-left:-33.6pt;margin-top:-20.1pt;width:37pt;height:43.25pt;z-index:251663360" o:gfxdata="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0nWfdYAAAAIAQAADwAAAAAAAAABACAAAAAiAAAA&#10;ZHJzL2Rvd25yZXYueG1sUEsBAhQAFAAAAAgAh07iQILXH/FCAgAATgQAAA4AAAAAAAAAAQAgAAAA&#10;JQEAAGRycy9lMm9Eb2MueG1sUEsFBgAAAAAGAAYAWQEAANkFAAAAAA==&#10;" fillcolor="white [3201]" stroked="f" strokeweight=".5pt">
                        <v:textbox style="layout-flow:vertical-ideographic;mso-next-textbox:#_x0000_s1029">
                          <w:txbxContent>
                            <w:p w:rsidR="00341009" w:rsidRDefault="00341009" w:rsidP="00341009"/>
                          </w:txbxContent>
                        </v:textbox>
                      </v:shape>
                    </w:pic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15037" w:type="dxa"/>
                  <w:gridSpan w:val="8"/>
                  <w:shd w:val="clear" w:color="auto" w:fill="auto"/>
                  <w:vAlign w:val="center"/>
                </w:tcPr>
                <w:p w:rsidR="00341009" w:rsidRDefault="00341009" w:rsidP="00341009">
                  <w:pPr>
                    <w:widowControl/>
                    <w:spacing w:beforeLines="50" w:afterLines="50" w:line="600" w:lineRule="exact"/>
                    <w:jc w:val="center"/>
                    <w:textAlignment w:val="center"/>
                    <w:rPr>
                      <w:rFonts w:ascii="方正小标宋简体" w:eastAsia="方正小标宋简体" w:hAnsi="方正小标宋简体" w:cs="方正小标宋简体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方正小标宋简体" w:eastAsia="方正小标宋简体" w:hAnsi="方正小标宋简体" w:cs="方正小标宋简体" w:hint="eastAsia"/>
                      <w:color w:val="000000"/>
                      <w:kern w:val="0"/>
                      <w:sz w:val="40"/>
                      <w:szCs w:val="40"/>
                      <w:lang/>
                    </w:rPr>
                    <w:t>高青县市场监管系统2020年度“双随机、一公开”抽查工作计划（第二版）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序号</w:t>
                  </w:r>
                </w:p>
              </w:tc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抽查类别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抽查事项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检查对象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事项</w:t>
                  </w: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br/>
                    <w:t>类别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抽查比例</w:t>
                  </w: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br/>
                    <w:t>及频次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检查</w:t>
                  </w: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br/>
                    <w:t>时间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2"/>
                      <w:szCs w:val="22"/>
                      <w:lang/>
                    </w:rPr>
                    <w:t>检查主体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</w:t>
                  </w:r>
                </w:p>
              </w:tc>
              <w:tc>
                <w:tcPr>
                  <w:tcW w:w="1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登记事项检查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营业执照（登记证）规范使用情况的检查</w:t>
                  </w:r>
                </w:p>
              </w:tc>
              <w:tc>
                <w:tcPr>
                  <w:tcW w:w="30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企业</w:t>
                  </w:r>
                  <w:r>
                    <w:rPr>
                      <w:rFonts w:hAnsi="宋体" w:cs="仿宋_GB2312" w:hint="eastAsia"/>
                      <w:color w:val="000000"/>
                      <w:spacing w:val="-45"/>
                      <w:kern w:val="0"/>
                      <w:sz w:val="20"/>
                      <w:szCs w:val="20"/>
                      <w:lang/>
                    </w:rPr>
                    <w:t>、</w:t>
                  </w: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个体工商户</w:t>
                  </w:r>
                  <w:r>
                    <w:rPr>
                      <w:rFonts w:hAnsi="宋体" w:cs="仿宋_GB2312" w:hint="eastAsia"/>
                      <w:color w:val="000000"/>
                      <w:spacing w:val="-45"/>
                      <w:kern w:val="0"/>
                      <w:sz w:val="20"/>
                      <w:szCs w:val="20"/>
                      <w:lang/>
                    </w:rPr>
                    <w:t>、</w:t>
                  </w: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农民专业合作社</w:t>
                  </w:r>
                  <w:r>
                    <w:rPr>
                      <w:rFonts w:hAnsi="宋体" w:cs="仿宋_GB2312" w:hint="eastAsia"/>
                      <w:color w:val="000000"/>
                      <w:spacing w:val="-45"/>
                      <w:kern w:val="0"/>
                      <w:sz w:val="20"/>
                      <w:szCs w:val="20"/>
                      <w:lang/>
                    </w:rPr>
                    <w:t>、</w:t>
                  </w: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外国企业常驻代表机构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企业抽查比例为5%、个体户抽查比例为0.5%、农民专业合作社抽查比例为1%、外国企业常驻代表机构抽查比例为5%；2-3次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5月—12月</w:t>
                  </w:r>
                </w:p>
              </w:tc>
              <w:tc>
                <w:tcPr>
                  <w:tcW w:w="1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省级、市级、县级市场监管部门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名称规范使用情况的检查</w:t>
                  </w:r>
                </w:p>
              </w:tc>
              <w:tc>
                <w:tcPr>
                  <w:tcW w:w="30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经营（驻在）期限的检查</w:t>
                  </w:r>
                </w:p>
              </w:tc>
              <w:tc>
                <w:tcPr>
                  <w:tcW w:w="30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经营（业务）范围中无需审批的经营（业务）项目的检查</w:t>
                  </w:r>
                </w:p>
              </w:tc>
              <w:tc>
                <w:tcPr>
                  <w:tcW w:w="30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住所（经营场所）或驻在场所的检查</w:t>
                  </w:r>
                </w:p>
              </w:tc>
              <w:tc>
                <w:tcPr>
                  <w:tcW w:w="30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注册资本实缴情况的检查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《国务院关于印发注册资本登记制度改革方案的通知》明确的暂不实行注册资本认缴登记制的行业企业</w:t>
                  </w: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法定代表人（负责人）任职情况的检查</w:t>
                  </w:r>
                </w:p>
              </w:tc>
              <w:tc>
                <w:tcPr>
                  <w:tcW w:w="30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企业</w:t>
                  </w: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法定代表人、自然人股东身份真实性的检查</w:t>
                  </w:r>
                </w:p>
              </w:tc>
              <w:tc>
                <w:tcPr>
                  <w:tcW w:w="30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2</w:t>
                  </w:r>
                </w:p>
              </w:tc>
              <w:tc>
                <w:tcPr>
                  <w:tcW w:w="1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公示信息检查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年度报告公示信息的检查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spacing w:val="-6"/>
                      <w:kern w:val="0"/>
                      <w:sz w:val="20"/>
                      <w:szCs w:val="20"/>
                      <w:lang/>
                    </w:rPr>
                    <w:t>企业、个体工商户、农民专业合作社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企业抽查比例为5%、个体户抽查比例为0.5%、农民专业合作社抽查比例为1%；2-3次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5月—12月</w:t>
                  </w:r>
                </w:p>
              </w:tc>
              <w:tc>
                <w:tcPr>
                  <w:tcW w:w="1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省级、市级、县级市场监管部门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即时公示信息的检查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企业</w:t>
                  </w: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lastRenderedPageBreak/>
                    <w:t>3</w:t>
                  </w:r>
                </w:p>
              </w:tc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价格行为检查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转供电政策执行情况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转供电主体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抽查比例为5%；</w:t>
                  </w: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br/>
                    <w:t>1次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5月-12月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市级、县级</w:t>
                  </w:r>
                </w:p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市场监管部门</w:t>
                  </w:r>
                </w:p>
              </w:tc>
            </w:tr>
            <w:tr w:rsidR="00341009" w:rsidTr="00A639AB">
              <w:trPr>
                <w:trHeight w:val="742"/>
                <w:jc w:val="center"/>
              </w:trPr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4</w:t>
                  </w:r>
                </w:p>
              </w:tc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国家行政机关</w:t>
                  </w:r>
                </w:p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收费检查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涉企收费情况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市、县国家行政机关、事业单位、行业协会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抽查比例为20%；</w:t>
                  </w: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br/>
                    <w:t>1次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5月-12月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市级、县级</w:t>
                  </w:r>
                </w:p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5</w:t>
                  </w:r>
                </w:p>
              </w:tc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电子商务经营行为监督检查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电子商务平台经营者履行主体责任的检查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电子商务平台经营者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抽查比例为10%；</w:t>
                  </w: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br/>
                    <w:t>1次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7月-11月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省级、市级、县级市场监管部门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6</w:t>
                  </w:r>
                </w:p>
              </w:tc>
              <w:tc>
                <w:tcPr>
                  <w:tcW w:w="1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拍卖等重要领域</w:t>
                  </w:r>
                </w:p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市场规范管理检查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拍卖活动经营资格的检查</w:t>
                  </w:r>
                </w:p>
              </w:tc>
              <w:tc>
                <w:tcPr>
                  <w:tcW w:w="30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企业、个体工商户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抽查比例为10%；</w:t>
                  </w: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br/>
                    <w:t>1次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7月-11月</w:t>
                  </w:r>
                </w:p>
              </w:tc>
              <w:tc>
                <w:tcPr>
                  <w:tcW w:w="1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省级、市级、县级市场监管部门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文物经营活动经营资格的检查</w:t>
                  </w:r>
                </w:p>
              </w:tc>
              <w:tc>
                <w:tcPr>
                  <w:tcW w:w="30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为非法交易野生动物等违法行为提供交易服务的检查</w:t>
                  </w:r>
                </w:p>
              </w:tc>
              <w:tc>
                <w:tcPr>
                  <w:tcW w:w="30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抽查比例为5%；</w:t>
                  </w: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br/>
                    <w:t>1次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7</w:t>
                  </w:r>
                </w:p>
              </w:tc>
              <w:tc>
                <w:tcPr>
                  <w:tcW w:w="1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广告行为检查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广告发布登记情况的检查</w:t>
                  </w:r>
                </w:p>
              </w:tc>
              <w:tc>
                <w:tcPr>
                  <w:tcW w:w="30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企业、个体工商户及其它经营单位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spacing w:val="-3"/>
                      <w:kern w:val="0"/>
                      <w:sz w:val="20"/>
                      <w:szCs w:val="20"/>
                      <w:lang/>
                    </w:rPr>
                    <w:t>按照省局双随机抽查统一确定的覆盖比例，抽查比例为5%；与企业年报公示信息抽查同步进行，一般情况下每年1次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7月—11月</w:t>
                  </w:r>
                </w:p>
              </w:tc>
              <w:tc>
                <w:tcPr>
                  <w:tcW w:w="1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省级、市级、县级市场监管部门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药品、医疗器械、保健食品、特殊医学用途配方食品广告主发布相关广告的审查批准情况的检查</w:t>
                  </w:r>
                </w:p>
              </w:tc>
              <w:tc>
                <w:tcPr>
                  <w:tcW w:w="30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广告经营者、广告发布者建立、健全广告业务的承接登记、审核、档案管理制度情况的检查</w:t>
                  </w:r>
                </w:p>
              </w:tc>
              <w:tc>
                <w:tcPr>
                  <w:tcW w:w="30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 w:rsidRPr="009E3CA3"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  <w:pict>
                      <v:shape id="_x0000_s1033" type="#_x0000_t202" style="position:absolute;left:0;text-align:left;margin-left:-36.55pt;margin-top:44.35pt;width:37pt;height:43.25pt;z-index:251667456;mso-position-horizontal-relative:text;mso-position-vertical-relative:text" o:gfxdata="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+2KZjW&#10;AAAABwEAAA8AAAAAAAAAAQAgAAAAIgAAAGRycy9kb3ducmV2LnhtbFBLAQIUABQAAAAIAIdO4kAk&#10;QsVoIgIAABsEAAAOAAAAAAAAAAEAIAAAACUBAABkcnMvZTJvRG9jLnhtbFBLBQYAAAAABgAGAFkB&#10;AAC5BQAAAAA=&#10;" filled="f" stroked="f" strokeweight=".5pt">
                        <v:textbox style="layout-flow:vertical-ideographic;mso-next-textbox:#_x0000_s1033">
                          <w:txbxContent>
                            <w:p w:rsidR="00341009" w:rsidRPr="001C4154" w:rsidRDefault="00341009" w:rsidP="001C4154"/>
                          </w:txbxContent>
                        </v:textbox>
                      </v:shape>
                    </w:pict>
                  </w: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8</w:t>
                  </w:r>
                </w:p>
              </w:tc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产品质量监督抽查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生产领域产品质量监督抽查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生产企业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重点检查事项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所抽产品企业数的5%以上；800批次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 月—12 月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市级市场监管部门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 w:rsidRPr="009E3CA3"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  <w:pict>
                      <v:shape id="_x0000_s1030" type="#_x0000_t202" style="position:absolute;left:0;text-align:left;margin-left:-38.65pt;margin-top:-32.85pt;width:37pt;height:43.25pt;z-index:251664384;mso-position-horizontal-relative:text;mso-position-vertical-relative:text" o:gfxdata="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9QbCNcAAAAJAQAADwAAAAAAAAABACAAAAAiAAAAZHJzL2Rvd25y&#10;ZXYueG1sUEsBAhQAFAAAAAgAh07iQHxuQjc4AgAARAQAAA4AAAAAAAAAAQAgAAAAJgEAAGRycy9l&#10;Mm9Eb2MueG1sUEsFBgAAAAAGAAYAWQEAANAFAAAAAA==&#10;" fillcolor="white [3201]" stroked="f" strokeweight=".5pt">
                        <v:textbox style="layout-flow:vertical-ideographic;mso-next-textbox:#_x0000_s1030">
                          <w:txbxContent>
                            <w:p w:rsidR="00341009" w:rsidRDefault="00341009" w:rsidP="00341009"/>
                          </w:txbxContent>
                        </v:textbox>
                      </v:shape>
                    </w:pict>
                  </w: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9</w:t>
                  </w:r>
                </w:p>
              </w:tc>
              <w:tc>
                <w:tcPr>
                  <w:tcW w:w="1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spacing w:val="-9"/>
                      <w:kern w:val="0"/>
                      <w:sz w:val="20"/>
                      <w:szCs w:val="20"/>
                      <w:lang/>
                    </w:rPr>
                    <w:t>工业产品生产许可证产品生产企业检查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食品相关产品质量安全监督检查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食品相关产品获证企业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抽查比例为20%以上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1月-12月</w:t>
                  </w:r>
                </w:p>
              </w:tc>
              <w:tc>
                <w:tcPr>
                  <w:tcW w:w="1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省级、市级、县级市场监管部门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工业产品生产许可证获证企业条件检查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企业、个体工商户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重点检查事项</w:t>
                  </w: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395"/>
                <w:jc w:val="center"/>
              </w:trPr>
              <w:tc>
                <w:tcPr>
                  <w:tcW w:w="6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lastRenderedPageBreak/>
                    <w:t>10</w:t>
                  </w:r>
                </w:p>
              </w:tc>
              <w:tc>
                <w:tcPr>
                  <w:tcW w:w="1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食品生产监督检查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食盐定点生产企业监督检查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食盐定点生产企业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抽查比例为100%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2月-11月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市级、县级市场监管部门</w:t>
                  </w:r>
                </w:p>
              </w:tc>
            </w:tr>
            <w:tr w:rsidR="00341009" w:rsidTr="00A639AB">
              <w:trPr>
                <w:trHeight w:val="285"/>
                <w:jc w:val="center"/>
              </w:trPr>
              <w:tc>
                <w:tcPr>
                  <w:tcW w:w="62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食品生产监督检查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登记的食品小作坊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重点检查事项</w:t>
                  </w:r>
                </w:p>
              </w:tc>
              <w:tc>
                <w:tcPr>
                  <w:tcW w:w="21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抽查比例为20%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5月-10月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临淄区</w:t>
                  </w:r>
                </w:p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11</w:t>
                  </w:r>
                </w:p>
              </w:tc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食品销售监督检查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食盐定点批发企业监督检查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食盐定点批发企业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抽查比例为100%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2月-11月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市级、县级市场监管部门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12</w:t>
                  </w:r>
                </w:p>
              </w:tc>
              <w:tc>
                <w:tcPr>
                  <w:tcW w:w="1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特殊食品销售监督检查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婴幼儿配方食品销售监督检查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婴幼儿配方食品销售者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抽查比例为1%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2月-11月</w:t>
                  </w:r>
                </w:p>
              </w:tc>
              <w:tc>
                <w:tcPr>
                  <w:tcW w:w="1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市级、县级市场监管部门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特殊医学用途配方食品销售监督检查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特殊医学用途配方食品销售者</w:t>
                  </w: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抽查比例为2%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保健食品销售监督检查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保健食品销售者</w:t>
                  </w: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抽查比例为1%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13</w:t>
                  </w:r>
                </w:p>
              </w:tc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食品安全监督抽检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食品安全监督抽检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市场在售食品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重点检查事项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品种抽查比例为90%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2月-11月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市级、县级市场监管部门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14</w:t>
                  </w:r>
                </w:p>
              </w:tc>
              <w:tc>
                <w:tcPr>
                  <w:tcW w:w="1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餐饮服务监督检查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特定餐饮服务提供者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学校、医院、养老机构食堂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重点检查事项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抽查比例为1%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4-12月</w:t>
                  </w:r>
                </w:p>
              </w:tc>
              <w:tc>
                <w:tcPr>
                  <w:tcW w:w="1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市级市场监管部门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其他高风险餐饮单位检查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中央厨房、集体用餐配送单位、</w:t>
                  </w:r>
                </w:p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连锁餐饮企业总部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重点检查事项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抽查比例为50%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232"/>
                <w:jc w:val="center"/>
              </w:trPr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15</w:t>
                  </w:r>
                </w:p>
              </w:tc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特种设备使用单位监督检查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对特种设备使用单位的监督检查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spacing w:line="30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sz w:val="20"/>
                      <w:szCs w:val="20"/>
                    </w:rPr>
                    <w:t>特种设备使用单位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重点检查事项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font51"/>
                      <w:rFonts w:hAnsi="宋体" w:hint="default"/>
                      <w:lang/>
                    </w:rPr>
                    <w:t>抽查比例为</w:t>
                  </w:r>
                  <w:r>
                    <w:rPr>
                      <w:rStyle w:val="font51"/>
                      <w:rFonts w:hAnsi="宋体"/>
                      <w:lang/>
                    </w:rPr>
                    <w:t>10</w:t>
                  </w:r>
                  <w:r>
                    <w:rPr>
                      <w:rStyle w:val="font51"/>
                      <w:rFonts w:hAnsi="宋体" w:hint="default"/>
                      <w:lang/>
                    </w:rPr>
                    <w:t>%。市局确定的重点监督检查的使用单位为：</w:t>
                  </w: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学校、幼儿园以及医院、车站、客运码头、商场、体育场馆、展览馆、公园等公众聚集场所和重大活动场馆、大型综合体的特种设备使用单位；近2</w:t>
                  </w: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lastRenderedPageBreak/>
                    <w:t>年发生过特种设备事故的特种设备使用单位；气瓶、移动式压力容器充装单位，使用特种设备的危化品企业，存在特种设备超期未检问题的特种设备使用单位；县级监管部门认为有必要实施重点监督检查的特种设备使用单位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lastRenderedPageBreak/>
                    <w:t>全年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市级、县级市场监管部门</w:t>
                  </w:r>
                </w:p>
              </w:tc>
            </w:tr>
            <w:tr w:rsidR="00341009" w:rsidTr="00A639AB">
              <w:trPr>
                <w:trHeight w:val="1194"/>
                <w:jc w:val="center"/>
              </w:trPr>
              <w:tc>
                <w:tcPr>
                  <w:tcW w:w="6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lastRenderedPageBreak/>
                    <w:t>16</w:t>
                  </w:r>
                </w:p>
              </w:tc>
              <w:tc>
                <w:tcPr>
                  <w:tcW w:w="1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计量监督检查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定量包装商品净含量国家计量监督专项抽查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全省食品类定量包装商品生产企业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抽查比例为5%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6月-11月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省级、市级、县级市场监管部门，委托当地计量技术机构检验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在用计量器具监督检查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kern w:val="0"/>
                      <w:sz w:val="20"/>
                      <w:szCs w:val="20"/>
                      <w:lang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使用医疗卫生工作计量器具的</w:t>
                  </w:r>
                </w:p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医疗机构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重点检查事项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抽查比例为10%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省级、市级、县级市场监管部门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left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 xml:space="preserve">使用安全防护工作计量器具的企业　</w:t>
                  </w: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抽查比例为7%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县级市场监管部门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计量单位使用情况专项监督检查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省内出版的综合类报纸</w:t>
                  </w: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抽查比例为40%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市级、县级市场监管部门</w:t>
                  </w:r>
                </w:p>
              </w:tc>
            </w:tr>
            <w:tr w:rsidR="00341009" w:rsidTr="00A639AB">
              <w:trPr>
                <w:trHeight w:val="53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法定计量检定机构专项监督检查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各级专项计量授权机构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抽查比例为20%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省级、市级、县级市场监管部门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17</w:t>
                  </w:r>
                </w:p>
              </w:tc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检验检测机构检查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检验检测机构检查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资质认定检验检测机构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抽查比例为10%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5月—12月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省级、市级、县级市场监管部门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 w:rsidRPr="009E3CA3">
                    <w:rPr>
                      <w:sz w:val="28"/>
                    </w:rPr>
                    <w:pict>
                      <v:shape id="_x0000_s1032" type="#_x0000_t202" style="position:absolute;left:0;text-align:left;margin-left:-37.1pt;margin-top:29.3pt;width:37pt;height:43.25pt;z-index:251666432;mso-position-horizontal-relative:text;mso-position-vertical-relative:text" o:gfxdata="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otydDX&#10;AAAACAEAAA8AAAAAAAAAAQAgAAAAIgAAAGRycy9kb3ducmV2LnhtbFBLAQIUABQAAAAIAIdO4kCw&#10;QvqAIQIAABsEAAAOAAAAAAAAAAEAIAAAACYBAABkcnMvZTJvRG9jLnhtbFBLBQYAAAAABgAGAFkB&#10;AAC5BQAAAAA=&#10;" filled="f" stroked="f" strokeweight=".5pt">
                        <v:textbox style="layout-flow:vertical-ideographic;mso-next-textbox:#_x0000_s1032">
                          <w:txbxContent>
                            <w:p w:rsidR="00341009" w:rsidRDefault="00341009" w:rsidP="00341009"/>
                          </w:txbxContent>
                        </v:textbox>
                      </v:shape>
                    </w:pict>
                  </w: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18</w:t>
                  </w:r>
                </w:p>
              </w:tc>
              <w:tc>
                <w:tcPr>
                  <w:tcW w:w="1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spacing w:val="-9"/>
                      <w:kern w:val="0"/>
                      <w:sz w:val="20"/>
                      <w:szCs w:val="20"/>
                      <w:lang/>
                    </w:rPr>
                    <w:t>市场类标准监督检查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团体自我声明公开标准信息的检查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团体组织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团体标准抽查比例为10%；企业抽查比例为1%；1次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7月-11月</w:t>
                  </w:r>
                </w:p>
              </w:tc>
              <w:tc>
                <w:tcPr>
                  <w:tcW w:w="1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0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省级、市级、县级市场监管部门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企业自我声明公开标准信息的检查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企业</w:t>
                  </w: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lastRenderedPageBreak/>
                    <w:t>19</w:t>
                  </w:r>
                </w:p>
              </w:tc>
              <w:tc>
                <w:tcPr>
                  <w:tcW w:w="1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专利代理监督检查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专利代理机构主体资格和执业资质检查</w:t>
                  </w:r>
                </w:p>
              </w:tc>
              <w:tc>
                <w:tcPr>
                  <w:tcW w:w="30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专利代理机构（含分支机构）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专利代理机构抽查比例为20%；同时检查被抽查代理机构中从业专利代理人的执业行为，每年1次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7月—11月</w:t>
                  </w:r>
                </w:p>
              </w:tc>
              <w:tc>
                <w:tcPr>
                  <w:tcW w:w="1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省级市场监管部门发起，市级市场监管部门协助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专利代理机构设立、变更、注销办事机构情况的检查</w:t>
                  </w:r>
                </w:p>
              </w:tc>
              <w:tc>
                <w:tcPr>
                  <w:tcW w:w="30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专利代理机构及其从业专利代理人执业行为检查</w:t>
                  </w:r>
                </w:p>
              </w:tc>
              <w:tc>
                <w:tcPr>
                  <w:tcW w:w="30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重点检查事项</w:t>
                  </w: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专利代理机构年度报告和信息公示情况核查</w:t>
                  </w:r>
                </w:p>
              </w:tc>
              <w:tc>
                <w:tcPr>
                  <w:tcW w:w="30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20</w:t>
                  </w:r>
                </w:p>
              </w:tc>
              <w:tc>
                <w:tcPr>
                  <w:tcW w:w="1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pacing w:val="-9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spacing w:val="-9"/>
                      <w:kern w:val="0"/>
                      <w:sz w:val="20"/>
                      <w:szCs w:val="20"/>
                      <w:lang/>
                    </w:rPr>
                    <w:t>专利真实性监督检查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专利证书、专利文件或专利申请文件真实性的检查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各类市场主体、产品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按照省局双随机抽查统一确定的覆盖比例，抽查比例为5%；与企业年报公示信息抽查同步进行，一般情况下每年1次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7月—11月</w:t>
                  </w:r>
                </w:p>
              </w:tc>
              <w:tc>
                <w:tcPr>
                  <w:tcW w:w="1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省级、市级、县级市场监管部门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pacing w:val="-9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产品专利宣传真实的检查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各类市场主体</w:t>
                  </w: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pacing w:val="-9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假冒专利行为提供便利条件的检查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各类市场主体</w:t>
                  </w: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21</w:t>
                  </w:r>
                </w:p>
              </w:tc>
              <w:tc>
                <w:tcPr>
                  <w:tcW w:w="1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pacing w:val="-9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spacing w:val="-9"/>
                      <w:kern w:val="0"/>
                      <w:sz w:val="20"/>
                      <w:szCs w:val="20"/>
                      <w:lang/>
                    </w:rPr>
                    <w:t>商标使用行为的检查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商标使用行为的检查</w:t>
                  </w:r>
                </w:p>
              </w:tc>
              <w:tc>
                <w:tcPr>
                  <w:tcW w:w="30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spacing w:val="-9"/>
                      <w:kern w:val="0"/>
                      <w:sz w:val="20"/>
                      <w:szCs w:val="20"/>
                      <w:lang/>
                    </w:rPr>
                    <w:t>企业、个体工商户、农民专业合作社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按照省局双随机抽查统一确定的覆盖比例，抽查比例为5%；与企业年报公示信息抽查同步进行，一般情况下每年1次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7月—11月</w:t>
                  </w:r>
                </w:p>
              </w:tc>
              <w:tc>
                <w:tcPr>
                  <w:tcW w:w="16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省级、市级、县级市场监管部门</w:t>
                  </w: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集体商标、证明商标（含地理标志）使用行为的检查</w:t>
                  </w:r>
                </w:p>
              </w:tc>
              <w:tc>
                <w:tcPr>
                  <w:tcW w:w="30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商标印制行为的检查</w:t>
                  </w:r>
                </w:p>
              </w:tc>
              <w:tc>
                <w:tcPr>
                  <w:tcW w:w="30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41009" w:rsidTr="00A639AB">
              <w:trPr>
                <w:trHeight w:val="567"/>
                <w:jc w:val="center"/>
              </w:trPr>
              <w:tc>
                <w:tcPr>
                  <w:tcW w:w="6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22</w:t>
                  </w:r>
                </w:p>
              </w:tc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商标代理行为</w:t>
                  </w: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br/>
                    <w:t>的检查</w:t>
                  </w:r>
                </w:p>
              </w:tc>
              <w:tc>
                <w:tcPr>
                  <w:tcW w:w="38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left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商标代理行为的检查</w:t>
                  </w:r>
                </w:p>
              </w:tc>
              <w:tc>
                <w:tcPr>
                  <w:tcW w:w="3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经市场监管部门登记从事商标代理业务的服务机构（所）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一般检查事项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商标代理机构抽查比例为7%；1次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7月—11月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1009" w:rsidRDefault="00341009" w:rsidP="00A639AB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hAnsi="宋体" w:cs="仿宋_GB2312"/>
                      <w:color w:val="000000"/>
                      <w:sz w:val="20"/>
                      <w:szCs w:val="20"/>
                    </w:rPr>
                  </w:pPr>
                  <w:r>
                    <w:rPr>
                      <w:rFonts w:hAnsi="宋体" w:cs="仿宋_GB2312" w:hint="eastAsia"/>
                      <w:color w:val="000000"/>
                      <w:kern w:val="0"/>
                      <w:sz w:val="20"/>
                      <w:szCs w:val="20"/>
                      <w:lang/>
                    </w:rPr>
                    <w:t>省级、市级、县级市场监管部门</w:t>
                  </w:r>
                </w:p>
              </w:tc>
            </w:tr>
          </w:tbl>
          <w:p w:rsidR="00341009" w:rsidRDefault="00341009" w:rsidP="00341009"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spacing w:line="20" w:lineRule="exact"/>
              <w:jc w:val="left"/>
              <w:rPr>
                <w:rFonts w:hAnsi="宋体"/>
                <w:szCs w:val="30"/>
              </w:rPr>
            </w:pPr>
            <w:r w:rsidRPr="009E3CA3">
              <w:rPr>
                <w:sz w:val="28"/>
              </w:rPr>
              <w:pict>
                <v:shape id="_x0000_s1031" type="#_x0000_t202" style="position:absolute;margin-left:-77.95pt;margin-top:-390.8pt;width:37pt;height:43.25pt;z-index:251665408;mso-position-horizontal-relative:text;mso-position-vertical-relative:text" o:gfxdata="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Wb8AtsAAAAOAQAADwAAAAAAAAABACAAAAAiAAAAZHJzL2Rvd25yZXYueG1sUEsBAhQAFAAAAAgA&#10;h07iQABzFAAiAgAAGwQAAA4AAAAAAAAAAQAgAAAAKgEAAGRycy9lMm9Eb2MueG1sUEsFBgAAAAAG&#10;AAYAWQEAAL4FAAAAAA==&#10;" filled="f" stroked="f" strokeweight=".5pt">
                  <v:textbox style="layout-flow:vertical-ideographic;mso-next-textbox:#_x0000_s1031">
                    <w:txbxContent>
                      <w:p w:rsidR="00341009" w:rsidRDefault="00341009" w:rsidP="00341009">
                        <w:r>
                          <w:rPr>
                            <w:rFonts w:asciiTheme="minorEastAsia" w:eastAsiaTheme="minorEastAsia" w:hAnsiTheme="minorEastAsia" w:cstheme="minorEastAsia" w:hint="eastAsia"/>
                            <w:sz w:val="28"/>
                            <w:szCs w:val="28"/>
                          </w:rPr>
                          <w:t>- 8 -</w:t>
                        </w:r>
                      </w:p>
                    </w:txbxContent>
                  </v:textbox>
                </v:shape>
              </w:pict>
            </w:r>
          </w:p>
          <w:p w:rsidR="00A51D11" w:rsidRDefault="00A51D11" w:rsidP="00E17322">
            <w:pPr>
              <w:widowControl/>
              <w:spacing w:beforeLines="50" w:afterLines="50"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</w:p>
        </w:tc>
      </w:tr>
    </w:tbl>
    <w:p w:rsidR="00A51D11" w:rsidRDefault="00402D05">
      <w:pPr>
        <w:tabs>
          <w:tab w:val="left" w:pos="790"/>
          <w:tab w:val="left" w:pos="1264"/>
        </w:tabs>
        <w:overflowPunct w:val="0"/>
        <w:adjustRightInd w:val="0"/>
        <w:snapToGrid w:val="0"/>
        <w:spacing w:line="20" w:lineRule="exact"/>
        <w:jc w:val="left"/>
        <w:rPr>
          <w:rFonts w:hAnsi="宋体"/>
          <w:szCs w:val="30"/>
        </w:rPr>
      </w:pPr>
      <w:r>
        <w:rPr>
          <w:rFonts w:hAnsi="宋体" w:hint="eastAsia"/>
          <w:szCs w:val="30"/>
        </w:rPr>
        <w:lastRenderedPageBreak/>
        <w:t xml:space="preserve"> </w:t>
      </w:r>
    </w:p>
    <w:sectPr w:rsidR="00A51D11" w:rsidSect="00A51D11">
      <w:footerReference w:type="default" r:id="rId11"/>
      <w:pgSz w:w="16838" w:h="11906" w:orient="landscape"/>
      <w:pgMar w:top="1417" w:right="1701" w:bottom="1417" w:left="1701" w:header="851" w:footer="992" w:gutter="0"/>
      <w:pgNumType w:fmt="numberInDash"/>
      <w:cols w:space="0"/>
      <w:docGrid w:type="lines" w:linePitch="4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D05" w:rsidRDefault="00402D05" w:rsidP="00A51D11">
      <w:r>
        <w:separator/>
      </w:r>
    </w:p>
  </w:endnote>
  <w:endnote w:type="continuationSeparator" w:id="0">
    <w:p w:rsidR="00402D05" w:rsidRDefault="00402D05" w:rsidP="00A51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D11" w:rsidRDefault="00A51D1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7564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 filled="f" stroked="f" strokeweight=".5pt">
          <v:textbox style="mso-fit-shape-to-text:t" inset="0,0,0,0">
            <w:txbxContent>
              <w:p w:rsidR="00A51D11" w:rsidRDefault="00A51D11">
                <w:pPr>
                  <w:pStyle w:val="a3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402D05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9966DE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22" w:type="dxa"/>
      <w:jc w:val="center"/>
      <w:tblBorders>
        <w:top w:val="thickThinMediumGap" w:sz="24" w:space="0" w:color="FF0000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9622"/>
    </w:tblGrid>
    <w:tr w:rsidR="00A51D11">
      <w:trPr>
        <w:trHeight w:val="91"/>
        <w:jc w:val="center"/>
      </w:trPr>
      <w:tc>
        <w:tcPr>
          <w:tcW w:w="9622" w:type="dxa"/>
        </w:tcPr>
        <w:p w:rsidR="00A51D11" w:rsidRDefault="00A51D11" w:rsidP="00E17322">
          <w:pPr>
            <w:pStyle w:val="a3"/>
            <w:tabs>
              <w:tab w:val="left" w:pos="1076"/>
              <w:tab w:val="left" w:pos="9280"/>
            </w:tabs>
            <w:spacing w:line="40" w:lineRule="exact"/>
            <w:ind w:leftChars="-20" w:left="-1" w:hangingChars="35" w:hanging="63"/>
            <w:jc w:val="both"/>
          </w:pPr>
          <w: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1" type="#_x0000_t202" style="position:absolute;left:0;text-align:left;margin-left:104pt;margin-top:0;width:2in;height:2in;z-index:25167462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      <v:textbox style="mso-fit-shape-to-text:t" inset="0,0,0,0">
                  <w:txbxContent>
                    <w:p w:rsidR="00A51D11" w:rsidRDefault="00A51D11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 w:rsidR="00402D05">
                        <w:rPr>
                          <w:rFonts w:hint="eastAsia"/>
                        </w:rPr>
                        <w:instrText xml:space="preserve"> PAGE  \* MERGEFORMAT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 w:rsidR="00402D05">
                        <w:rPr>
                          <w:rFonts w:hint="eastAsia"/>
                        </w:rPr>
                        <w:t>- 1 -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w:r>
          <w:r>
            <w:pict>
              <v:shape id="_x0000_s2050" type="#_x0000_t202" style="position:absolute;left:0;text-align:left;margin-left:104pt;margin-top:0;width:2in;height:2in;z-index:251672576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O&#10;EqiTtwEAAFQDAAAOAAAAAAAAAAEAIAAAAB4BAABkcnMvZTJvRG9jLnhtbFBLBQYAAAAABgAGAFkB&#10;AABHBQAAAAA=&#10;" filled="f" stroked="f">
                <v:textbox style="mso-fit-shape-to-text:t" inset="0,0,0,0">
                  <w:txbxContent>
                    <w:p w:rsidR="00A51D11" w:rsidRDefault="00A51D11">
                      <w:pPr>
                        <w:snapToGrid w:val="0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w:r>
        </w:p>
      </w:tc>
    </w:tr>
  </w:tbl>
  <w:p w:rsidR="00A51D11" w:rsidRDefault="00A51D1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D11" w:rsidRDefault="00A51D1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D05" w:rsidRDefault="00402D05" w:rsidP="00A51D11">
      <w:r>
        <w:separator/>
      </w:r>
    </w:p>
  </w:footnote>
  <w:footnote w:type="continuationSeparator" w:id="0">
    <w:p w:rsidR="00402D05" w:rsidRDefault="00402D05" w:rsidP="00A51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D11" w:rsidRDefault="00A51D11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226"/>
  <w:displayVerticalDrawingGridEvery w:val="2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20B78"/>
    <w:rsid w:val="000222E4"/>
    <w:rsid w:val="00040A76"/>
    <w:rsid w:val="00043D1E"/>
    <w:rsid w:val="00062B48"/>
    <w:rsid w:val="00085031"/>
    <w:rsid w:val="000E3803"/>
    <w:rsid w:val="00111A80"/>
    <w:rsid w:val="00123DCA"/>
    <w:rsid w:val="00131DC6"/>
    <w:rsid w:val="00172A27"/>
    <w:rsid w:val="001923B1"/>
    <w:rsid w:val="001A28CD"/>
    <w:rsid w:val="001C4154"/>
    <w:rsid w:val="001D06E3"/>
    <w:rsid w:val="001F09FB"/>
    <w:rsid w:val="002161A9"/>
    <w:rsid w:val="00244612"/>
    <w:rsid w:val="00251F60"/>
    <w:rsid w:val="00275A62"/>
    <w:rsid w:val="002A3E4A"/>
    <w:rsid w:val="002B2682"/>
    <w:rsid w:val="002B44AA"/>
    <w:rsid w:val="002C2EDE"/>
    <w:rsid w:val="00340C46"/>
    <w:rsid w:val="00341009"/>
    <w:rsid w:val="0034413F"/>
    <w:rsid w:val="0037218C"/>
    <w:rsid w:val="003871D2"/>
    <w:rsid w:val="003A39F7"/>
    <w:rsid w:val="00402D05"/>
    <w:rsid w:val="00435B56"/>
    <w:rsid w:val="004862F3"/>
    <w:rsid w:val="004A7316"/>
    <w:rsid w:val="00562526"/>
    <w:rsid w:val="00576762"/>
    <w:rsid w:val="00650A37"/>
    <w:rsid w:val="006D1750"/>
    <w:rsid w:val="00722D44"/>
    <w:rsid w:val="00735994"/>
    <w:rsid w:val="00736172"/>
    <w:rsid w:val="007536C8"/>
    <w:rsid w:val="00795F32"/>
    <w:rsid w:val="007E5C91"/>
    <w:rsid w:val="007F5BBA"/>
    <w:rsid w:val="0080141F"/>
    <w:rsid w:val="0089315F"/>
    <w:rsid w:val="008C7E67"/>
    <w:rsid w:val="00944F0F"/>
    <w:rsid w:val="009966DE"/>
    <w:rsid w:val="009A47FB"/>
    <w:rsid w:val="009E4858"/>
    <w:rsid w:val="00A02163"/>
    <w:rsid w:val="00A13930"/>
    <w:rsid w:val="00A51D11"/>
    <w:rsid w:val="00A754BE"/>
    <w:rsid w:val="00AB4024"/>
    <w:rsid w:val="00AB4EFA"/>
    <w:rsid w:val="00AD7A9C"/>
    <w:rsid w:val="00B25F92"/>
    <w:rsid w:val="00B30144"/>
    <w:rsid w:val="00B63560"/>
    <w:rsid w:val="00B6612A"/>
    <w:rsid w:val="00BB3D88"/>
    <w:rsid w:val="00BF09BB"/>
    <w:rsid w:val="00C166F5"/>
    <w:rsid w:val="00C4489C"/>
    <w:rsid w:val="00CA1922"/>
    <w:rsid w:val="00CE5528"/>
    <w:rsid w:val="00CF7892"/>
    <w:rsid w:val="00D9114F"/>
    <w:rsid w:val="00D9685A"/>
    <w:rsid w:val="00DF67C9"/>
    <w:rsid w:val="00E10AD1"/>
    <w:rsid w:val="00E17322"/>
    <w:rsid w:val="00E47BF0"/>
    <w:rsid w:val="00E54817"/>
    <w:rsid w:val="00E64B19"/>
    <w:rsid w:val="00F66A7F"/>
    <w:rsid w:val="00F86D1D"/>
    <w:rsid w:val="00F90087"/>
    <w:rsid w:val="00FB73FC"/>
    <w:rsid w:val="01DB7FA4"/>
    <w:rsid w:val="0391020F"/>
    <w:rsid w:val="04581D89"/>
    <w:rsid w:val="052328E8"/>
    <w:rsid w:val="05E2742E"/>
    <w:rsid w:val="07D2644A"/>
    <w:rsid w:val="080D17FF"/>
    <w:rsid w:val="0A046A0F"/>
    <w:rsid w:val="0B91467E"/>
    <w:rsid w:val="135E6AFB"/>
    <w:rsid w:val="14295940"/>
    <w:rsid w:val="145116C7"/>
    <w:rsid w:val="15BA7322"/>
    <w:rsid w:val="15E359AF"/>
    <w:rsid w:val="160459FD"/>
    <w:rsid w:val="163468E5"/>
    <w:rsid w:val="16950CF8"/>
    <w:rsid w:val="16DE1BB1"/>
    <w:rsid w:val="188C2BBE"/>
    <w:rsid w:val="1923476C"/>
    <w:rsid w:val="1AC21E4C"/>
    <w:rsid w:val="1B5C13F8"/>
    <w:rsid w:val="1F3547A9"/>
    <w:rsid w:val="1F8259A1"/>
    <w:rsid w:val="211716E7"/>
    <w:rsid w:val="24661869"/>
    <w:rsid w:val="246D114F"/>
    <w:rsid w:val="24894CE8"/>
    <w:rsid w:val="24901C5F"/>
    <w:rsid w:val="25BB3450"/>
    <w:rsid w:val="25D20850"/>
    <w:rsid w:val="26B50631"/>
    <w:rsid w:val="279931EC"/>
    <w:rsid w:val="27AC4315"/>
    <w:rsid w:val="29AF5B9E"/>
    <w:rsid w:val="2CAB5162"/>
    <w:rsid w:val="2E777DB4"/>
    <w:rsid w:val="3166408A"/>
    <w:rsid w:val="350C2BCF"/>
    <w:rsid w:val="36130312"/>
    <w:rsid w:val="3AF85BBA"/>
    <w:rsid w:val="3B992A2C"/>
    <w:rsid w:val="3D3F09C1"/>
    <w:rsid w:val="3E3E2CBC"/>
    <w:rsid w:val="3E670DF4"/>
    <w:rsid w:val="3F5F12CA"/>
    <w:rsid w:val="3F6C6E79"/>
    <w:rsid w:val="3FC23C94"/>
    <w:rsid w:val="40CB548A"/>
    <w:rsid w:val="459812B3"/>
    <w:rsid w:val="4799224B"/>
    <w:rsid w:val="4A28443F"/>
    <w:rsid w:val="4C4234C3"/>
    <w:rsid w:val="4D521D11"/>
    <w:rsid w:val="4FF2685E"/>
    <w:rsid w:val="51447B3B"/>
    <w:rsid w:val="53646940"/>
    <w:rsid w:val="540010BC"/>
    <w:rsid w:val="543C4CDC"/>
    <w:rsid w:val="544574CE"/>
    <w:rsid w:val="561B0716"/>
    <w:rsid w:val="5622073C"/>
    <w:rsid w:val="58FE6A45"/>
    <w:rsid w:val="5A1671DA"/>
    <w:rsid w:val="5A510A3F"/>
    <w:rsid w:val="611B1EE2"/>
    <w:rsid w:val="61F82C28"/>
    <w:rsid w:val="6353038A"/>
    <w:rsid w:val="65C8370B"/>
    <w:rsid w:val="66F3537F"/>
    <w:rsid w:val="6BFA6B1B"/>
    <w:rsid w:val="6C655C94"/>
    <w:rsid w:val="6CE35767"/>
    <w:rsid w:val="6F18067A"/>
    <w:rsid w:val="705A07B6"/>
    <w:rsid w:val="7169217A"/>
    <w:rsid w:val="7237290E"/>
    <w:rsid w:val="758D2A15"/>
    <w:rsid w:val="75A7717A"/>
    <w:rsid w:val="75FE76A5"/>
    <w:rsid w:val="76556559"/>
    <w:rsid w:val="787E2CB4"/>
    <w:rsid w:val="7B513547"/>
    <w:rsid w:val="7D16297B"/>
    <w:rsid w:val="7DA53092"/>
    <w:rsid w:val="7DC8496C"/>
    <w:rsid w:val="7E8562F1"/>
    <w:rsid w:val="7EA1787F"/>
    <w:rsid w:val="7FD6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11"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51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51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A51D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51D11"/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51D11"/>
    <w:rPr>
      <w:rFonts w:ascii="仿宋_GB2312" w:eastAsia="仿宋_GB2312" w:hAnsi="Times New Roman" w:cs="Times New Roman"/>
      <w:sz w:val="18"/>
      <w:szCs w:val="18"/>
    </w:rPr>
  </w:style>
  <w:style w:type="character" w:customStyle="1" w:styleId="font51">
    <w:name w:val="font51"/>
    <w:basedOn w:val="a0"/>
    <w:qFormat/>
    <w:rsid w:val="00A51D11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A51D11"/>
    <w:rPr>
      <w:rFonts w:ascii="仿宋_GB2312" w:eastAsia="仿宋_GB2312" w:cs="仿宋_GB2312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0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62F9C1-2989-49B2-804C-F9DC8357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543</Words>
  <Characters>3097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sdgs</dc:creator>
  <cp:lastModifiedBy>Administrator</cp:lastModifiedBy>
  <cp:revision>6</cp:revision>
  <cp:lastPrinted>2020-08-28T07:09:00Z</cp:lastPrinted>
  <dcterms:created xsi:type="dcterms:W3CDTF">2020-08-28T02:44:00Z</dcterms:created>
  <dcterms:modified xsi:type="dcterms:W3CDTF">2020-08-28T07:45:00Z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