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pStyle w:val="2"/>
        <w:spacing w:before="164"/>
        <w:ind w:left="1765"/>
      </w:pPr>
      <w:r>
        <w:t>高青县食品安全事故应急预案</w:t>
      </w:r>
    </w:p>
    <w:p>
      <w:pPr>
        <w:pStyle w:val="3"/>
        <w:spacing w:before="11"/>
        <w:ind w:left="0"/>
        <w:rPr>
          <w:b/>
          <w:sz w:val="52"/>
        </w:rPr>
      </w:pPr>
    </w:p>
    <w:p>
      <w:pPr>
        <w:pStyle w:val="7"/>
        <w:numPr>
          <w:ilvl w:val="0"/>
          <w:numId w:val="1"/>
        </w:numPr>
        <w:tabs>
          <w:tab w:val="left" w:pos="1247"/>
        </w:tabs>
        <w:spacing w:before="0" w:after="0" w:line="240" w:lineRule="auto"/>
        <w:ind w:left="1246" w:right="0" w:hanging="320"/>
        <w:jc w:val="both"/>
        <w:rPr>
          <w:rFonts w:hint="eastAsia" w:ascii="黑体" w:eastAsia="黑体"/>
          <w:sz w:val="32"/>
        </w:rPr>
      </w:pPr>
      <w:r>
        <w:rPr>
          <w:rFonts w:hint="eastAsia" w:ascii="黑体" w:eastAsia="黑体"/>
          <w:sz w:val="32"/>
        </w:rPr>
        <w:t>总 则</w:t>
      </w:r>
    </w:p>
    <w:p>
      <w:pPr>
        <w:pStyle w:val="7"/>
        <w:numPr>
          <w:ilvl w:val="1"/>
          <w:numId w:val="1"/>
        </w:numPr>
        <w:tabs>
          <w:tab w:val="left" w:pos="1487"/>
        </w:tabs>
        <w:spacing w:before="149" w:after="0" w:line="240" w:lineRule="auto"/>
        <w:ind w:left="1486" w:right="0" w:hanging="560"/>
        <w:jc w:val="both"/>
        <w:rPr>
          <w:sz w:val="32"/>
        </w:rPr>
      </w:pPr>
      <w:r>
        <w:rPr>
          <w:sz w:val="32"/>
        </w:rPr>
        <w:t>编制目的</w:t>
      </w:r>
    </w:p>
    <w:p>
      <w:pPr>
        <w:pStyle w:val="3"/>
        <w:spacing w:before="152" w:line="328" w:lineRule="auto"/>
        <w:ind w:right="125" w:firstLine="640"/>
        <w:jc w:val="both"/>
      </w:pPr>
      <w:r>
        <w:rPr>
          <w:spacing w:val="2"/>
        </w:rPr>
        <w:t>建立健全应对食品安全事故的应急体系和运行机制，规范</w:t>
      </w:r>
      <w:r>
        <w:t>和指导应急处置工作，有效预防、积极应对和及时控制食品安全事故，高效组织应急处理工作，最大限度地减少食品安全事</w:t>
      </w:r>
      <w:r>
        <w:rPr>
          <w:spacing w:val="-8"/>
        </w:rPr>
        <w:t>故危害，保障公众健康和生命安全，维护正常的社会经济秩序。</w:t>
      </w:r>
    </w:p>
    <w:p>
      <w:pPr>
        <w:pStyle w:val="7"/>
        <w:numPr>
          <w:ilvl w:val="1"/>
          <w:numId w:val="1"/>
        </w:numPr>
        <w:tabs>
          <w:tab w:val="left" w:pos="1487"/>
        </w:tabs>
        <w:spacing w:before="0" w:after="0" w:line="402" w:lineRule="exact"/>
        <w:ind w:left="1486" w:right="0" w:hanging="560"/>
        <w:jc w:val="both"/>
        <w:rPr>
          <w:sz w:val="32"/>
        </w:rPr>
      </w:pPr>
      <w:r>
        <w:rPr>
          <w:sz w:val="32"/>
        </w:rPr>
        <w:t>编制依据</w:t>
      </w:r>
    </w:p>
    <w:p>
      <w:pPr>
        <w:pStyle w:val="3"/>
        <w:spacing w:before="149" w:line="328" w:lineRule="auto"/>
        <w:ind w:right="128" w:firstLine="640"/>
        <w:jc w:val="both"/>
      </w:pPr>
      <w:r>
        <w:rPr>
          <w:spacing w:val="-6"/>
        </w:rPr>
        <w:t>依据《中华人民共和国突发事件应对法</w:t>
      </w:r>
      <w:r>
        <w:rPr>
          <w:spacing w:val="-24"/>
        </w:rPr>
        <w:t>》《中华人民共和国</w:t>
      </w:r>
      <w:r>
        <w:rPr>
          <w:spacing w:val="-17"/>
        </w:rPr>
        <w:t>食品安全法》《中华人民共和国农产品质量安全法》《中华人民</w:t>
      </w:r>
      <w:r>
        <w:rPr>
          <w:spacing w:val="-11"/>
        </w:rPr>
        <w:t>共和国食品安全法实施条例》《山东省食品安全事故应急预案》</w:t>
      </w:r>
    </w:p>
    <w:p>
      <w:pPr>
        <w:pStyle w:val="3"/>
        <w:spacing w:line="405" w:lineRule="exact"/>
      </w:pPr>
      <w:r>
        <w:t>《淄博市突发事件总体应急预案》等。</w:t>
      </w:r>
    </w:p>
    <w:p>
      <w:pPr>
        <w:pStyle w:val="7"/>
        <w:numPr>
          <w:ilvl w:val="1"/>
          <w:numId w:val="1"/>
        </w:numPr>
        <w:tabs>
          <w:tab w:val="left" w:pos="1487"/>
        </w:tabs>
        <w:spacing w:before="151" w:after="0" w:line="240" w:lineRule="auto"/>
        <w:ind w:left="1486" w:right="0" w:hanging="560"/>
        <w:jc w:val="left"/>
        <w:rPr>
          <w:sz w:val="32"/>
        </w:rPr>
      </w:pPr>
      <w:r>
        <w:rPr>
          <w:sz w:val="32"/>
        </w:rPr>
        <w:t>适用范围</w:t>
      </w:r>
    </w:p>
    <w:p>
      <w:pPr>
        <w:pStyle w:val="3"/>
        <w:spacing w:before="150" w:line="328" w:lineRule="auto"/>
        <w:ind w:right="125" w:firstLine="640"/>
      </w:pPr>
      <w:r>
        <w:rPr>
          <w:spacing w:val="2"/>
        </w:rPr>
        <w:t>本预案适用于高青县行政区域内食用农产品在种植养殖以</w:t>
      </w:r>
      <w:r>
        <w:t>及食品生产加工、贮存、运输、流通和餐饮服务等环节发生的</w:t>
      </w:r>
      <w:r>
        <w:rPr>
          <w:spacing w:val="5"/>
        </w:rPr>
        <w:t>一般</w:t>
      </w:r>
      <w:r>
        <w:rPr>
          <w:spacing w:val="3"/>
        </w:rPr>
        <w:t>（</w:t>
      </w:r>
      <w:r>
        <w:rPr>
          <w:spacing w:val="4"/>
        </w:rPr>
        <w:t>Ⅳ级</w:t>
      </w:r>
      <w:r>
        <w:rPr>
          <w:spacing w:val="5"/>
        </w:rPr>
        <w:t>）</w:t>
      </w:r>
      <w:r>
        <w:t>食品安全事故的应对工作。指导全县食品安全事</w:t>
      </w:r>
      <w:r>
        <w:rPr>
          <w:spacing w:val="-7"/>
          <w:w w:val="95"/>
        </w:rPr>
        <w:t xml:space="preserve">故应对工作。其中，达到Ⅲ级及以上食品安全事故的，在国家、 </w:t>
      </w:r>
      <w:r>
        <w:rPr>
          <w:spacing w:val="-7"/>
        </w:rPr>
        <w:t>省、市有关应急指挥机构领导下开展应急处置工作。</w:t>
      </w:r>
    </w:p>
    <w:p>
      <w:pPr>
        <w:pStyle w:val="7"/>
        <w:numPr>
          <w:ilvl w:val="1"/>
          <w:numId w:val="1"/>
        </w:numPr>
        <w:tabs>
          <w:tab w:val="left" w:pos="1487"/>
        </w:tabs>
        <w:spacing w:before="0" w:after="0" w:line="402" w:lineRule="exact"/>
        <w:ind w:left="1486" w:right="0" w:hanging="560"/>
        <w:jc w:val="left"/>
        <w:rPr>
          <w:sz w:val="32"/>
        </w:rPr>
      </w:pPr>
      <w:r>
        <w:rPr>
          <w:sz w:val="32"/>
        </w:rPr>
        <w:t>处置原则</w:t>
      </w:r>
    </w:p>
    <w:p>
      <w:pPr>
        <w:pStyle w:val="7"/>
        <w:numPr>
          <w:ilvl w:val="0"/>
          <w:numId w:val="2"/>
        </w:numPr>
        <w:tabs>
          <w:tab w:val="left" w:pos="1728"/>
        </w:tabs>
        <w:spacing w:before="149" w:after="0" w:line="328" w:lineRule="auto"/>
        <w:ind w:left="286" w:right="286" w:firstLine="640"/>
        <w:jc w:val="both"/>
        <w:rPr>
          <w:sz w:val="32"/>
        </w:rPr>
      </w:pPr>
      <w:r>
        <w:rPr>
          <w:spacing w:val="-7"/>
          <w:sz w:val="32"/>
        </w:rPr>
        <w:t>以人为本，减少危害。把保障公众健康和生命安全</w:t>
      </w:r>
      <w:r>
        <w:rPr>
          <w:w w:val="95"/>
          <w:sz w:val="32"/>
        </w:rPr>
        <w:t xml:space="preserve">作为应急处置的首要任务，最大限度地减少食品安全事故造成 </w:t>
      </w:r>
      <w:r>
        <w:rPr>
          <w:spacing w:val="-4"/>
          <w:sz w:val="32"/>
        </w:rPr>
        <w:t>的人员伤亡和健康损害。</w:t>
      </w:r>
    </w:p>
    <w:p>
      <w:pPr>
        <w:spacing w:after="0" w:line="328" w:lineRule="auto"/>
        <w:jc w:val="both"/>
        <w:rPr>
          <w:sz w:val="32"/>
        </w:rPr>
        <w:sectPr>
          <w:footerReference r:id="rId5" w:type="default"/>
          <w:type w:val="continuous"/>
          <w:pgSz w:w="11910" w:h="16840"/>
          <w:pgMar w:top="1580" w:right="1300" w:bottom="1400" w:left="1300" w:header="720" w:footer="1202" w:gutter="0"/>
          <w:pgNumType w:start="368"/>
          <w:cols w:space="720" w:num="1"/>
        </w:sectPr>
      </w:pPr>
    </w:p>
    <w:p>
      <w:pPr>
        <w:pStyle w:val="3"/>
        <w:ind w:left="0"/>
        <w:rPr>
          <w:sz w:val="20"/>
        </w:rPr>
      </w:pPr>
    </w:p>
    <w:p>
      <w:pPr>
        <w:pStyle w:val="3"/>
        <w:spacing w:before="1"/>
        <w:ind w:left="0"/>
        <w:rPr>
          <w:sz w:val="15"/>
        </w:rPr>
      </w:pPr>
    </w:p>
    <w:p>
      <w:pPr>
        <w:pStyle w:val="7"/>
        <w:numPr>
          <w:ilvl w:val="0"/>
          <w:numId w:val="2"/>
        </w:numPr>
        <w:tabs>
          <w:tab w:val="left" w:pos="1728"/>
        </w:tabs>
        <w:spacing w:before="64" w:after="0" w:line="328" w:lineRule="auto"/>
        <w:ind w:left="927" w:right="284" w:firstLine="0"/>
        <w:jc w:val="left"/>
        <w:rPr>
          <w:sz w:val="32"/>
        </w:rPr>
      </w:pPr>
      <w:r>
        <w:rPr>
          <w:sz w:val="32"/>
        </w:rPr>
        <w:t>统一领导，分级负责。按照</w:t>
      </w:r>
      <w:r>
        <w:rPr>
          <w:rFonts w:ascii="Times New Roman" w:hAnsi="Times New Roman" w:eastAsia="Times New Roman"/>
          <w:sz w:val="32"/>
        </w:rPr>
        <w:t>“</w:t>
      </w:r>
      <w:r>
        <w:rPr>
          <w:sz w:val="32"/>
        </w:rPr>
        <w:t>统一领导、综合协调、</w:t>
      </w:r>
      <w:r>
        <w:rPr>
          <w:spacing w:val="-6"/>
          <w:sz w:val="32"/>
        </w:rPr>
        <w:t>分类管理、分级负责、属地管理为主</w:t>
      </w:r>
      <w:r>
        <w:rPr>
          <w:rFonts w:ascii="Times New Roman" w:hAnsi="Times New Roman" w:eastAsia="Times New Roman"/>
          <w:sz w:val="32"/>
        </w:rPr>
        <w:t>”</w:t>
      </w:r>
      <w:r>
        <w:rPr>
          <w:spacing w:val="-2"/>
          <w:sz w:val="32"/>
        </w:rPr>
        <w:t>的应急管理体制，建</w:t>
      </w:r>
    </w:p>
    <w:p>
      <w:pPr>
        <w:pStyle w:val="3"/>
        <w:spacing w:line="407" w:lineRule="exact"/>
      </w:pPr>
      <w:r>
        <w:t>立快速反应、协同应对的食品安全事故应急机制。</w:t>
      </w:r>
    </w:p>
    <w:p>
      <w:pPr>
        <w:pStyle w:val="7"/>
        <w:numPr>
          <w:ilvl w:val="0"/>
          <w:numId w:val="2"/>
        </w:numPr>
        <w:tabs>
          <w:tab w:val="left" w:pos="1728"/>
        </w:tabs>
        <w:spacing w:before="150" w:after="0" w:line="328" w:lineRule="auto"/>
        <w:ind w:left="286" w:right="286" w:firstLine="640"/>
        <w:jc w:val="both"/>
        <w:rPr>
          <w:sz w:val="32"/>
        </w:rPr>
      </w:pPr>
      <w:r>
        <w:rPr>
          <w:spacing w:val="-7"/>
          <w:sz w:val="32"/>
        </w:rPr>
        <w:t>科学评估，依法处置。优化和整合食品安全监测检</w:t>
      </w:r>
      <w:r>
        <w:rPr>
          <w:w w:val="95"/>
          <w:sz w:val="32"/>
        </w:rPr>
        <w:t xml:space="preserve">验资源，有效使用食品安全风险监测、评估和预警等科学手段 </w:t>
      </w:r>
      <w:r>
        <w:rPr>
          <w:sz w:val="32"/>
        </w:rPr>
        <w:t>。充分发挥专业队伍的作用，提高依法处置和快速应对食品安</w:t>
      </w:r>
      <w:r>
        <w:rPr>
          <w:spacing w:val="-4"/>
          <w:sz w:val="32"/>
        </w:rPr>
        <w:t>全事故的水平和能力。</w:t>
      </w:r>
    </w:p>
    <w:p>
      <w:pPr>
        <w:pStyle w:val="7"/>
        <w:numPr>
          <w:ilvl w:val="0"/>
          <w:numId w:val="2"/>
        </w:numPr>
        <w:tabs>
          <w:tab w:val="left" w:pos="1728"/>
        </w:tabs>
        <w:spacing w:before="0" w:after="0" w:line="328" w:lineRule="auto"/>
        <w:ind w:left="286" w:right="125" w:firstLine="640"/>
        <w:jc w:val="left"/>
        <w:rPr>
          <w:sz w:val="32"/>
        </w:rPr>
      </w:pPr>
      <w:r>
        <w:rPr>
          <w:spacing w:val="-6"/>
          <w:sz w:val="32"/>
        </w:rPr>
        <w:t>居安思危，预防为主。坚持预防与应急相结合，常态</w:t>
      </w:r>
      <w:r>
        <w:rPr>
          <w:sz w:val="32"/>
        </w:rPr>
        <w:t>与非常态相结合，做好应急准备，落实各项防范措施，防患于未然。建立健全日常管理制度和信息报告制度，加强食品安全</w:t>
      </w:r>
      <w:r>
        <w:rPr>
          <w:spacing w:val="-9"/>
          <w:w w:val="95"/>
          <w:sz w:val="32"/>
        </w:rPr>
        <w:t xml:space="preserve">风险监测、评估和预警，实现食品安全信息的互联互通和共享； </w:t>
      </w:r>
      <w:r>
        <w:rPr>
          <w:sz w:val="32"/>
        </w:rPr>
        <w:t>加强宣教培训，提高公众自我防范和应对食品安全事故的意识和能力。</w:t>
      </w:r>
    </w:p>
    <w:p>
      <w:pPr>
        <w:pStyle w:val="7"/>
        <w:numPr>
          <w:ilvl w:val="1"/>
          <w:numId w:val="1"/>
        </w:numPr>
        <w:tabs>
          <w:tab w:val="left" w:pos="1487"/>
        </w:tabs>
        <w:spacing w:before="0" w:after="0" w:line="400" w:lineRule="exact"/>
        <w:ind w:left="1486" w:right="0" w:hanging="560"/>
        <w:jc w:val="left"/>
        <w:rPr>
          <w:sz w:val="32"/>
        </w:rPr>
      </w:pPr>
      <w:r>
        <w:rPr>
          <w:sz w:val="32"/>
        </w:rPr>
        <w:t>预案体系</w:t>
      </w:r>
    </w:p>
    <w:p>
      <w:pPr>
        <w:pStyle w:val="3"/>
        <w:spacing w:before="144" w:line="328" w:lineRule="auto"/>
        <w:ind w:right="286" w:firstLine="640"/>
        <w:jc w:val="both"/>
      </w:pPr>
      <w:r>
        <w:rPr>
          <w:spacing w:val="2"/>
          <w:w w:val="95"/>
        </w:rPr>
        <w:t>全县食品安全应急预案体系分县和镇</w:t>
      </w:r>
      <w:r>
        <w:rPr>
          <w:spacing w:val="7"/>
          <w:w w:val="95"/>
        </w:rPr>
        <w:t>（</w:t>
      </w:r>
      <w:r>
        <w:rPr>
          <w:spacing w:val="2"/>
          <w:w w:val="95"/>
        </w:rPr>
        <w:t>街道</w:t>
      </w:r>
      <w:r>
        <w:rPr>
          <w:spacing w:val="5"/>
          <w:w w:val="95"/>
        </w:rPr>
        <w:t>）</w:t>
      </w:r>
      <w:r>
        <w:rPr>
          <w:spacing w:val="1"/>
          <w:w w:val="95"/>
        </w:rPr>
        <w:t xml:space="preserve">两级管理， </w:t>
      </w:r>
      <w:r>
        <w:t>由本预案、相关部门食品安全事故应急预案、镇</w:t>
      </w:r>
      <w:r>
        <w:rPr>
          <w:spacing w:val="5"/>
        </w:rPr>
        <w:t>（</w:t>
      </w:r>
      <w:r>
        <w:rPr>
          <w:spacing w:val="2"/>
        </w:rPr>
        <w:t>街道</w:t>
      </w:r>
      <w:r>
        <w:rPr>
          <w:spacing w:val="5"/>
        </w:rPr>
        <w:t>）</w:t>
      </w:r>
      <w:r>
        <w:rPr>
          <w:spacing w:val="-5"/>
        </w:rPr>
        <w:t>食品</w:t>
      </w:r>
      <w:r>
        <w:t>安全事故应急预案、食品生产经营单位应急预案组成。</w:t>
      </w:r>
    </w:p>
    <w:p>
      <w:pPr>
        <w:pStyle w:val="7"/>
        <w:numPr>
          <w:ilvl w:val="0"/>
          <w:numId w:val="1"/>
        </w:numPr>
        <w:tabs>
          <w:tab w:val="left" w:pos="1247"/>
        </w:tabs>
        <w:spacing w:before="0" w:after="0" w:line="405" w:lineRule="exact"/>
        <w:ind w:left="1246" w:right="0" w:hanging="320"/>
        <w:jc w:val="left"/>
        <w:rPr>
          <w:rFonts w:hint="eastAsia" w:ascii="黑体" w:eastAsia="黑体"/>
          <w:sz w:val="32"/>
        </w:rPr>
      </w:pPr>
      <w:r>
        <w:rPr>
          <w:rFonts w:hint="eastAsia" w:ascii="黑体" w:eastAsia="黑体"/>
          <w:sz w:val="32"/>
        </w:rPr>
        <w:t>事故分级</w:t>
      </w:r>
    </w:p>
    <w:p>
      <w:pPr>
        <w:pStyle w:val="3"/>
        <w:spacing w:before="149" w:line="328" w:lineRule="auto"/>
        <w:ind w:right="286" w:firstLine="640"/>
      </w:pPr>
      <w:r>
        <w:rPr>
          <w:spacing w:val="2"/>
          <w:w w:val="95"/>
        </w:rPr>
        <w:t xml:space="preserve">按食品安全事故的性质、危害程度和涉及范围，将食品安 </w:t>
      </w:r>
      <w:r>
        <w:t>全事故分为四级。</w:t>
      </w:r>
    </w:p>
    <w:p>
      <w:pPr>
        <w:pStyle w:val="7"/>
        <w:numPr>
          <w:ilvl w:val="1"/>
          <w:numId w:val="1"/>
        </w:numPr>
        <w:tabs>
          <w:tab w:val="left" w:pos="1487"/>
        </w:tabs>
        <w:spacing w:before="0" w:after="0" w:line="407" w:lineRule="exact"/>
        <w:ind w:left="1486" w:right="0" w:hanging="560"/>
        <w:jc w:val="left"/>
        <w:rPr>
          <w:sz w:val="32"/>
        </w:rPr>
      </w:pPr>
      <w:r>
        <w:rPr>
          <w:sz w:val="32"/>
        </w:rPr>
        <w:t>特别重大食品安全事故（Ⅰ级）</w:t>
      </w:r>
    </w:p>
    <w:p>
      <w:pPr>
        <w:pStyle w:val="3"/>
        <w:spacing w:before="149"/>
        <w:ind w:left="927"/>
      </w:pPr>
      <w:r>
        <w:t>符合下列条件之一者：</w:t>
      </w:r>
    </w:p>
    <w:p>
      <w:pPr>
        <w:pStyle w:val="7"/>
        <w:numPr>
          <w:ilvl w:val="0"/>
          <w:numId w:val="3"/>
        </w:numPr>
        <w:tabs>
          <w:tab w:val="left" w:pos="1728"/>
        </w:tabs>
        <w:spacing w:before="152" w:after="0" w:line="240" w:lineRule="auto"/>
        <w:ind w:left="1727" w:right="0" w:hanging="801"/>
        <w:jc w:val="left"/>
        <w:rPr>
          <w:sz w:val="32"/>
        </w:rPr>
      </w:pPr>
      <w:r>
        <w:rPr>
          <w:spacing w:val="-10"/>
          <w:sz w:val="32"/>
        </w:rPr>
        <w:t xml:space="preserve">事故影响范围涉及 </w:t>
      </w:r>
      <w:r>
        <w:rPr>
          <w:rFonts w:ascii="Times New Roman" w:eastAsia="Times New Roman"/>
          <w:sz w:val="32"/>
        </w:rPr>
        <w:t>2</w:t>
      </w:r>
      <w:r>
        <w:rPr>
          <w:rFonts w:ascii="Times New Roman" w:eastAsia="Times New Roman"/>
          <w:spacing w:val="-1"/>
          <w:sz w:val="32"/>
        </w:rPr>
        <w:t xml:space="preserve"> </w:t>
      </w:r>
      <w:r>
        <w:rPr>
          <w:spacing w:val="-4"/>
          <w:sz w:val="32"/>
        </w:rPr>
        <w:t>个以上省份或国</w:t>
      </w:r>
      <w:r>
        <w:rPr>
          <w:sz w:val="32"/>
        </w:rPr>
        <w:t>（境</w:t>
      </w:r>
      <w:r>
        <w:rPr>
          <w:spacing w:val="-24"/>
          <w:sz w:val="32"/>
        </w:rPr>
        <w:t>）</w:t>
      </w:r>
      <w:r>
        <w:rPr>
          <w:spacing w:val="-19"/>
          <w:sz w:val="32"/>
        </w:rPr>
        <w:t>外</w:t>
      </w:r>
      <w:r>
        <w:rPr>
          <w:spacing w:val="-3"/>
          <w:sz w:val="32"/>
        </w:rPr>
        <w:t>（</w:t>
      </w:r>
      <w:r>
        <w:rPr>
          <w:sz w:val="32"/>
        </w:rPr>
        <w:t>含港</w:t>
      </w:r>
    </w:p>
    <w:p>
      <w:pPr>
        <w:spacing w:after="0" w:line="240" w:lineRule="auto"/>
        <w:jc w:val="left"/>
        <w:rPr>
          <w:sz w:val="32"/>
        </w:rPr>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line="328" w:lineRule="auto"/>
        <w:ind w:right="286" w:firstLine="640"/>
      </w:pPr>
      <w:r>
        <w:rPr>
          <w:spacing w:val="5"/>
          <w:w w:val="95"/>
        </w:rPr>
        <w:t>澳台地区</w:t>
      </w:r>
      <w:r>
        <w:rPr>
          <w:spacing w:val="3"/>
          <w:w w:val="95"/>
        </w:rPr>
        <w:t>）</w:t>
      </w:r>
      <w:r>
        <w:rPr>
          <w:spacing w:val="2"/>
          <w:w w:val="95"/>
        </w:rPr>
        <w:t xml:space="preserve">，造成特别严重健康损害后果的；或经评估认 </w:t>
      </w:r>
      <w:r>
        <w:t>为事故危害特别严重的。</w:t>
      </w:r>
    </w:p>
    <w:p>
      <w:pPr>
        <w:pStyle w:val="7"/>
        <w:numPr>
          <w:ilvl w:val="0"/>
          <w:numId w:val="3"/>
        </w:numPr>
        <w:tabs>
          <w:tab w:val="left" w:pos="1728"/>
        </w:tabs>
        <w:spacing w:before="0" w:after="0" w:line="407" w:lineRule="exact"/>
        <w:ind w:left="1727" w:right="0" w:hanging="801"/>
        <w:jc w:val="left"/>
        <w:rPr>
          <w:sz w:val="32"/>
        </w:rPr>
      </w:pPr>
      <w:r>
        <w:rPr>
          <w:sz w:val="32"/>
        </w:rPr>
        <w:t>国务院认定的其他Ⅰ级食品安全事故。</w:t>
      </w:r>
    </w:p>
    <w:p>
      <w:pPr>
        <w:pStyle w:val="7"/>
        <w:numPr>
          <w:ilvl w:val="1"/>
          <w:numId w:val="1"/>
        </w:numPr>
        <w:tabs>
          <w:tab w:val="left" w:pos="1487"/>
        </w:tabs>
        <w:spacing w:before="150" w:after="0" w:line="240" w:lineRule="auto"/>
        <w:ind w:left="1486" w:right="0" w:hanging="560"/>
        <w:jc w:val="left"/>
        <w:rPr>
          <w:sz w:val="32"/>
        </w:rPr>
      </w:pPr>
      <w:r>
        <w:rPr>
          <w:sz w:val="32"/>
        </w:rPr>
        <w:t>重大食品安全事故（Ⅱ级）</w:t>
      </w:r>
    </w:p>
    <w:p>
      <w:pPr>
        <w:pStyle w:val="3"/>
        <w:spacing w:before="151"/>
        <w:ind w:left="927"/>
      </w:pPr>
      <w:r>
        <w:t>符合下列条件之一者：</w:t>
      </w:r>
    </w:p>
    <w:p>
      <w:pPr>
        <w:pStyle w:val="7"/>
        <w:numPr>
          <w:ilvl w:val="0"/>
          <w:numId w:val="4"/>
        </w:numPr>
        <w:tabs>
          <w:tab w:val="left" w:pos="1728"/>
        </w:tabs>
        <w:spacing w:before="149" w:after="0" w:line="328" w:lineRule="auto"/>
        <w:ind w:left="286" w:right="284" w:firstLine="640"/>
        <w:jc w:val="both"/>
        <w:rPr>
          <w:sz w:val="32"/>
        </w:rPr>
      </w:pPr>
      <w:r>
        <w:rPr>
          <w:spacing w:val="-9"/>
          <w:sz w:val="32"/>
        </w:rPr>
        <w:t xml:space="preserve">事故影响范围涉及 </w:t>
      </w:r>
      <w:r>
        <w:rPr>
          <w:rFonts w:ascii="Times New Roman" w:eastAsia="Times New Roman"/>
          <w:sz w:val="32"/>
        </w:rPr>
        <w:t>2</w:t>
      </w:r>
      <w:r>
        <w:rPr>
          <w:rFonts w:ascii="Times New Roman" w:eastAsia="Times New Roman"/>
          <w:spacing w:val="-2"/>
          <w:sz w:val="32"/>
        </w:rPr>
        <w:t xml:space="preserve"> </w:t>
      </w:r>
      <w:r>
        <w:rPr>
          <w:spacing w:val="-6"/>
          <w:sz w:val="32"/>
        </w:rPr>
        <w:t>个以上市，造成或经评估认为</w:t>
      </w:r>
      <w:r>
        <w:rPr>
          <w:w w:val="95"/>
          <w:sz w:val="32"/>
        </w:rPr>
        <w:t xml:space="preserve">可能造成对社会公众健康产生严重损害的食物中毒或食源性疾 </w:t>
      </w:r>
      <w:r>
        <w:rPr>
          <w:spacing w:val="-5"/>
          <w:sz w:val="32"/>
        </w:rPr>
        <w:t>病的；</w:t>
      </w:r>
    </w:p>
    <w:p>
      <w:pPr>
        <w:pStyle w:val="7"/>
        <w:numPr>
          <w:ilvl w:val="0"/>
          <w:numId w:val="4"/>
        </w:numPr>
        <w:tabs>
          <w:tab w:val="left" w:pos="1728"/>
        </w:tabs>
        <w:spacing w:before="0" w:after="0" w:line="406" w:lineRule="exact"/>
        <w:ind w:left="1727" w:right="0" w:hanging="801"/>
        <w:jc w:val="left"/>
        <w:rPr>
          <w:sz w:val="32"/>
        </w:rPr>
      </w:pPr>
      <w:r>
        <w:rPr>
          <w:spacing w:val="-9"/>
          <w:sz w:val="32"/>
        </w:rPr>
        <w:t xml:space="preserve">事故造成伤害人数在 </w:t>
      </w:r>
      <w:r>
        <w:rPr>
          <w:rFonts w:ascii="Times New Roman" w:eastAsia="Times New Roman"/>
          <w:sz w:val="32"/>
        </w:rPr>
        <w:t>100</w:t>
      </w:r>
      <w:r>
        <w:rPr>
          <w:rFonts w:ascii="Times New Roman" w:eastAsia="Times New Roman"/>
          <w:spacing w:val="-2"/>
          <w:sz w:val="32"/>
        </w:rPr>
        <w:t xml:space="preserve"> </w:t>
      </w:r>
      <w:r>
        <w:rPr>
          <w:sz w:val="32"/>
        </w:rPr>
        <w:t>人以上并出现死亡病例的；</w:t>
      </w:r>
    </w:p>
    <w:p>
      <w:pPr>
        <w:pStyle w:val="3"/>
        <w:spacing w:before="149"/>
      </w:pPr>
      <w:r>
        <w:t xml:space="preserve">或造成 </w:t>
      </w:r>
      <w:r>
        <w:rPr>
          <w:rFonts w:ascii="Times New Roman" w:eastAsia="Times New Roman"/>
        </w:rPr>
        <w:t xml:space="preserve">10 </w:t>
      </w:r>
      <w:r>
        <w:t>人以上死亡的；</w:t>
      </w:r>
    </w:p>
    <w:p>
      <w:pPr>
        <w:pStyle w:val="7"/>
        <w:numPr>
          <w:ilvl w:val="0"/>
          <w:numId w:val="4"/>
        </w:numPr>
        <w:tabs>
          <w:tab w:val="left" w:pos="1728"/>
        </w:tabs>
        <w:spacing w:before="152" w:after="0" w:line="326" w:lineRule="auto"/>
        <w:ind w:left="286" w:right="218" w:firstLine="640"/>
        <w:jc w:val="left"/>
        <w:rPr>
          <w:sz w:val="32"/>
        </w:rPr>
      </w:pPr>
      <w:r>
        <w:rPr>
          <w:sz w:val="32"/>
        </w:rPr>
        <w:t>发现在我国首次出现的新污染物引起的食源性疾病， 造成严重健康损害后果，并有扩散趋势的；</w:t>
      </w:r>
    </w:p>
    <w:p>
      <w:pPr>
        <w:pStyle w:val="7"/>
        <w:numPr>
          <w:ilvl w:val="0"/>
          <w:numId w:val="4"/>
        </w:numPr>
        <w:tabs>
          <w:tab w:val="left" w:pos="1728"/>
        </w:tabs>
        <w:spacing w:before="3" w:after="0" w:line="240" w:lineRule="auto"/>
        <w:ind w:left="1727" w:right="0" w:hanging="801"/>
        <w:jc w:val="left"/>
        <w:rPr>
          <w:sz w:val="32"/>
        </w:rPr>
      </w:pPr>
      <w:r>
        <w:rPr>
          <w:sz w:val="32"/>
        </w:rPr>
        <w:t>省级以上政府认定的其他Ⅱ级食品安全事故。</w:t>
      </w:r>
    </w:p>
    <w:p>
      <w:pPr>
        <w:pStyle w:val="7"/>
        <w:numPr>
          <w:ilvl w:val="1"/>
          <w:numId w:val="1"/>
        </w:numPr>
        <w:tabs>
          <w:tab w:val="left" w:pos="1487"/>
        </w:tabs>
        <w:spacing w:before="151" w:after="0" w:line="240" w:lineRule="auto"/>
        <w:ind w:left="1486" w:right="0" w:hanging="560"/>
        <w:jc w:val="left"/>
        <w:rPr>
          <w:sz w:val="32"/>
        </w:rPr>
      </w:pPr>
      <w:r>
        <w:rPr>
          <w:sz w:val="32"/>
        </w:rPr>
        <w:t>较大食品安全事故（Ⅲ级）</w:t>
      </w:r>
    </w:p>
    <w:p>
      <w:pPr>
        <w:pStyle w:val="3"/>
        <w:spacing w:before="150"/>
        <w:ind w:left="927"/>
      </w:pPr>
      <w:r>
        <w:t>符合下列条件之一者：</w:t>
      </w:r>
    </w:p>
    <w:p>
      <w:pPr>
        <w:pStyle w:val="7"/>
        <w:numPr>
          <w:ilvl w:val="0"/>
          <w:numId w:val="5"/>
        </w:numPr>
        <w:tabs>
          <w:tab w:val="left" w:pos="1728"/>
        </w:tabs>
        <w:spacing w:before="149" w:after="0" w:line="328" w:lineRule="auto"/>
        <w:ind w:left="286" w:right="286" w:firstLine="640"/>
        <w:jc w:val="left"/>
        <w:rPr>
          <w:sz w:val="32"/>
        </w:rPr>
      </w:pPr>
      <w:r>
        <w:rPr>
          <w:spacing w:val="-9"/>
          <w:sz w:val="32"/>
        </w:rPr>
        <w:t xml:space="preserve">事故影响范围涉及 </w:t>
      </w:r>
      <w:r>
        <w:rPr>
          <w:rFonts w:ascii="Times New Roman" w:eastAsia="Times New Roman"/>
          <w:sz w:val="32"/>
        </w:rPr>
        <w:t>2</w:t>
      </w:r>
      <w:r>
        <w:rPr>
          <w:rFonts w:ascii="Times New Roman" w:eastAsia="Times New Roman"/>
          <w:spacing w:val="-2"/>
          <w:sz w:val="32"/>
        </w:rPr>
        <w:t xml:space="preserve"> </w:t>
      </w:r>
      <w:r>
        <w:rPr>
          <w:spacing w:val="-6"/>
          <w:sz w:val="32"/>
        </w:rPr>
        <w:t>个以上区县，造成严重健康损害后果的；</w:t>
      </w:r>
    </w:p>
    <w:p>
      <w:pPr>
        <w:pStyle w:val="7"/>
        <w:numPr>
          <w:ilvl w:val="0"/>
          <w:numId w:val="5"/>
        </w:numPr>
        <w:tabs>
          <w:tab w:val="left" w:pos="1728"/>
        </w:tabs>
        <w:spacing w:before="0" w:after="0" w:line="407" w:lineRule="exact"/>
        <w:ind w:left="1727" w:right="0" w:hanging="801"/>
        <w:jc w:val="left"/>
        <w:rPr>
          <w:sz w:val="32"/>
        </w:rPr>
      </w:pPr>
      <w:r>
        <w:rPr>
          <w:spacing w:val="-9"/>
          <w:sz w:val="32"/>
        </w:rPr>
        <w:t xml:space="preserve">事故造成伤害人数在 </w:t>
      </w:r>
      <w:r>
        <w:rPr>
          <w:rFonts w:ascii="Times New Roman" w:eastAsia="Times New Roman"/>
          <w:sz w:val="32"/>
        </w:rPr>
        <w:t>100</w:t>
      </w:r>
      <w:r>
        <w:rPr>
          <w:rFonts w:ascii="Times New Roman" w:eastAsia="Times New Roman"/>
          <w:spacing w:val="-2"/>
          <w:sz w:val="32"/>
        </w:rPr>
        <w:t xml:space="preserve"> </w:t>
      </w:r>
      <w:r>
        <w:rPr>
          <w:spacing w:val="-6"/>
          <w:sz w:val="32"/>
        </w:rPr>
        <w:t>人以上的；或出现死亡病例</w:t>
      </w:r>
    </w:p>
    <w:p>
      <w:pPr>
        <w:pStyle w:val="3"/>
        <w:spacing w:before="149"/>
      </w:pPr>
      <w:r>
        <w:rPr>
          <w:rFonts w:ascii="Times New Roman" w:eastAsia="Times New Roman"/>
        </w:rPr>
        <w:t xml:space="preserve">10 </w:t>
      </w:r>
      <w:r>
        <w:t>人以下的；</w:t>
      </w:r>
    </w:p>
    <w:p>
      <w:pPr>
        <w:pStyle w:val="7"/>
        <w:numPr>
          <w:ilvl w:val="0"/>
          <w:numId w:val="5"/>
        </w:numPr>
        <w:tabs>
          <w:tab w:val="left" w:pos="1728"/>
        </w:tabs>
        <w:spacing w:before="151" w:after="0" w:line="240" w:lineRule="auto"/>
        <w:ind w:left="1727" w:right="0" w:hanging="801"/>
        <w:jc w:val="left"/>
        <w:rPr>
          <w:sz w:val="32"/>
        </w:rPr>
      </w:pPr>
      <w:r>
        <w:rPr>
          <w:sz w:val="32"/>
        </w:rPr>
        <w:t>市级以上政府认定的其他Ⅲ级食品安全事故。</w:t>
      </w:r>
    </w:p>
    <w:p>
      <w:pPr>
        <w:pStyle w:val="7"/>
        <w:numPr>
          <w:ilvl w:val="1"/>
          <w:numId w:val="1"/>
        </w:numPr>
        <w:tabs>
          <w:tab w:val="left" w:pos="1487"/>
        </w:tabs>
        <w:spacing w:before="150" w:after="0" w:line="240" w:lineRule="auto"/>
        <w:ind w:left="1486" w:right="0" w:hanging="560"/>
        <w:jc w:val="left"/>
        <w:rPr>
          <w:sz w:val="32"/>
        </w:rPr>
      </w:pPr>
      <w:r>
        <w:rPr>
          <w:sz w:val="32"/>
        </w:rPr>
        <w:t>一般食品安全事故（Ⅳ级）</w:t>
      </w:r>
    </w:p>
    <w:p>
      <w:pPr>
        <w:pStyle w:val="3"/>
        <w:spacing w:before="149"/>
        <w:ind w:left="927"/>
      </w:pPr>
      <w:r>
        <w:t>符合下列条件之一者：</w:t>
      </w:r>
    </w:p>
    <w:p>
      <w:pPr>
        <w:pStyle w:val="7"/>
        <w:numPr>
          <w:numId w:val="0"/>
        </w:numPr>
        <w:tabs>
          <w:tab w:val="left" w:pos="1728"/>
        </w:tabs>
        <w:spacing w:before="151" w:after="0" w:line="240" w:lineRule="auto"/>
        <w:ind w:left="926" w:leftChars="0" w:right="0" w:rightChars="0"/>
        <w:jc w:val="left"/>
        <w:rPr>
          <w:sz w:val="32"/>
        </w:rPr>
      </w:pPr>
      <w:r>
        <w:rPr>
          <w:rFonts w:hint="eastAsia"/>
          <w:sz w:val="32"/>
          <w:lang w:val="en-US" w:eastAsia="zh-CN"/>
        </w:rPr>
        <w:t>(1)</w:t>
      </w:r>
      <w:r>
        <w:rPr>
          <w:spacing w:val="3"/>
          <w:sz w:val="32"/>
        </w:rPr>
        <w:t>事故影响范围涉及县级行政区域内</w:t>
      </w:r>
      <w:r>
        <w:rPr>
          <w:rFonts w:ascii="Times New Roman" w:eastAsia="Times New Roman"/>
          <w:sz w:val="32"/>
        </w:rPr>
        <w:t>2</w:t>
      </w:r>
      <w:r>
        <w:rPr>
          <w:rFonts w:ascii="Times New Roman" w:eastAsia="Times New Roman"/>
          <w:spacing w:val="-35"/>
          <w:sz w:val="32"/>
        </w:rPr>
        <w:t xml:space="preserve"> </w:t>
      </w:r>
      <w:r>
        <w:rPr>
          <w:spacing w:val="-41"/>
          <w:sz w:val="32"/>
        </w:rPr>
        <w:t>个以上镇</w:t>
      </w:r>
      <w:r>
        <w:rPr>
          <w:sz w:val="32"/>
        </w:rPr>
        <w:t>（街道</w:t>
      </w:r>
      <w:r>
        <w:rPr>
          <w:spacing w:val="-159"/>
          <w:w w:val="99"/>
          <w:sz w:val="32"/>
        </w:rPr>
        <w:t>）</w:t>
      </w:r>
      <w:r>
        <w:rPr>
          <w:w w:val="99"/>
          <w:sz w:val="32"/>
        </w:rPr>
        <w:t>，</w:t>
      </w:r>
    </w:p>
    <w:p>
      <w:pPr>
        <w:spacing w:after="0" w:line="240" w:lineRule="auto"/>
        <w:jc w:val="left"/>
        <w:rPr>
          <w:sz w:val="32"/>
        </w:rPr>
        <w:sectPr>
          <w:footerReference r:id="rId6" w:type="default"/>
          <w:pgSz w:w="11910" w:h="16840"/>
          <w:pgMar w:top="1580" w:right="1300" w:bottom="1400" w:left="1300" w:header="0" w:footer="1202" w:gutter="0"/>
          <w:pgNumType w:start="370"/>
          <w:cols w:space="720" w:num="1"/>
        </w:sectPr>
      </w:pPr>
    </w:p>
    <w:p>
      <w:pPr>
        <w:pStyle w:val="3"/>
        <w:ind w:left="0"/>
        <w:rPr>
          <w:sz w:val="20"/>
        </w:rPr>
      </w:pPr>
    </w:p>
    <w:p>
      <w:pPr>
        <w:pStyle w:val="3"/>
        <w:spacing w:before="11"/>
        <w:ind w:left="0"/>
        <w:rPr>
          <w:sz w:val="15"/>
        </w:rPr>
      </w:pPr>
    </w:p>
    <w:p>
      <w:pPr>
        <w:pStyle w:val="3"/>
        <w:spacing w:before="54"/>
      </w:pPr>
      <w:r>
        <w:t>造成严重健康损害后果的；</w:t>
      </w:r>
    </w:p>
    <w:p>
      <w:pPr>
        <w:pStyle w:val="7"/>
        <w:numPr>
          <w:numId w:val="0"/>
        </w:numPr>
        <w:tabs>
          <w:tab w:val="left" w:pos="1728"/>
        </w:tabs>
        <w:spacing w:before="152" w:after="0" w:line="240" w:lineRule="auto"/>
        <w:ind w:left="926" w:leftChars="0" w:right="0" w:rightChars="0"/>
        <w:jc w:val="left"/>
        <w:rPr>
          <w:sz w:val="32"/>
        </w:rPr>
      </w:pPr>
      <w:r>
        <w:rPr>
          <w:rFonts w:hint="eastAsia"/>
          <w:sz w:val="32"/>
          <w:lang w:val="en-US" w:eastAsia="zh-CN"/>
        </w:rPr>
        <w:t>(2)</w:t>
      </w:r>
      <w:r>
        <w:rPr>
          <w:spacing w:val="-9"/>
          <w:sz w:val="32"/>
        </w:rPr>
        <w:t xml:space="preserve">事故造成伤害人数在 </w:t>
      </w:r>
      <w:r>
        <w:rPr>
          <w:rFonts w:ascii="Times New Roman" w:eastAsia="Times New Roman"/>
          <w:sz w:val="32"/>
        </w:rPr>
        <w:t>100</w:t>
      </w:r>
      <w:r>
        <w:rPr>
          <w:rFonts w:ascii="Times New Roman" w:eastAsia="Times New Roman"/>
          <w:spacing w:val="-2"/>
          <w:sz w:val="32"/>
        </w:rPr>
        <w:t xml:space="preserve"> </w:t>
      </w:r>
      <w:r>
        <w:rPr>
          <w:spacing w:val="-6"/>
          <w:sz w:val="32"/>
        </w:rPr>
        <w:t>人以下，且未出现死亡病例</w:t>
      </w:r>
    </w:p>
    <w:p>
      <w:pPr>
        <w:pStyle w:val="3"/>
        <w:spacing w:before="149"/>
      </w:pPr>
      <w:r>
        <w:t>的；</w:t>
      </w:r>
    </w:p>
    <w:p>
      <w:pPr>
        <w:pStyle w:val="7"/>
        <w:numPr>
          <w:numId w:val="0"/>
        </w:numPr>
        <w:tabs>
          <w:tab w:val="left" w:pos="1728"/>
        </w:tabs>
        <w:spacing w:before="149" w:after="0" w:line="240" w:lineRule="auto"/>
        <w:ind w:left="926" w:leftChars="0" w:right="0" w:rightChars="0"/>
        <w:jc w:val="left"/>
        <w:rPr>
          <w:sz w:val="32"/>
        </w:rPr>
      </w:pPr>
      <w:r>
        <w:rPr>
          <w:rFonts w:hint="eastAsia"/>
          <w:sz w:val="32"/>
          <w:lang w:val="en-US" w:eastAsia="zh-CN"/>
        </w:rPr>
        <w:t>(3)</w:t>
      </w:r>
      <w:r>
        <w:rPr>
          <w:sz w:val="32"/>
        </w:rPr>
        <w:t>县级以上政府认定的其他Ⅳ级食品安全事故。</w:t>
      </w:r>
    </w:p>
    <w:p>
      <w:pPr>
        <w:pStyle w:val="7"/>
        <w:numPr>
          <w:ilvl w:val="0"/>
          <w:numId w:val="6"/>
        </w:numPr>
        <w:tabs>
          <w:tab w:val="left" w:pos="1247"/>
        </w:tabs>
        <w:spacing w:before="152" w:after="0" w:line="240" w:lineRule="auto"/>
        <w:ind w:left="1246" w:right="0" w:hanging="320"/>
        <w:jc w:val="left"/>
        <w:rPr>
          <w:rFonts w:hint="eastAsia" w:ascii="黑体" w:eastAsia="黑体"/>
          <w:sz w:val="32"/>
        </w:rPr>
      </w:pPr>
      <w:r>
        <w:rPr>
          <w:rFonts w:hint="eastAsia" w:ascii="黑体" w:eastAsia="黑体"/>
          <w:sz w:val="32"/>
        </w:rPr>
        <w:t>组织机构及职责</w:t>
      </w:r>
    </w:p>
    <w:p>
      <w:pPr>
        <w:pStyle w:val="7"/>
        <w:numPr>
          <w:ilvl w:val="1"/>
          <w:numId w:val="6"/>
        </w:numPr>
        <w:tabs>
          <w:tab w:val="left" w:pos="1487"/>
        </w:tabs>
        <w:spacing w:before="149" w:after="0" w:line="240" w:lineRule="auto"/>
        <w:ind w:left="1486" w:right="0" w:hanging="560"/>
        <w:jc w:val="left"/>
        <w:rPr>
          <w:sz w:val="32"/>
        </w:rPr>
      </w:pPr>
      <w:r>
        <w:rPr>
          <w:sz w:val="32"/>
        </w:rPr>
        <w:t>应急机制启动</w:t>
      </w:r>
    </w:p>
    <w:p>
      <w:pPr>
        <w:pStyle w:val="3"/>
        <w:spacing w:before="149"/>
        <w:ind w:left="927"/>
      </w:pPr>
      <w:r>
        <w:t>食品安全事故发生后，各级市场监管部门会同有关部门和</w:t>
      </w:r>
    </w:p>
    <w:p>
      <w:pPr>
        <w:pStyle w:val="3"/>
        <w:spacing w:before="152" w:line="326" w:lineRule="auto"/>
        <w:ind w:right="54"/>
      </w:pPr>
      <w:r>
        <w:t>专家组成调查组依法组织对事故进行分析评估，核定事故等级。达到一般（Ⅳ级）级别的食品安全事故，由县政府组织成立应急处置指挥部，统一组织开展本行政区域事故应急处置工作。</w:t>
      </w:r>
    </w:p>
    <w:p>
      <w:pPr>
        <w:pStyle w:val="7"/>
        <w:numPr>
          <w:ilvl w:val="1"/>
          <w:numId w:val="6"/>
        </w:numPr>
        <w:tabs>
          <w:tab w:val="left" w:pos="1487"/>
        </w:tabs>
        <w:spacing w:before="7" w:after="0" w:line="240" w:lineRule="auto"/>
        <w:ind w:left="1486" w:right="0" w:hanging="560"/>
        <w:jc w:val="both"/>
        <w:rPr>
          <w:sz w:val="32"/>
        </w:rPr>
      </w:pPr>
      <w:r>
        <w:rPr>
          <w:sz w:val="32"/>
        </w:rPr>
        <w:t>指挥部设置</w:t>
      </w:r>
    </w:p>
    <w:p>
      <w:pPr>
        <w:pStyle w:val="3"/>
        <w:spacing w:before="149" w:line="328" w:lineRule="auto"/>
        <w:ind w:right="286" w:firstLine="640"/>
        <w:jc w:val="both"/>
      </w:pPr>
      <w:r>
        <w:rPr>
          <w:spacing w:val="2"/>
          <w:w w:val="95"/>
        </w:rPr>
        <w:t xml:space="preserve">指挥部总指挥由县政府领导同志担任，副总指挥由县政府 </w:t>
      </w:r>
      <w:r>
        <w:rPr>
          <w:spacing w:val="-1"/>
        </w:rPr>
        <w:t>领导授权指定有关部门或单位的负责同志担任，有关单位负责</w:t>
      </w:r>
      <w:r>
        <w:t>同志为成员。</w:t>
      </w:r>
    </w:p>
    <w:p>
      <w:pPr>
        <w:pStyle w:val="3"/>
        <w:spacing w:line="326" w:lineRule="auto"/>
        <w:ind w:right="286" w:firstLine="640"/>
      </w:pPr>
      <w:r>
        <w:rPr>
          <w:spacing w:val="2"/>
          <w:w w:val="95"/>
        </w:rPr>
        <w:t xml:space="preserve">指挥部下设办公室，办公室设在县市场监管局，办公室主 </w:t>
      </w:r>
      <w:r>
        <w:t>任由县市场监管局主要负责同志担任。</w:t>
      </w:r>
    </w:p>
    <w:p>
      <w:pPr>
        <w:pStyle w:val="7"/>
        <w:numPr>
          <w:ilvl w:val="1"/>
          <w:numId w:val="6"/>
        </w:numPr>
        <w:tabs>
          <w:tab w:val="left" w:pos="1487"/>
        </w:tabs>
        <w:spacing w:before="1" w:after="0" w:line="240" w:lineRule="auto"/>
        <w:ind w:left="1486" w:right="0" w:hanging="560"/>
        <w:jc w:val="left"/>
        <w:rPr>
          <w:sz w:val="32"/>
        </w:rPr>
      </w:pPr>
      <w:r>
        <w:rPr>
          <w:sz w:val="32"/>
        </w:rPr>
        <w:t>指挥部职责</w:t>
      </w:r>
    </w:p>
    <w:p>
      <w:pPr>
        <w:pStyle w:val="3"/>
        <w:spacing w:before="149" w:line="328" w:lineRule="auto"/>
        <w:ind w:right="286" w:firstLine="640"/>
        <w:jc w:val="both"/>
      </w:pPr>
      <w:r>
        <w:rPr>
          <w:spacing w:val="2"/>
          <w:w w:val="95"/>
        </w:rPr>
        <w:t xml:space="preserve">指挥部负责统一领导事故应急处置工作；研究事故应急处 </w:t>
      </w:r>
      <w:r>
        <w:rPr>
          <w:spacing w:val="-1"/>
        </w:rPr>
        <w:t>置的决策和部署；组织发布事故的重要信息；审议批准指挥部办公室提交的应急处置工作报告；向县政府及市有关部门报告</w:t>
      </w:r>
      <w:r>
        <w:t>事故应急处置工作情况；应急处置的其他工作。</w:t>
      </w:r>
    </w:p>
    <w:p>
      <w:pPr>
        <w:pStyle w:val="7"/>
        <w:numPr>
          <w:ilvl w:val="1"/>
          <w:numId w:val="6"/>
        </w:numPr>
        <w:tabs>
          <w:tab w:val="left" w:pos="1487"/>
        </w:tabs>
        <w:spacing w:before="0" w:after="0" w:line="402" w:lineRule="exact"/>
        <w:ind w:left="1486" w:right="0" w:hanging="560"/>
        <w:jc w:val="both"/>
        <w:rPr>
          <w:sz w:val="32"/>
        </w:rPr>
      </w:pPr>
      <w:r>
        <w:rPr>
          <w:sz w:val="32"/>
        </w:rPr>
        <w:t>指挥部办公室职责</w:t>
      </w:r>
    </w:p>
    <w:p>
      <w:pPr>
        <w:pStyle w:val="3"/>
        <w:spacing w:before="152"/>
        <w:ind w:left="927"/>
      </w:pPr>
      <w:r>
        <w:t>指挥部办公室承担指挥部的日常工作，主要负责贯彻落实</w:t>
      </w:r>
    </w:p>
    <w:p>
      <w:pPr>
        <w:spacing w:after="0"/>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line="328" w:lineRule="auto"/>
        <w:ind w:right="125"/>
      </w:pPr>
      <w:r>
        <w:t>指挥部的各项部署，组织实施事故应急处置工作；检查督促相</w:t>
      </w:r>
      <w:r>
        <w:rPr>
          <w:spacing w:val="3"/>
        </w:rPr>
        <w:t>关部门和镇</w:t>
      </w:r>
      <w:r>
        <w:t>（</w:t>
      </w:r>
      <w:r>
        <w:rPr>
          <w:spacing w:val="5"/>
        </w:rPr>
        <w:t>街道）</w:t>
      </w:r>
      <w:r>
        <w:t>做好各项应急处置工作，及时有效地控制事故，防止事态蔓延扩大；研究协调解决应急处置工作中的具体问题；搜集整理有关事故处置信息，及时向指挥部领导提出事故处置建议；向市市场监管局、县政府、指挥部报告事故应急处置情况，同时向成员单位通报有关情况；组织信息发布， 必要时接受媒体采访；完成指挥部交办的其他任务。指挥部办</w:t>
      </w:r>
      <w:r>
        <w:rPr>
          <w:spacing w:val="-7"/>
          <w:w w:val="95"/>
        </w:rPr>
        <w:t xml:space="preserve">公室建立会商、发文、信息发布和督查等制度，确保快速反应、 </w:t>
      </w:r>
      <w:r>
        <w:rPr>
          <w:spacing w:val="-7"/>
        </w:rPr>
        <w:t>高效处置。</w:t>
      </w:r>
    </w:p>
    <w:p>
      <w:pPr>
        <w:pStyle w:val="7"/>
        <w:numPr>
          <w:ilvl w:val="1"/>
          <w:numId w:val="6"/>
        </w:numPr>
        <w:tabs>
          <w:tab w:val="left" w:pos="1487"/>
        </w:tabs>
        <w:spacing w:before="0" w:after="0" w:line="395" w:lineRule="exact"/>
        <w:ind w:left="1486" w:right="0" w:hanging="560"/>
        <w:jc w:val="both"/>
        <w:rPr>
          <w:sz w:val="32"/>
        </w:rPr>
      </w:pPr>
      <w:r>
        <w:rPr>
          <w:sz w:val="32"/>
        </w:rPr>
        <w:t>成员单位职责</w:t>
      </w:r>
    </w:p>
    <w:p>
      <w:pPr>
        <w:pStyle w:val="3"/>
        <w:spacing w:before="152" w:line="326" w:lineRule="auto"/>
        <w:ind w:right="286" w:firstLine="640"/>
        <w:jc w:val="both"/>
      </w:pPr>
      <w:r>
        <w:rPr>
          <w:spacing w:val="2"/>
          <w:w w:val="95"/>
        </w:rPr>
        <w:t xml:space="preserve">各成员单位在指挥部统一领导下开展工作，加强对事故发 </w:t>
      </w:r>
      <w:r>
        <w:t>生地政府有关部门的督促、指导，积极参与应急处置工作（</w:t>
      </w:r>
      <w:r>
        <w:rPr>
          <w:spacing w:val="-15"/>
        </w:rPr>
        <w:t>具</w:t>
      </w:r>
      <w:r>
        <w:rPr>
          <w:spacing w:val="-12"/>
        </w:rPr>
        <w:t xml:space="preserve">体职责见附件 </w:t>
      </w:r>
      <w:r>
        <w:rPr>
          <w:rFonts w:ascii="Times New Roman" w:eastAsia="Times New Roman"/>
        </w:rPr>
        <w:t>1</w:t>
      </w:r>
      <w:r>
        <w:t>）。</w:t>
      </w:r>
    </w:p>
    <w:p>
      <w:pPr>
        <w:pStyle w:val="7"/>
        <w:numPr>
          <w:ilvl w:val="1"/>
          <w:numId w:val="6"/>
        </w:numPr>
        <w:tabs>
          <w:tab w:val="left" w:pos="1487"/>
        </w:tabs>
        <w:spacing w:before="7" w:after="0" w:line="240" w:lineRule="auto"/>
        <w:ind w:left="1486" w:right="0" w:hanging="560"/>
        <w:jc w:val="both"/>
        <w:rPr>
          <w:sz w:val="32"/>
        </w:rPr>
      </w:pPr>
      <w:r>
        <w:rPr>
          <w:sz w:val="32"/>
        </w:rPr>
        <w:t>工作组设置及职责</w:t>
      </w:r>
    </w:p>
    <w:p>
      <w:pPr>
        <w:pStyle w:val="3"/>
        <w:spacing w:before="149" w:line="328" w:lineRule="auto"/>
        <w:ind w:right="286" w:firstLine="640"/>
        <w:jc w:val="both"/>
      </w:pPr>
      <w:r>
        <w:rPr>
          <w:spacing w:val="2"/>
          <w:w w:val="95"/>
        </w:rPr>
        <w:t xml:space="preserve">食品安全事故发生后，根据事故处置需要，指挥部可下设 </w:t>
      </w:r>
      <w:r>
        <w:rPr>
          <w:spacing w:val="-1"/>
        </w:rPr>
        <w:t>若干工作组开展处置。各工作组在指挥部的统一指挥调度下开展工作，按职责要求，组织实施应急处置，并随时向指挥部办</w:t>
      </w:r>
      <w:r>
        <w:t>公室报告工作开展情况。</w:t>
      </w:r>
    </w:p>
    <w:p>
      <w:pPr>
        <w:pStyle w:val="7"/>
        <w:numPr>
          <w:ilvl w:val="0"/>
          <w:numId w:val="7"/>
        </w:numPr>
        <w:tabs>
          <w:tab w:val="left" w:pos="1728"/>
        </w:tabs>
        <w:spacing w:before="0" w:after="0" w:line="402" w:lineRule="exact"/>
        <w:ind w:left="1727" w:right="0" w:hanging="801"/>
        <w:jc w:val="left"/>
        <w:rPr>
          <w:sz w:val="32"/>
        </w:rPr>
      </w:pPr>
      <w:r>
        <w:rPr>
          <w:sz w:val="32"/>
        </w:rPr>
        <w:t>事故调查组</w:t>
      </w:r>
    </w:p>
    <w:p>
      <w:pPr>
        <w:pStyle w:val="3"/>
        <w:spacing w:before="152" w:line="328" w:lineRule="auto"/>
        <w:ind w:right="125" w:firstLine="640"/>
      </w:pPr>
      <w:r>
        <w:rPr>
          <w:spacing w:val="-6"/>
          <w:w w:val="95"/>
        </w:rPr>
        <w:t xml:space="preserve">由县市场监管局牵头，会同县有关部门、事发地区镇政府、 </w:t>
      </w:r>
      <w:r>
        <w:t>街道办事处，深入调查事故发生原因，评估事故影响，作出调查结论，提出事故防范意见；对涉嫌犯罪的，由县公安局负责立案侦办，查清事实，依法追究刑事责任；对监管部门及其他</w:t>
      </w:r>
    </w:p>
    <w:p>
      <w:pPr>
        <w:spacing w:after="0" w:line="328" w:lineRule="auto"/>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pPr>
      <w:r>
        <w:t>机关工作人员存在的失职、渎职等行为进行调查。</w:t>
      </w:r>
    </w:p>
    <w:p>
      <w:pPr>
        <w:pStyle w:val="7"/>
        <w:numPr>
          <w:ilvl w:val="0"/>
          <w:numId w:val="7"/>
        </w:numPr>
        <w:tabs>
          <w:tab w:val="left" w:pos="1728"/>
        </w:tabs>
        <w:spacing w:before="152" w:after="0" w:line="240" w:lineRule="auto"/>
        <w:ind w:left="1727" w:right="0" w:hanging="801"/>
        <w:jc w:val="left"/>
        <w:rPr>
          <w:sz w:val="32"/>
        </w:rPr>
      </w:pPr>
      <w:r>
        <w:rPr>
          <w:sz w:val="32"/>
        </w:rPr>
        <w:t>危害控制组</w:t>
      </w:r>
    </w:p>
    <w:p>
      <w:pPr>
        <w:pStyle w:val="3"/>
        <w:spacing w:before="149" w:line="328" w:lineRule="auto"/>
        <w:ind w:right="286" w:firstLine="640"/>
        <w:jc w:val="both"/>
      </w:pPr>
      <w:r>
        <w:rPr>
          <w:spacing w:val="2"/>
          <w:w w:val="95"/>
        </w:rPr>
        <w:t xml:space="preserve">根据事件性质和部门职责，由事故发生环节的具体监管职 </w:t>
      </w:r>
      <w:r>
        <w:rPr>
          <w:spacing w:val="-1"/>
        </w:rPr>
        <w:t>能部门牵头，会同相关监管部门监督、指导事故发生地政府职能部门依法封存有关食用农产品、食品、原料、食品添加剂及食品相关产品，追溯问题产品，监督、责令引发食品安全事故的食品生产经营企业召回、下架或停止经营，严格控制流通渠</w:t>
      </w:r>
      <w:r>
        <w:t>道，严防危害蔓延和扩大。</w:t>
      </w:r>
    </w:p>
    <w:p>
      <w:pPr>
        <w:pStyle w:val="7"/>
        <w:numPr>
          <w:ilvl w:val="0"/>
          <w:numId w:val="7"/>
        </w:numPr>
        <w:tabs>
          <w:tab w:val="left" w:pos="1728"/>
        </w:tabs>
        <w:spacing w:before="0" w:after="0" w:line="400" w:lineRule="exact"/>
        <w:ind w:left="1727" w:right="0" w:hanging="801"/>
        <w:jc w:val="left"/>
        <w:rPr>
          <w:sz w:val="32"/>
        </w:rPr>
      </w:pPr>
      <w:r>
        <w:rPr>
          <w:sz w:val="32"/>
        </w:rPr>
        <w:t>医疗救治组</w:t>
      </w:r>
    </w:p>
    <w:p>
      <w:pPr>
        <w:pStyle w:val="3"/>
        <w:spacing w:before="149" w:line="328" w:lineRule="auto"/>
        <w:ind w:right="286" w:firstLine="640"/>
        <w:jc w:val="both"/>
      </w:pPr>
      <w:r>
        <w:rPr>
          <w:w w:val="95"/>
        </w:rPr>
        <w:t xml:space="preserve">由县卫生健康局负责，结合事故调查组的调查情况，组织 </w:t>
      </w:r>
      <w:r>
        <w:t>制定救治方案，建立救治绿色通道，开展医疗救治，指导事发地卫生健康部门对健康受到危害的人员进行医疗救治。</w:t>
      </w:r>
    </w:p>
    <w:p>
      <w:pPr>
        <w:pStyle w:val="7"/>
        <w:numPr>
          <w:ilvl w:val="0"/>
          <w:numId w:val="7"/>
        </w:numPr>
        <w:tabs>
          <w:tab w:val="left" w:pos="1728"/>
        </w:tabs>
        <w:spacing w:before="0" w:after="0" w:line="405" w:lineRule="exact"/>
        <w:ind w:left="1727" w:right="0" w:hanging="801"/>
        <w:jc w:val="left"/>
        <w:rPr>
          <w:sz w:val="32"/>
        </w:rPr>
      </w:pPr>
      <w:r>
        <w:rPr>
          <w:sz w:val="32"/>
        </w:rPr>
        <w:t>检测评估组</w:t>
      </w:r>
    </w:p>
    <w:p>
      <w:pPr>
        <w:pStyle w:val="3"/>
        <w:spacing w:before="152" w:line="328" w:lineRule="auto"/>
        <w:ind w:right="125" w:firstLine="640"/>
      </w:pPr>
      <w:r>
        <w:t>由县市场监管局牵头，会同县卫生健康局等相关部门组织</w:t>
      </w:r>
      <w:r>
        <w:rPr>
          <w:spacing w:val="-6"/>
        </w:rPr>
        <w:t xml:space="preserve">应急处置专业技术机构，提出检测方案和要求，实施相关检测， </w:t>
      </w:r>
      <w:r>
        <w:t xml:space="preserve">综合分析各方检测数据，查找事故原因和评估事故发展趋势， </w:t>
      </w:r>
      <w:r>
        <w:rPr>
          <w:spacing w:val="-8"/>
        </w:rPr>
        <w:t>预测事故后果，为制定现场抢救方案和采取控制措施提供参考。</w:t>
      </w:r>
      <w:r>
        <w:rPr>
          <w:spacing w:val="16"/>
        </w:rPr>
        <w:t>县卫生健康局应及时组织疾病预防控制中心开展现场卫生处</w:t>
      </w:r>
      <w:r>
        <w:t>理，并对与事故有关的因素开展流行病学调查与检测，有关部门应当予以协助。检测与评估报告应及时报告指挥部办公室并通报有关部门。</w:t>
      </w:r>
    </w:p>
    <w:p>
      <w:pPr>
        <w:pStyle w:val="7"/>
        <w:numPr>
          <w:ilvl w:val="0"/>
          <w:numId w:val="7"/>
        </w:numPr>
        <w:tabs>
          <w:tab w:val="left" w:pos="1728"/>
        </w:tabs>
        <w:spacing w:before="0" w:after="0" w:line="395" w:lineRule="exact"/>
        <w:ind w:left="1727" w:right="0" w:hanging="801"/>
        <w:jc w:val="left"/>
        <w:rPr>
          <w:sz w:val="32"/>
        </w:rPr>
      </w:pPr>
      <w:r>
        <w:rPr>
          <w:sz w:val="32"/>
        </w:rPr>
        <w:t>维护稳定组</w:t>
      </w:r>
    </w:p>
    <w:p>
      <w:pPr>
        <w:pStyle w:val="3"/>
        <w:spacing w:before="152"/>
        <w:ind w:left="927"/>
      </w:pPr>
      <w:r>
        <w:t>由县公安局牵头，加强治安管理，迅速组织警力保护现场、</w:t>
      </w:r>
    </w:p>
    <w:p>
      <w:pPr>
        <w:spacing w:after="0"/>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line="328" w:lineRule="auto"/>
        <w:ind w:right="286"/>
      </w:pPr>
      <w:r>
        <w:t>维持秩序和交通疏导等，保障事故调查、医疗救治与矛盾调处等工作顺利进行。</w:t>
      </w:r>
    </w:p>
    <w:p>
      <w:pPr>
        <w:pStyle w:val="7"/>
        <w:numPr>
          <w:ilvl w:val="0"/>
          <w:numId w:val="7"/>
        </w:numPr>
        <w:tabs>
          <w:tab w:val="left" w:pos="1728"/>
        </w:tabs>
        <w:spacing w:before="0" w:after="0" w:line="407" w:lineRule="exact"/>
        <w:ind w:left="1727" w:right="0" w:hanging="801"/>
        <w:jc w:val="left"/>
        <w:rPr>
          <w:sz w:val="32"/>
        </w:rPr>
      </w:pPr>
      <w:r>
        <w:rPr>
          <w:sz w:val="32"/>
        </w:rPr>
        <w:t>新闻宣传组</w:t>
      </w:r>
    </w:p>
    <w:p>
      <w:pPr>
        <w:pStyle w:val="3"/>
        <w:spacing w:before="150" w:line="328" w:lineRule="auto"/>
        <w:ind w:right="286" w:firstLine="640"/>
        <w:jc w:val="both"/>
      </w:pPr>
      <w:r>
        <w:rPr>
          <w:w w:val="95"/>
        </w:rPr>
        <w:t xml:space="preserve">由县委宣传部牵头，会同县网络信息服务中心、县市场监 </w:t>
      </w:r>
      <w:r>
        <w:t>管局，组织事故处置宣传报道和舆论引导，并配合相关部门做好信息发布工作。</w:t>
      </w:r>
    </w:p>
    <w:p>
      <w:pPr>
        <w:pStyle w:val="7"/>
        <w:numPr>
          <w:ilvl w:val="0"/>
          <w:numId w:val="7"/>
        </w:numPr>
        <w:tabs>
          <w:tab w:val="left" w:pos="1728"/>
        </w:tabs>
        <w:spacing w:before="0" w:after="0" w:line="405" w:lineRule="exact"/>
        <w:ind w:left="1727" w:right="0" w:hanging="801"/>
        <w:jc w:val="left"/>
        <w:rPr>
          <w:sz w:val="32"/>
        </w:rPr>
      </w:pPr>
      <w:r>
        <w:rPr>
          <w:sz w:val="32"/>
        </w:rPr>
        <w:t>专家组</w:t>
      </w:r>
    </w:p>
    <w:p>
      <w:pPr>
        <w:pStyle w:val="3"/>
        <w:spacing w:before="151" w:line="328" w:lineRule="auto"/>
        <w:ind w:right="286" w:firstLine="640"/>
        <w:jc w:val="both"/>
      </w:pPr>
      <w:r>
        <w:rPr>
          <w:spacing w:val="2"/>
          <w:w w:val="95"/>
        </w:rPr>
        <w:t xml:space="preserve">根据需要，指挥部成立由有关专家组成的专家组，负责对 </w:t>
      </w:r>
      <w:r>
        <w:rPr>
          <w:spacing w:val="-1"/>
        </w:rPr>
        <w:t>事故进行分析评估，为应急响应的调整和解除及应急处置管理工作提供决策建议，必要时参与应急处置工作。县市场监管局负责牵头组建专家库。专家库应包括食品卫生学、流行病学、临床医学、毒理学、化学、生物学、法学等领域的专家、学者</w:t>
      </w:r>
      <w:r>
        <w:t>和专业人员。</w:t>
      </w:r>
    </w:p>
    <w:p>
      <w:pPr>
        <w:pStyle w:val="7"/>
        <w:numPr>
          <w:numId w:val="0"/>
        </w:numPr>
        <w:tabs>
          <w:tab w:val="left" w:pos="1728"/>
        </w:tabs>
        <w:spacing w:before="0" w:after="0" w:line="400" w:lineRule="exact"/>
        <w:ind w:left="926" w:leftChars="0" w:right="0" w:rightChars="0"/>
        <w:jc w:val="left"/>
        <w:rPr>
          <w:sz w:val="32"/>
        </w:rPr>
      </w:pPr>
      <w:r>
        <w:rPr>
          <w:rFonts w:hint="eastAsia"/>
          <w:sz w:val="32"/>
          <w:lang w:val="en-US" w:eastAsia="zh-CN"/>
        </w:rPr>
        <w:t>(10)</w:t>
      </w:r>
      <w:r>
        <w:rPr>
          <w:sz w:val="32"/>
        </w:rPr>
        <w:t>善后组</w:t>
      </w:r>
    </w:p>
    <w:p>
      <w:pPr>
        <w:pStyle w:val="3"/>
        <w:spacing w:before="149" w:line="328" w:lineRule="auto"/>
        <w:ind w:right="125" w:firstLine="640"/>
      </w:pPr>
      <w:r>
        <w:rPr>
          <w:spacing w:val="-4"/>
        </w:rPr>
        <w:t xml:space="preserve">为处理食品安全事故的相关经济赔偿问题，可增设善后组， </w:t>
      </w:r>
      <w:r>
        <w:t>负责指导事发地政府做好相关善后工作。由指挥部根据职责确定牵头单位，负责做好食品安全事故中死亡、伤病人员善后及</w:t>
      </w:r>
      <w:r>
        <w:rPr>
          <w:spacing w:val="-5"/>
        </w:rPr>
        <w:t>其家属的安抚和经济赔偿等工作。保证食品安全事故应急资金、生活物资及时到位。</w:t>
      </w:r>
    </w:p>
    <w:p>
      <w:pPr>
        <w:pStyle w:val="7"/>
        <w:numPr>
          <w:ilvl w:val="1"/>
          <w:numId w:val="6"/>
        </w:numPr>
        <w:tabs>
          <w:tab w:val="left" w:pos="1487"/>
        </w:tabs>
        <w:spacing w:before="0" w:after="0" w:line="402" w:lineRule="exact"/>
        <w:ind w:left="1486" w:right="0" w:hanging="560"/>
        <w:jc w:val="left"/>
        <w:rPr>
          <w:sz w:val="32"/>
        </w:rPr>
      </w:pPr>
      <w:r>
        <w:rPr>
          <w:sz w:val="32"/>
        </w:rPr>
        <w:t>应急处置专业技术机构</w:t>
      </w:r>
    </w:p>
    <w:p>
      <w:pPr>
        <w:pStyle w:val="3"/>
        <w:spacing w:before="150" w:line="328" w:lineRule="auto"/>
        <w:ind w:right="286" w:firstLine="640"/>
        <w:jc w:val="both"/>
      </w:pPr>
      <w:r>
        <w:rPr>
          <w:spacing w:val="2"/>
          <w:w w:val="95"/>
        </w:rPr>
        <w:t xml:space="preserve">医疗、疾病预防控制、食品检验及有关部门的食品安全相 </w:t>
      </w:r>
      <w:r>
        <w:rPr>
          <w:spacing w:val="-1"/>
        </w:rPr>
        <w:t>关技术机构作为食品安全事故应急处置专业技术机构，应当在</w:t>
      </w:r>
      <w:r>
        <w:t>指挥部组织领导下开展应急处置相关工作。</w:t>
      </w:r>
    </w:p>
    <w:p>
      <w:pPr>
        <w:spacing w:after="0" w:line="328" w:lineRule="auto"/>
        <w:jc w:val="both"/>
        <w:sectPr>
          <w:pgSz w:w="11910" w:h="16840"/>
          <w:pgMar w:top="1580" w:right="1300" w:bottom="1400" w:left="1300" w:header="0" w:footer="1202" w:gutter="0"/>
          <w:cols w:space="720" w:num="1"/>
        </w:sectPr>
      </w:pPr>
    </w:p>
    <w:p>
      <w:pPr>
        <w:pStyle w:val="3"/>
        <w:ind w:left="0"/>
        <w:rPr>
          <w:sz w:val="20"/>
        </w:rPr>
      </w:pPr>
    </w:p>
    <w:p>
      <w:pPr>
        <w:pStyle w:val="3"/>
        <w:spacing w:before="1"/>
        <w:ind w:left="0"/>
        <w:rPr>
          <w:sz w:val="15"/>
        </w:rPr>
      </w:pPr>
    </w:p>
    <w:p>
      <w:pPr>
        <w:pStyle w:val="7"/>
        <w:numPr>
          <w:ilvl w:val="0"/>
          <w:numId w:val="6"/>
        </w:numPr>
        <w:tabs>
          <w:tab w:val="left" w:pos="1247"/>
        </w:tabs>
        <w:spacing w:before="64" w:after="0" w:line="240" w:lineRule="auto"/>
        <w:ind w:left="1246" w:right="0" w:hanging="320"/>
        <w:jc w:val="left"/>
        <w:rPr>
          <w:rFonts w:hint="eastAsia" w:ascii="黑体" w:eastAsia="黑体"/>
          <w:sz w:val="32"/>
        </w:rPr>
      </w:pPr>
      <w:r>
        <w:rPr>
          <w:rFonts w:hint="eastAsia" w:ascii="黑体" w:eastAsia="黑体"/>
          <w:sz w:val="32"/>
        </w:rPr>
        <w:t>监测预警、报告与评估</w:t>
      </w:r>
    </w:p>
    <w:p>
      <w:pPr>
        <w:pStyle w:val="7"/>
        <w:numPr>
          <w:ilvl w:val="1"/>
          <w:numId w:val="6"/>
        </w:numPr>
        <w:tabs>
          <w:tab w:val="left" w:pos="1487"/>
        </w:tabs>
        <w:spacing w:before="152" w:after="0" w:line="240" w:lineRule="auto"/>
        <w:ind w:left="1486" w:right="0" w:hanging="560"/>
        <w:jc w:val="left"/>
        <w:rPr>
          <w:sz w:val="32"/>
        </w:rPr>
      </w:pPr>
      <w:r>
        <w:rPr>
          <w:sz w:val="32"/>
        </w:rPr>
        <w:t>监测预警</w:t>
      </w:r>
    </w:p>
    <w:p>
      <w:pPr>
        <w:pStyle w:val="3"/>
        <w:spacing w:before="149" w:line="328" w:lineRule="auto"/>
        <w:ind w:right="125" w:firstLine="640"/>
      </w:pPr>
      <w:r>
        <w:rPr>
          <w:spacing w:val="1"/>
        </w:rPr>
        <w:t>县卫生健康局会同有关部门根据国家、省、市食品安全风</w:t>
      </w:r>
      <w:r>
        <w:t>险监测计划，结合我县具体情况，组织制定、实施食品安全风险监测方案。建立覆盖全县的食源性疾病、食品污染和食品中</w:t>
      </w:r>
      <w:r>
        <w:rPr>
          <w:spacing w:val="-8"/>
        </w:rPr>
        <w:t xml:space="preserve">有害因素监测体系。县卫生健康局根据食品安全风险监测结果， </w:t>
      </w:r>
      <w:r>
        <w:t>对可能具有较高程度安全风险的食品，向有关部门提出食品安全风险警示信息和监管建议。根据食品安全风险监测结果，必要时由县指挥部或县市场监管局会同有关部门及时向社会发布可能受到突发事件危害的提示、警告，控制事态蔓延。对于涉密的食品安全风险监测信息，有关部门应遵守相关管理规定， 做好信息保密工作。</w:t>
      </w:r>
    </w:p>
    <w:p>
      <w:pPr>
        <w:pStyle w:val="3"/>
        <w:spacing w:line="392" w:lineRule="exact"/>
        <w:ind w:left="927"/>
      </w:pPr>
      <w:r>
        <w:t>有关部门发现食品安全隐患或问题，应及时通报食品安全</w:t>
      </w:r>
    </w:p>
    <w:p>
      <w:pPr>
        <w:pStyle w:val="3"/>
        <w:spacing w:before="152"/>
      </w:pPr>
      <w:r>
        <w:t>监管部门和行业主管部门，并先行依法采取有效控制措施。</w:t>
      </w:r>
    </w:p>
    <w:p>
      <w:pPr>
        <w:pStyle w:val="7"/>
        <w:numPr>
          <w:ilvl w:val="1"/>
          <w:numId w:val="6"/>
        </w:numPr>
        <w:tabs>
          <w:tab w:val="left" w:pos="1487"/>
        </w:tabs>
        <w:spacing w:before="149" w:after="0" w:line="240" w:lineRule="auto"/>
        <w:ind w:left="1486" w:right="0" w:hanging="560"/>
        <w:jc w:val="left"/>
        <w:rPr>
          <w:sz w:val="32"/>
        </w:rPr>
      </w:pPr>
      <w:r>
        <w:rPr>
          <w:sz w:val="32"/>
        </w:rPr>
        <w:t>事故报告</w:t>
      </w:r>
    </w:p>
    <w:p>
      <w:pPr>
        <w:pStyle w:val="7"/>
        <w:numPr>
          <w:ilvl w:val="2"/>
          <w:numId w:val="6"/>
        </w:numPr>
        <w:tabs>
          <w:tab w:val="left" w:pos="1727"/>
        </w:tabs>
        <w:spacing w:before="149" w:after="0" w:line="240" w:lineRule="auto"/>
        <w:ind w:left="1726" w:right="0" w:hanging="800"/>
        <w:jc w:val="left"/>
        <w:rPr>
          <w:sz w:val="32"/>
        </w:rPr>
      </w:pPr>
      <w:r>
        <w:rPr>
          <w:sz w:val="32"/>
        </w:rPr>
        <w:t>事故信息来源</w:t>
      </w:r>
    </w:p>
    <w:p>
      <w:pPr>
        <w:pStyle w:val="7"/>
        <w:numPr>
          <w:ilvl w:val="0"/>
          <w:numId w:val="8"/>
        </w:numPr>
        <w:tabs>
          <w:tab w:val="left" w:pos="1728"/>
        </w:tabs>
        <w:spacing w:before="152" w:after="0" w:line="326" w:lineRule="auto"/>
        <w:ind w:left="286" w:right="286" w:firstLine="640"/>
        <w:jc w:val="left"/>
        <w:rPr>
          <w:sz w:val="32"/>
        </w:rPr>
      </w:pPr>
      <w:r>
        <w:rPr>
          <w:sz w:val="32"/>
        </w:rPr>
        <w:t>食品安全事故发生单位与引发食品安全事故的生产经营单位报告的信息；</w:t>
      </w:r>
    </w:p>
    <w:p>
      <w:pPr>
        <w:pStyle w:val="7"/>
        <w:numPr>
          <w:ilvl w:val="0"/>
          <w:numId w:val="8"/>
        </w:numPr>
        <w:tabs>
          <w:tab w:val="left" w:pos="1728"/>
        </w:tabs>
        <w:spacing w:before="3" w:after="0" w:line="328" w:lineRule="auto"/>
        <w:ind w:left="286" w:right="286" w:firstLine="640"/>
        <w:jc w:val="both"/>
        <w:rPr>
          <w:sz w:val="32"/>
        </w:rPr>
      </w:pPr>
      <w:r>
        <w:rPr>
          <w:spacing w:val="-6"/>
          <w:sz w:val="32"/>
        </w:rPr>
        <w:t>食用农产品、食品安全监管部门或其他有关部门在</w:t>
      </w:r>
      <w:r>
        <w:rPr>
          <w:w w:val="95"/>
          <w:sz w:val="32"/>
        </w:rPr>
        <w:t xml:space="preserve">日常监督管理中发现，并向市场监管部门和卫生健康局通报的 </w:t>
      </w:r>
      <w:r>
        <w:rPr>
          <w:spacing w:val="-5"/>
          <w:sz w:val="32"/>
        </w:rPr>
        <w:t>信息；</w:t>
      </w:r>
    </w:p>
    <w:p>
      <w:pPr>
        <w:pStyle w:val="7"/>
        <w:numPr>
          <w:ilvl w:val="0"/>
          <w:numId w:val="8"/>
        </w:numPr>
        <w:tabs>
          <w:tab w:val="left" w:pos="1728"/>
        </w:tabs>
        <w:spacing w:before="0" w:after="0" w:line="405" w:lineRule="exact"/>
        <w:ind w:left="1727" w:right="0" w:hanging="801"/>
        <w:jc w:val="left"/>
        <w:rPr>
          <w:sz w:val="32"/>
        </w:rPr>
      </w:pPr>
      <w:r>
        <w:rPr>
          <w:sz w:val="32"/>
        </w:rPr>
        <w:t>镇（街道）报送的信息；</w:t>
      </w:r>
    </w:p>
    <w:p>
      <w:pPr>
        <w:pStyle w:val="7"/>
        <w:numPr>
          <w:ilvl w:val="0"/>
          <w:numId w:val="8"/>
        </w:numPr>
        <w:tabs>
          <w:tab w:val="left" w:pos="1728"/>
        </w:tabs>
        <w:spacing w:before="151" w:after="0" w:line="240" w:lineRule="auto"/>
        <w:ind w:left="1727" w:right="0" w:hanging="801"/>
        <w:jc w:val="left"/>
        <w:rPr>
          <w:sz w:val="32"/>
        </w:rPr>
      </w:pPr>
      <w:r>
        <w:rPr>
          <w:sz w:val="32"/>
        </w:rPr>
        <w:t>医疗机构报告的信息；</w:t>
      </w:r>
    </w:p>
    <w:p>
      <w:pPr>
        <w:spacing w:after="0" w:line="240" w:lineRule="auto"/>
        <w:jc w:val="left"/>
        <w:rPr>
          <w:sz w:val="32"/>
        </w:rPr>
        <w:sectPr>
          <w:pgSz w:w="11910" w:h="16840"/>
          <w:pgMar w:top="1580" w:right="1300" w:bottom="1400" w:left="1300" w:header="0" w:footer="1202" w:gutter="0"/>
          <w:cols w:space="720" w:num="1"/>
        </w:sectPr>
      </w:pPr>
    </w:p>
    <w:p>
      <w:pPr>
        <w:pStyle w:val="3"/>
        <w:ind w:left="0"/>
        <w:rPr>
          <w:sz w:val="20"/>
        </w:rPr>
      </w:pPr>
    </w:p>
    <w:p>
      <w:pPr>
        <w:pStyle w:val="3"/>
        <w:spacing w:before="1"/>
        <w:ind w:left="0"/>
        <w:rPr>
          <w:sz w:val="15"/>
        </w:rPr>
      </w:pPr>
    </w:p>
    <w:p>
      <w:pPr>
        <w:pStyle w:val="7"/>
        <w:numPr>
          <w:ilvl w:val="0"/>
          <w:numId w:val="8"/>
        </w:numPr>
        <w:tabs>
          <w:tab w:val="left" w:pos="1728"/>
        </w:tabs>
        <w:spacing w:before="64" w:after="0" w:line="240" w:lineRule="auto"/>
        <w:ind w:left="1727" w:right="0" w:hanging="801"/>
        <w:jc w:val="left"/>
        <w:rPr>
          <w:sz w:val="32"/>
        </w:rPr>
      </w:pPr>
      <w:r>
        <w:rPr>
          <w:sz w:val="32"/>
        </w:rPr>
        <w:t>食品安全相关技术机构提供的监测数据和分析结果；</w:t>
      </w:r>
    </w:p>
    <w:p>
      <w:pPr>
        <w:pStyle w:val="7"/>
        <w:numPr>
          <w:ilvl w:val="0"/>
          <w:numId w:val="8"/>
        </w:numPr>
        <w:tabs>
          <w:tab w:val="left" w:pos="1728"/>
        </w:tabs>
        <w:spacing w:before="152" w:after="0" w:line="240" w:lineRule="auto"/>
        <w:ind w:left="1727" w:right="0" w:hanging="801"/>
        <w:jc w:val="left"/>
        <w:rPr>
          <w:sz w:val="32"/>
        </w:rPr>
      </w:pPr>
      <w:r>
        <w:rPr>
          <w:sz w:val="32"/>
        </w:rPr>
        <w:t>经核实的公众举报信息；</w:t>
      </w:r>
    </w:p>
    <w:p>
      <w:pPr>
        <w:pStyle w:val="7"/>
        <w:numPr>
          <w:ilvl w:val="0"/>
          <w:numId w:val="8"/>
        </w:numPr>
        <w:tabs>
          <w:tab w:val="left" w:pos="1728"/>
        </w:tabs>
        <w:spacing w:before="149" w:after="0" w:line="240" w:lineRule="auto"/>
        <w:ind w:left="1727" w:right="0" w:hanging="801"/>
        <w:jc w:val="left"/>
        <w:rPr>
          <w:sz w:val="32"/>
        </w:rPr>
      </w:pPr>
      <w:r>
        <w:rPr>
          <w:sz w:val="32"/>
        </w:rPr>
        <w:t>经核实的媒体披露与报道的信息；</w:t>
      </w:r>
    </w:p>
    <w:p>
      <w:pPr>
        <w:pStyle w:val="7"/>
        <w:numPr>
          <w:ilvl w:val="0"/>
          <w:numId w:val="8"/>
        </w:numPr>
        <w:tabs>
          <w:tab w:val="left" w:pos="1728"/>
        </w:tabs>
        <w:spacing w:before="149" w:after="0" w:line="240" w:lineRule="auto"/>
        <w:ind w:left="1727" w:right="0" w:hanging="801"/>
        <w:jc w:val="left"/>
        <w:rPr>
          <w:sz w:val="32"/>
        </w:rPr>
      </w:pPr>
      <w:r>
        <w:rPr>
          <w:spacing w:val="-14"/>
          <w:sz w:val="32"/>
        </w:rPr>
        <w:t>国家、省、市或其他县有关部门通报涉及我县的信息；</w:t>
      </w:r>
    </w:p>
    <w:p>
      <w:pPr>
        <w:pStyle w:val="7"/>
        <w:numPr>
          <w:ilvl w:val="0"/>
          <w:numId w:val="8"/>
        </w:numPr>
        <w:tabs>
          <w:tab w:val="left" w:pos="1728"/>
        </w:tabs>
        <w:spacing w:before="152" w:after="0" w:line="326" w:lineRule="auto"/>
        <w:ind w:left="286" w:right="286" w:firstLine="640"/>
        <w:jc w:val="left"/>
        <w:rPr>
          <w:sz w:val="32"/>
        </w:rPr>
      </w:pPr>
      <w:r>
        <w:rPr>
          <w:spacing w:val="-3"/>
          <w:sz w:val="32"/>
        </w:rPr>
        <w:t>世界卫生组织等国际机构、其他国家和地区通报涉及我县的信息。</w:t>
      </w:r>
    </w:p>
    <w:p>
      <w:pPr>
        <w:pStyle w:val="7"/>
        <w:numPr>
          <w:ilvl w:val="2"/>
          <w:numId w:val="6"/>
        </w:numPr>
        <w:tabs>
          <w:tab w:val="left" w:pos="1727"/>
        </w:tabs>
        <w:spacing w:before="3" w:after="0" w:line="240" w:lineRule="auto"/>
        <w:ind w:left="1726" w:right="0" w:hanging="800"/>
        <w:jc w:val="left"/>
        <w:rPr>
          <w:sz w:val="32"/>
        </w:rPr>
      </w:pPr>
      <w:r>
        <w:rPr>
          <w:sz w:val="32"/>
        </w:rPr>
        <w:t>报告主体、程序和时限</w:t>
      </w:r>
    </w:p>
    <w:p>
      <w:pPr>
        <w:pStyle w:val="7"/>
        <w:numPr>
          <w:ilvl w:val="0"/>
          <w:numId w:val="9"/>
        </w:numPr>
        <w:tabs>
          <w:tab w:val="left" w:pos="1728"/>
        </w:tabs>
        <w:spacing w:before="152" w:after="0" w:line="326" w:lineRule="auto"/>
        <w:ind w:left="286" w:right="286" w:firstLine="640"/>
        <w:jc w:val="both"/>
        <w:rPr>
          <w:sz w:val="32"/>
        </w:rPr>
      </w:pPr>
      <w:r>
        <w:rPr>
          <w:sz w:val="32"/>
        </w:rPr>
        <w:t>食品生产经营者发现其生产经营的食品造成或者可</w:t>
      </w:r>
      <w:r>
        <w:rPr>
          <w:spacing w:val="-5"/>
          <w:sz w:val="32"/>
        </w:rPr>
        <w:t xml:space="preserve">能造成公众健康损害的情况和信息，应在 </w:t>
      </w:r>
      <w:r>
        <w:rPr>
          <w:rFonts w:ascii="Times New Roman" w:eastAsia="Times New Roman"/>
          <w:sz w:val="32"/>
        </w:rPr>
        <w:t>2</w:t>
      </w:r>
      <w:r>
        <w:rPr>
          <w:rFonts w:ascii="Times New Roman" w:eastAsia="Times New Roman"/>
          <w:spacing w:val="-7"/>
          <w:sz w:val="32"/>
        </w:rPr>
        <w:t xml:space="preserve"> </w:t>
      </w:r>
      <w:r>
        <w:rPr>
          <w:spacing w:val="3"/>
          <w:sz w:val="32"/>
        </w:rPr>
        <w:t>小时内向所在地市</w:t>
      </w:r>
      <w:r>
        <w:rPr>
          <w:spacing w:val="-4"/>
          <w:sz w:val="32"/>
        </w:rPr>
        <w:t>场监管部门和负责本单位食品安全监管工作的有关部门报告。</w:t>
      </w:r>
    </w:p>
    <w:p>
      <w:pPr>
        <w:pStyle w:val="7"/>
        <w:numPr>
          <w:ilvl w:val="0"/>
          <w:numId w:val="9"/>
        </w:numPr>
        <w:tabs>
          <w:tab w:val="left" w:pos="1728"/>
        </w:tabs>
        <w:spacing w:before="7" w:after="0" w:line="326" w:lineRule="auto"/>
        <w:ind w:left="286" w:right="218" w:firstLine="640"/>
        <w:jc w:val="both"/>
        <w:rPr>
          <w:sz w:val="32"/>
        </w:rPr>
      </w:pPr>
      <w:r>
        <w:rPr>
          <w:sz w:val="32"/>
        </w:rPr>
        <w:t xml:space="preserve">发生可能与食品有关的急性群体性健康损害的单位， </w:t>
      </w:r>
      <w:r>
        <w:rPr>
          <w:spacing w:val="-26"/>
          <w:sz w:val="32"/>
        </w:rPr>
        <w:t xml:space="preserve">应在 </w:t>
      </w:r>
      <w:r>
        <w:rPr>
          <w:rFonts w:ascii="Times New Roman" w:eastAsia="Times New Roman"/>
          <w:sz w:val="32"/>
        </w:rPr>
        <w:t>2</w:t>
      </w:r>
      <w:r>
        <w:rPr>
          <w:rFonts w:ascii="Times New Roman" w:eastAsia="Times New Roman"/>
          <w:spacing w:val="-4"/>
          <w:sz w:val="32"/>
        </w:rPr>
        <w:t xml:space="preserve"> </w:t>
      </w:r>
      <w:r>
        <w:rPr>
          <w:sz w:val="32"/>
        </w:rPr>
        <w:t>小时向所在地市场监管部门、卫生健康部门和有关监管部门报告。</w:t>
      </w:r>
    </w:p>
    <w:p>
      <w:pPr>
        <w:pStyle w:val="7"/>
        <w:numPr>
          <w:ilvl w:val="0"/>
          <w:numId w:val="9"/>
        </w:numPr>
        <w:tabs>
          <w:tab w:val="left" w:pos="1728"/>
        </w:tabs>
        <w:spacing w:before="7" w:after="0" w:line="328" w:lineRule="auto"/>
        <w:ind w:left="286" w:right="286" w:firstLine="640"/>
        <w:jc w:val="both"/>
        <w:rPr>
          <w:sz w:val="32"/>
        </w:rPr>
      </w:pPr>
      <w:r>
        <w:rPr>
          <w:spacing w:val="-3"/>
          <w:sz w:val="32"/>
        </w:rPr>
        <w:t>接收食品安全事故病人治疗的单位，应当及时向所</w:t>
      </w:r>
      <w:r>
        <w:rPr>
          <w:w w:val="95"/>
          <w:sz w:val="32"/>
        </w:rPr>
        <w:t xml:space="preserve">在地卫生健康部门报告。医疗机构发现其接收的病人属于食源 </w:t>
      </w:r>
      <w:r>
        <w:rPr>
          <w:sz w:val="32"/>
        </w:rPr>
        <w:t>性疾病病人或疑似病人的，应当按照规定及时将相关信息向所在地卫生健康部门报告。卫生健康部门认为与食品安全有关的</w:t>
      </w:r>
      <w:r>
        <w:rPr>
          <w:spacing w:val="-4"/>
          <w:sz w:val="32"/>
        </w:rPr>
        <w:t>，应当及时通报同级市场监管部门。</w:t>
      </w:r>
    </w:p>
    <w:p>
      <w:pPr>
        <w:pStyle w:val="7"/>
        <w:numPr>
          <w:ilvl w:val="0"/>
          <w:numId w:val="9"/>
        </w:numPr>
        <w:tabs>
          <w:tab w:val="left" w:pos="1728"/>
        </w:tabs>
        <w:spacing w:before="0" w:after="0" w:line="328" w:lineRule="auto"/>
        <w:ind w:left="927" w:right="284" w:firstLine="0"/>
        <w:jc w:val="left"/>
        <w:rPr>
          <w:sz w:val="32"/>
        </w:rPr>
      </w:pPr>
      <w:r>
        <w:rPr>
          <w:spacing w:val="-3"/>
          <w:sz w:val="32"/>
        </w:rPr>
        <w:t>食品安全相关技术机构、社会团体及个人发现食品</w:t>
      </w:r>
      <w:r>
        <w:rPr>
          <w:w w:val="95"/>
          <w:sz w:val="32"/>
        </w:rPr>
        <w:t xml:space="preserve">安全事故相关情况，应当迅速向所在地市场监管部门和有 </w:t>
      </w:r>
      <w:r>
        <w:rPr>
          <w:spacing w:val="-15"/>
          <w:sz w:val="32"/>
        </w:rPr>
        <w:t>关</w:t>
      </w:r>
    </w:p>
    <w:p>
      <w:pPr>
        <w:pStyle w:val="3"/>
        <w:spacing w:line="328" w:lineRule="auto"/>
        <w:ind w:right="125"/>
      </w:pPr>
      <w:r>
        <w:t>监管部门报告或举报。接受举报的有关部门应当按照《高青县</w:t>
      </w:r>
      <w:r>
        <w:rPr>
          <w:spacing w:val="-5"/>
          <w:w w:val="95"/>
        </w:rPr>
        <w:t xml:space="preserve">食品药品安全举报奖励办法》的规定，对举报人信息予以保密， </w:t>
      </w:r>
      <w:r>
        <w:t>举报内容属实并依法查处后，按规定对举报人给予奖励。任何</w:t>
      </w:r>
    </w:p>
    <w:p>
      <w:pPr>
        <w:spacing w:after="0" w:line="328" w:lineRule="auto"/>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line="328" w:lineRule="auto"/>
        <w:ind w:right="286"/>
      </w:pPr>
      <w:r>
        <w:t>单位或个人不得对食品安全事故瞒报、谎报、迟报、漏报，不得毁灭有关证据，不得阻碍他人举报。</w:t>
      </w:r>
    </w:p>
    <w:p>
      <w:pPr>
        <w:pStyle w:val="7"/>
        <w:numPr>
          <w:ilvl w:val="0"/>
          <w:numId w:val="9"/>
        </w:numPr>
        <w:tabs>
          <w:tab w:val="left" w:pos="1728"/>
        </w:tabs>
        <w:spacing w:before="0" w:after="0" w:line="328" w:lineRule="auto"/>
        <w:ind w:left="286" w:right="286" w:firstLine="640"/>
        <w:jc w:val="both"/>
        <w:rPr>
          <w:sz w:val="32"/>
        </w:rPr>
      </w:pPr>
      <w:r>
        <w:rPr>
          <w:sz w:val="32"/>
        </w:rPr>
        <w:t>有关监管部门发现食品安全事故或接到食品安全事</w:t>
      </w:r>
      <w:r>
        <w:rPr>
          <w:w w:val="95"/>
          <w:sz w:val="32"/>
        </w:rPr>
        <w:t xml:space="preserve">故报告或举报，应立即通报同级市场监管部门和其他有关部门 </w:t>
      </w:r>
      <w:r>
        <w:rPr>
          <w:sz w:val="32"/>
        </w:rPr>
        <w:t>，经初步核实后，要继续收集相关信息，并及时将有关新情况</w:t>
      </w:r>
      <w:r>
        <w:rPr>
          <w:spacing w:val="-4"/>
          <w:sz w:val="32"/>
        </w:rPr>
        <w:t>向同级市场监管部门和其他有关部门通报。</w:t>
      </w:r>
    </w:p>
    <w:p>
      <w:pPr>
        <w:pStyle w:val="7"/>
        <w:numPr>
          <w:ilvl w:val="0"/>
          <w:numId w:val="9"/>
        </w:numPr>
        <w:tabs>
          <w:tab w:val="left" w:pos="1728"/>
        </w:tabs>
        <w:spacing w:before="0" w:after="0" w:line="328" w:lineRule="auto"/>
        <w:ind w:left="286" w:right="286" w:firstLine="640"/>
        <w:jc w:val="both"/>
        <w:rPr>
          <w:sz w:val="32"/>
        </w:rPr>
      </w:pPr>
      <w:r>
        <w:rPr>
          <w:spacing w:val="-2"/>
          <w:sz w:val="32"/>
        </w:rPr>
        <w:t xml:space="preserve">经初步核实为食品安全事故需要启动应急响应的， </w:t>
      </w:r>
      <w:r>
        <w:rPr>
          <w:w w:val="95"/>
          <w:sz w:val="32"/>
        </w:rPr>
        <w:t>各级市场监管部门应当按规定向本级政府及上级市场监管部门 报告；对一般</w:t>
      </w:r>
      <w:r>
        <w:rPr>
          <w:spacing w:val="5"/>
          <w:w w:val="95"/>
          <w:sz w:val="32"/>
        </w:rPr>
        <w:t>（Ⅳ级）</w:t>
      </w:r>
      <w:r>
        <w:rPr>
          <w:spacing w:val="3"/>
          <w:w w:val="95"/>
          <w:sz w:val="32"/>
        </w:rPr>
        <w:t>、较大（</w:t>
      </w:r>
      <w:r>
        <w:rPr>
          <w:spacing w:val="4"/>
          <w:w w:val="95"/>
          <w:sz w:val="32"/>
        </w:rPr>
        <w:t>Ⅲ级</w:t>
      </w:r>
      <w:r>
        <w:rPr>
          <w:spacing w:val="5"/>
          <w:w w:val="95"/>
          <w:sz w:val="32"/>
        </w:rPr>
        <w:t>）</w:t>
      </w:r>
      <w:r>
        <w:rPr>
          <w:spacing w:val="2"/>
          <w:w w:val="95"/>
          <w:sz w:val="32"/>
        </w:rPr>
        <w:t xml:space="preserve">食品安全事故，县政府 </w:t>
      </w:r>
      <w:r>
        <w:rPr>
          <w:spacing w:val="-13"/>
          <w:sz w:val="32"/>
        </w:rPr>
        <w:t xml:space="preserve">接报后，应在 </w:t>
      </w:r>
      <w:r>
        <w:rPr>
          <w:rFonts w:ascii="Times New Roman" w:hAnsi="Times New Roman" w:eastAsia="Times New Roman"/>
          <w:sz w:val="32"/>
        </w:rPr>
        <w:t>2</w:t>
      </w:r>
      <w:r>
        <w:rPr>
          <w:rFonts w:ascii="Times New Roman" w:hAnsi="Times New Roman" w:eastAsia="Times New Roman"/>
          <w:spacing w:val="-2"/>
          <w:sz w:val="32"/>
        </w:rPr>
        <w:t xml:space="preserve"> </w:t>
      </w:r>
      <w:r>
        <w:rPr>
          <w:spacing w:val="1"/>
          <w:sz w:val="32"/>
        </w:rPr>
        <w:t>小时内向市政府报告。对特别重大</w:t>
      </w:r>
      <w:r>
        <w:rPr>
          <w:spacing w:val="5"/>
          <w:sz w:val="32"/>
        </w:rPr>
        <w:t>（Ⅰ级）</w:t>
      </w:r>
      <w:r>
        <w:rPr>
          <w:sz w:val="32"/>
        </w:rPr>
        <w:t>、</w:t>
      </w:r>
      <w:r>
        <w:rPr>
          <w:spacing w:val="-4"/>
          <w:w w:val="95"/>
          <w:sz w:val="32"/>
        </w:rPr>
        <w:t>重大</w:t>
      </w:r>
      <w:r>
        <w:rPr>
          <w:spacing w:val="3"/>
          <w:w w:val="95"/>
          <w:sz w:val="32"/>
        </w:rPr>
        <w:t>（</w:t>
      </w:r>
      <w:r>
        <w:rPr>
          <w:spacing w:val="4"/>
          <w:w w:val="95"/>
          <w:sz w:val="32"/>
        </w:rPr>
        <w:t>Ⅱ级</w:t>
      </w:r>
      <w:r>
        <w:rPr>
          <w:spacing w:val="5"/>
          <w:w w:val="95"/>
          <w:sz w:val="32"/>
        </w:rPr>
        <w:t>）</w:t>
      </w:r>
      <w:r>
        <w:rPr>
          <w:w w:val="95"/>
          <w:sz w:val="32"/>
        </w:rPr>
        <w:t xml:space="preserve">食品安全事故的首报信息，实行信息直报，县市 </w:t>
      </w:r>
      <w:r>
        <w:rPr>
          <w:spacing w:val="-13"/>
          <w:sz w:val="32"/>
        </w:rPr>
        <w:t xml:space="preserve">场监管局应在 </w:t>
      </w:r>
      <w:r>
        <w:rPr>
          <w:rFonts w:ascii="Times New Roman" w:hAnsi="Times New Roman" w:eastAsia="Times New Roman"/>
          <w:sz w:val="32"/>
        </w:rPr>
        <w:t>2</w:t>
      </w:r>
      <w:r>
        <w:rPr>
          <w:rFonts w:ascii="Times New Roman" w:hAnsi="Times New Roman" w:eastAsia="Times New Roman"/>
          <w:spacing w:val="-2"/>
          <w:sz w:val="32"/>
        </w:rPr>
        <w:t xml:space="preserve"> </w:t>
      </w:r>
      <w:r>
        <w:rPr>
          <w:sz w:val="32"/>
        </w:rPr>
        <w:t>小时内向省市场监管局报告信息，并同时向本</w:t>
      </w:r>
      <w:r>
        <w:rPr>
          <w:w w:val="95"/>
          <w:sz w:val="32"/>
        </w:rPr>
        <w:t xml:space="preserve">级政府和市市场监管局报告。必要时，可直接向国家市场监管 </w:t>
      </w:r>
      <w:r>
        <w:rPr>
          <w:spacing w:val="-4"/>
          <w:sz w:val="32"/>
        </w:rPr>
        <w:t>总局报告。</w:t>
      </w:r>
    </w:p>
    <w:p>
      <w:pPr>
        <w:pStyle w:val="7"/>
        <w:numPr>
          <w:ilvl w:val="2"/>
          <w:numId w:val="6"/>
        </w:numPr>
        <w:tabs>
          <w:tab w:val="left" w:pos="1727"/>
        </w:tabs>
        <w:spacing w:before="0" w:after="0" w:line="397" w:lineRule="exact"/>
        <w:ind w:left="1726" w:right="0" w:hanging="800"/>
        <w:jc w:val="left"/>
        <w:rPr>
          <w:sz w:val="32"/>
        </w:rPr>
      </w:pPr>
      <w:r>
        <w:rPr>
          <w:sz w:val="32"/>
        </w:rPr>
        <w:t>报告内容</w:t>
      </w:r>
    </w:p>
    <w:p>
      <w:pPr>
        <w:pStyle w:val="3"/>
        <w:spacing w:before="139" w:line="328" w:lineRule="auto"/>
        <w:ind w:right="286" w:firstLine="640"/>
        <w:jc w:val="both"/>
      </w:pPr>
      <w:r>
        <w:rPr>
          <w:spacing w:val="2"/>
          <w:w w:val="95"/>
        </w:rPr>
        <w:t xml:space="preserve">食品生产经营者、医疗、技术机构和社会团体、个人向各 </w:t>
      </w:r>
      <w:r>
        <w:rPr>
          <w:spacing w:val="-1"/>
        </w:rPr>
        <w:t>级市场监管局、卫生健康局和有关监管部门报告疑似食品安全事故信息时，应当包括事故发生时间、地点、单位、危害程度</w:t>
      </w:r>
      <w:r>
        <w:t>和受伤害人数等基本信息。</w:t>
      </w:r>
    </w:p>
    <w:p>
      <w:pPr>
        <w:pStyle w:val="3"/>
        <w:spacing w:line="328" w:lineRule="auto"/>
        <w:ind w:right="286" w:firstLine="640"/>
        <w:jc w:val="both"/>
      </w:pPr>
      <w:r>
        <w:rPr>
          <w:spacing w:val="2"/>
          <w:w w:val="95"/>
        </w:rPr>
        <w:t xml:space="preserve">有关监管部门报告分为初次报告、阶段报告和总结报告。 </w:t>
      </w:r>
      <w:r>
        <w:rPr>
          <w:spacing w:val="-1"/>
        </w:rPr>
        <w:t>初次报告内容应包括食品安全事故发生的时间、地点、单位、危害程度、初步判定伤亡人数、事故报告的单位、时间、联系人及联系方式等，以及事故原因的初步判断、采取的措施及事</w:t>
      </w:r>
    </w:p>
    <w:p>
      <w:pPr>
        <w:spacing w:after="0" w:line="328" w:lineRule="auto"/>
        <w:jc w:val="both"/>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pPr>
      <w:r>
        <w:t>故控制情况等信息。</w:t>
      </w:r>
    </w:p>
    <w:p>
      <w:pPr>
        <w:pStyle w:val="3"/>
        <w:spacing w:before="152" w:line="326" w:lineRule="auto"/>
        <w:ind w:right="286" w:firstLine="640"/>
      </w:pPr>
      <w:r>
        <w:rPr>
          <w:spacing w:val="2"/>
          <w:w w:val="95"/>
        </w:rPr>
        <w:t xml:space="preserve">阶段报告内容应包括事故的发展与变化、处置进程、事故 </w:t>
      </w:r>
      <w:r>
        <w:t>原因，并对初次报告情况进行补充和修正。</w:t>
      </w:r>
    </w:p>
    <w:p>
      <w:pPr>
        <w:pStyle w:val="3"/>
        <w:spacing w:before="3" w:line="328" w:lineRule="auto"/>
        <w:ind w:right="286" w:firstLine="640"/>
        <w:jc w:val="both"/>
      </w:pPr>
      <w:r>
        <w:rPr>
          <w:spacing w:val="2"/>
          <w:w w:val="95"/>
        </w:rPr>
        <w:t xml:space="preserve">总结报告内容应包括食品安全事故鉴定结论、事故发生和 </w:t>
      </w:r>
      <w:r>
        <w:rPr>
          <w:spacing w:val="-1"/>
        </w:rPr>
        <w:t>处理情况；提出今后对类似事故的防范措施和处置建议；提出对引发食品安全事故的有关单位和责任人的处罚意见。总结报</w:t>
      </w:r>
      <w:r>
        <w:rPr>
          <w:spacing w:val="-8"/>
        </w:rPr>
        <w:t xml:space="preserve">告要在事故处理结束后 </w:t>
      </w:r>
      <w:r>
        <w:rPr>
          <w:rFonts w:ascii="Times New Roman" w:eastAsia="Times New Roman"/>
        </w:rPr>
        <w:t xml:space="preserve">10 </w:t>
      </w:r>
      <w:r>
        <w:t>日内形成。</w:t>
      </w:r>
    </w:p>
    <w:p>
      <w:pPr>
        <w:pStyle w:val="7"/>
        <w:numPr>
          <w:ilvl w:val="1"/>
          <w:numId w:val="6"/>
        </w:numPr>
        <w:tabs>
          <w:tab w:val="left" w:pos="1487"/>
        </w:tabs>
        <w:spacing w:before="0" w:after="0" w:line="405" w:lineRule="exact"/>
        <w:ind w:left="1486" w:right="0" w:hanging="560"/>
        <w:jc w:val="both"/>
        <w:rPr>
          <w:sz w:val="32"/>
        </w:rPr>
      </w:pPr>
      <w:r>
        <w:rPr>
          <w:sz w:val="32"/>
        </w:rPr>
        <w:t>事故评估</w:t>
      </w:r>
    </w:p>
    <w:p>
      <w:pPr>
        <w:pStyle w:val="7"/>
        <w:numPr>
          <w:ilvl w:val="2"/>
          <w:numId w:val="6"/>
        </w:numPr>
        <w:tabs>
          <w:tab w:val="left" w:pos="1739"/>
        </w:tabs>
        <w:spacing w:before="149" w:after="0" w:line="328" w:lineRule="auto"/>
        <w:ind w:left="286" w:right="286" w:firstLine="640"/>
        <w:jc w:val="both"/>
        <w:rPr>
          <w:sz w:val="32"/>
        </w:rPr>
      </w:pPr>
      <w:r>
        <w:rPr>
          <w:spacing w:val="11"/>
          <w:w w:val="95"/>
          <w:sz w:val="32"/>
        </w:rPr>
        <w:t xml:space="preserve">有关监管部门应当按照规定及时向同级市场监管部 </w:t>
      </w:r>
      <w:r>
        <w:rPr>
          <w:spacing w:val="-1"/>
          <w:sz w:val="32"/>
        </w:rPr>
        <w:t>门提供相关信息和资料，由市场监管部门会同有关部门统一组</w:t>
      </w:r>
      <w:r>
        <w:rPr>
          <w:sz w:val="32"/>
        </w:rPr>
        <w:t>织协调开展食品安全事故评估。</w:t>
      </w:r>
    </w:p>
    <w:p>
      <w:pPr>
        <w:pStyle w:val="7"/>
        <w:numPr>
          <w:ilvl w:val="2"/>
          <w:numId w:val="6"/>
        </w:numPr>
        <w:tabs>
          <w:tab w:val="left" w:pos="1739"/>
        </w:tabs>
        <w:spacing w:before="0" w:after="0" w:line="326" w:lineRule="auto"/>
        <w:ind w:left="286" w:right="286" w:firstLine="640"/>
        <w:jc w:val="both"/>
        <w:rPr>
          <w:sz w:val="32"/>
        </w:rPr>
      </w:pPr>
      <w:r>
        <w:rPr>
          <w:spacing w:val="11"/>
          <w:w w:val="95"/>
          <w:sz w:val="32"/>
        </w:rPr>
        <w:t xml:space="preserve">食品安全事故评估是为核定食品安全事故等级和确 </w:t>
      </w:r>
      <w:r>
        <w:rPr>
          <w:spacing w:val="11"/>
          <w:sz w:val="32"/>
        </w:rPr>
        <w:t>定应采取的措施而进行的评估。评估有关内容包括：</w:t>
      </w:r>
    </w:p>
    <w:p>
      <w:pPr>
        <w:pStyle w:val="7"/>
        <w:numPr>
          <w:ilvl w:val="0"/>
          <w:numId w:val="10"/>
        </w:numPr>
        <w:tabs>
          <w:tab w:val="left" w:pos="1728"/>
        </w:tabs>
        <w:spacing w:before="1" w:after="0" w:line="326" w:lineRule="auto"/>
        <w:ind w:left="286" w:right="286" w:firstLine="640"/>
        <w:jc w:val="left"/>
        <w:rPr>
          <w:sz w:val="32"/>
        </w:rPr>
      </w:pPr>
      <w:r>
        <w:rPr>
          <w:spacing w:val="-2"/>
          <w:sz w:val="32"/>
        </w:rPr>
        <w:t>污染食品可能导致的健康损害及涉及范围，是否已造成健康损害后果及严重程度；</w:t>
      </w:r>
    </w:p>
    <w:p>
      <w:pPr>
        <w:pStyle w:val="7"/>
        <w:numPr>
          <w:ilvl w:val="0"/>
          <w:numId w:val="10"/>
        </w:numPr>
        <w:tabs>
          <w:tab w:val="left" w:pos="1728"/>
        </w:tabs>
        <w:spacing w:before="3" w:after="0" w:line="240" w:lineRule="auto"/>
        <w:ind w:left="1727" w:right="0" w:hanging="801"/>
        <w:jc w:val="left"/>
        <w:rPr>
          <w:sz w:val="32"/>
        </w:rPr>
      </w:pPr>
      <w:r>
        <w:rPr>
          <w:sz w:val="32"/>
        </w:rPr>
        <w:t>事故影响范围及严重程度；</w:t>
      </w:r>
    </w:p>
    <w:p>
      <w:pPr>
        <w:pStyle w:val="7"/>
        <w:numPr>
          <w:ilvl w:val="0"/>
          <w:numId w:val="10"/>
        </w:numPr>
        <w:tabs>
          <w:tab w:val="left" w:pos="1728"/>
        </w:tabs>
        <w:spacing w:before="152" w:after="0" w:line="240" w:lineRule="auto"/>
        <w:ind w:left="1727" w:right="0" w:hanging="801"/>
        <w:jc w:val="left"/>
        <w:rPr>
          <w:sz w:val="32"/>
        </w:rPr>
      </w:pPr>
      <w:r>
        <w:rPr>
          <w:sz w:val="32"/>
        </w:rPr>
        <w:t>事故发展蔓延趋势。</w:t>
      </w:r>
    </w:p>
    <w:p>
      <w:pPr>
        <w:pStyle w:val="7"/>
        <w:numPr>
          <w:ilvl w:val="0"/>
          <w:numId w:val="6"/>
        </w:numPr>
        <w:tabs>
          <w:tab w:val="left" w:pos="1247"/>
        </w:tabs>
        <w:spacing w:before="149" w:after="0" w:line="240" w:lineRule="auto"/>
        <w:ind w:left="1246" w:right="0" w:hanging="320"/>
        <w:jc w:val="both"/>
        <w:rPr>
          <w:rFonts w:hint="eastAsia" w:ascii="黑体" w:eastAsia="黑体"/>
          <w:sz w:val="32"/>
        </w:rPr>
      </w:pPr>
      <w:r>
        <w:rPr>
          <w:rFonts w:hint="eastAsia" w:ascii="黑体" w:eastAsia="黑体"/>
          <w:sz w:val="32"/>
        </w:rPr>
        <w:t>应急响应</w:t>
      </w:r>
    </w:p>
    <w:p>
      <w:pPr>
        <w:pStyle w:val="7"/>
        <w:numPr>
          <w:ilvl w:val="1"/>
          <w:numId w:val="6"/>
        </w:numPr>
        <w:tabs>
          <w:tab w:val="left" w:pos="1487"/>
        </w:tabs>
        <w:spacing w:before="149" w:after="0" w:line="240" w:lineRule="auto"/>
        <w:ind w:left="1486" w:right="0" w:hanging="560"/>
        <w:jc w:val="both"/>
        <w:rPr>
          <w:sz w:val="32"/>
        </w:rPr>
      </w:pPr>
      <w:r>
        <w:rPr>
          <w:sz w:val="32"/>
        </w:rPr>
        <w:t>分级响应</w:t>
      </w:r>
    </w:p>
    <w:p>
      <w:pPr>
        <w:pStyle w:val="3"/>
        <w:spacing w:before="152" w:line="328" w:lineRule="auto"/>
        <w:ind w:right="286" w:firstLine="640"/>
        <w:jc w:val="both"/>
      </w:pPr>
      <w:r>
        <w:rPr>
          <w:spacing w:val="2"/>
          <w:w w:val="95"/>
        </w:rPr>
        <w:t xml:space="preserve">根据食品安全事故分级情况，食品安全事故应急响应分为 </w:t>
      </w:r>
      <w:r>
        <w:rPr>
          <w:spacing w:val="-1"/>
        </w:rPr>
        <w:t>Ⅰ级、Ⅱ级、Ⅲ级和Ⅳ级响应。食源性疾病中涉及传染病疫情的，按照《中华人民共和国传染病防治法》和《淄博市突发卫</w:t>
      </w:r>
      <w:r>
        <w:t>生事件应急预案》等相关规定开展疫情防控和应急处置。</w:t>
      </w:r>
    </w:p>
    <w:p>
      <w:pPr>
        <w:spacing w:after="0" w:line="328" w:lineRule="auto"/>
        <w:jc w:val="both"/>
        <w:sectPr>
          <w:pgSz w:w="11910" w:h="16840"/>
          <w:pgMar w:top="1580" w:right="1300" w:bottom="1400" w:left="1300" w:header="0" w:footer="1202" w:gutter="0"/>
          <w:cols w:space="720" w:num="1"/>
        </w:sectPr>
      </w:pPr>
    </w:p>
    <w:p>
      <w:pPr>
        <w:pStyle w:val="3"/>
        <w:ind w:left="0"/>
        <w:rPr>
          <w:sz w:val="20"/>
        </w:rPr>
      </w:pPr>
    </w:p>
    <w:p>
      <w:pPr>
        <w:pStyle w:val="3"/>
        <w:spacing w:before="1"/>
        <w:ind w:left="0"/>
        <w:rPr>
          <w:sz w:val="15"/>
        </w:rPr>
      </w:pPr>
    </w:p>
    <w:p>
      <w:pPr>
        <w:pStyle w:val="7"/>
        <w:numPr>
          <w:ilvl w:val="2"/>
          <w:numId w:val="6"/>
        </w:numPr>
        <w:tabs>
          <w:tab w:val="left" w:pos="1727"/>
        </w:tabs>
        <w:spacing w:before="64" w:after="0" w:line="328" w:lineRule="auto"/>
        <w:ind w:left="286" w:right="284" w:firstLine="640"/>
        <w:jc w:val="both"/>
        <w:rPr>
          <w:sz w:val="32"/>
        </w:rPr>
      </w:pPr>
      <w:r>
        <w:rPr>
          <w:spacing w:val="-1"/>
          <w:w w:val="95"/>
          <w:sz w:val="32"/>
        </w:rPr>
        <w:t>核定为特别重大</w:t>
      </w:r>
      <w:r>
        <w:rPr>
          <w:w w:val="95"/>
          <w:sz w:val="32"/>
        </w:rPr>
        <w:t>（Ⅰ级</w:t>
      </w:r>
      <w:r>
        <w:rPr>
          <w:spacing w:val="-10"/>
          <w:w w:val="95"/>
          <w:sz w:val="32"/>
        </w:rPr>
        <w:t>）</w:t>
      </w:r>
      <w:r>
        <w:rPr>
          <w:spacing w:val="-6"/>
          <w:w w:val="95"/>
          <w:sz w:val="32"/>
        </w:rPr>
        <w:t>、重大</w:t>
      </w:r>
      <w:r>
        <w:rPr>
          <w:w w:val="95"/>
          <w:sz w:val="32"/>
        </w:rPr>
        <w:t>（Ⅱ级</w:t>
      </w:r>
      <w:r>
        <w:rPr>
          <w:spacing w:val="-7"/>
          <w:w w:val="95"/>
          <w:sz w:val="32"/>
        </w:rPr>
        <w:t>）</w:t>
      </w:r>
      <w:r>
        <w:rPr>
          <w:spacing w:val="-6"/>
          <w:w w:val="95"/>
          <w:sz w:val="32"/>
        </w:rPr>
        <w:t>、较大</w:t>
      </w:r>
      <w:r>
        <w:rPr>
          <w:w w:val="95"/>
          <w:sz w:val="32"/>
        </w:rPr>
        <w:t xml:space="preserve">（Ⅲ </w:t>
      </w:r>
      <w:r>
        <w:rPr>
          <w:spacing w:val="5"/>
          <w:sz w:val="32"/>
        </w:rPr>
        <w:t>级）</w:t>
      </w:r>
      <w:r>
        <w:rPr>
          <w:spacing w:val="-1"/>
          <w:sz w:val="32"/>
        </w:rPr>
        <w:t>食品安全事故的，应急响应分别报请国务院、省政府、市政府批准并启动实施，组织开展应急处置。当组织实施Ⅰ级、Ⅱ级、Ⅲ级应急响应时，县政府应当按照国家特别重大食品安全事故应急处置指挥部、省政府重大食品安全事故应急处置指</w:t>
      </w:r>
      <w:r>
        <w:rPr>
          <w:w w:val="95"/>
          <w:sz w:val="32"/>
        </w:rPr>
        <w:t xml:space="preserve">挥部和市政府较大食品安全事故应急处置指挥部的部署及应急 </w:t>
      </w:r>
      <w:r>
        <w:rPr>
          <w:spacing w:val="-1"/>
          <w:sz w:val="32"/>
        </w:rPr>
        <w:t>预案，组织协调镇政府、街道办事处及有关部门全力开展应急处置，并及时报告相关工作进展情况。事故发生单位按处置方案开展先期处置，并配合有关部门做好食品安全事故的应急处</w:t>
      </w:r>
      <w:r>
        <w:rPr>
          <w:sz w:val="32"/>
        </w:rPr>
        <w:t>置。</w:t>
      </w:r>
    </w:p>
    <w:p>
      <w:pPr>
        <w:pStyle w:val="7"/>
        <w:numPr>
          <w:ilvl w:val="2"/>
          <w:numId w:val="6"/>
        </w:numPr>
        <w:tabs>
          <w:tab w:val="left" w:pos="1727"/>
        </w:tabs>
        <w:spacing w:before="0" w:after="0" w:line="395" w:lineRule="exact"/>
        <w:ind w:left="1726" w:right="0" w:hanging="800"/>
        <w:jc w:val="left"/>
        <w:rPr>
          <w:sz w:val="32"/>
        </w:rPr>
      </w:pPr>
      <w:r>
        <w:rPr>
          <w:spacing w:val="-4"/>
          <w:sz w:val="32"/>
        </w:rPr>
        <w:t>核定为一般</w:t>
      </w:r>
      <w:r>
        <w:rPr>
          <w:spacing w:val="-8"/>
          <w:sz w:val="32"/>
        </w:rPr>
        <w:t>（Ⅳ）</w:t>
      </w:r>
      <w:r>
        <w:rPr>
          <w:spacing w:val="-3"/>
          <w:sz w:val="32"/>
        </w:rPr>
        <w:t>食品安全事故的，应急响应由县政</w:t>
      </w:r>
    </w:p>
    <w:p>
      <w:pPr>
        <w:pStyle w:val="3"/>
        <w:spacing w:before="149" w:line="328" w:lineRule="auto"/>
        <w:ind w:right="125"/>
      </w:pPr>
      <w:r>
        <w:t>府决定启动并组织实施。发生一般食品安全事故后，县政府成</w:t>
      </w:r>
      <w:r>
        <w:rPr>
          <w:spacing w:val="-5"/>
        </w:rPr>
        <w:t>立指挥部和办公室并运行，启动应急预案，组织开展应急处置。</w:t>
      </w:r>
      <w:r>
        <w:t>指挥部成员单位在指挥部统一领导与指挥下，按照相应职责做好事故应急处置工作。根据有关部门和专家建议，通知有关应急处置专业技术机构随时待命，为应急处置指挥机构提供技术</w:t>
      </w:r>
      <w:r>
        <w:rPr>
          <w:spacing w:val="-8"/>
        </w:rPr>
        <w:t xml:space="preserve">支持。派出有关人员和专家赶赴现场参加、指导现场应急救援， </w:t>
      </w:r>
      <w:r>
        <w:rPr>
          <w:spacing w:val="-12"/>
          <w:w w:val="95"/>
        </w:rPr>
        <w:t>必要时申请市政府派出工作组，指导、协助事故应急处置工作。</w:t>
      </w:r>
    </w:p>
    <w:p>
      <w:pPr>
        <w:pStyle w:val="7"/>
        <w:numPr>
          <w:ilvl w:val="1"/>
          <w:numId w:val="6"/>
        </w:numPr>
        <w:tabs>
          <w:tab w:val="left" w:pos="1487"/>
        </w:tabs>
        <w:spacing w:before="0" w:after="0" w:line="397" w:lineRule="exact"/>
        <w:ind w:left="1486" w:right="0" w:hanging="560"/>
        <w:jc w:val="left"/>
        <w:rPr>
          <w:sz w:val="32"/>
        </w:rPr>
      </w:pPr>
      <w:r>
        <w:rPr>
          <w:sz w:val="32"/>
        </w:rPr>
        <w:t>应急处置措施</w:t>
      </w:r>
    </w:p>
    <w:p>
      <w:pPr>
        <w:pStyle w:val="3"/>
        <w:spacing w:before="152" w:line="326" w:lineRule="auto"/>
        <w:ind w:left="927" w:right="286"/>
      </w:pPr>
      <w:r>
        <w:t xml:space="preserve">一般（Ⅳ）食品安全事故发生后，根据事故性质、特点 </w:t>
      </w:r>
      <w:r>
        <w:rPr>
          <w:spacing w:val="2"/>
          <w:w w:val="95"/>
        </w:rPr>
        <w:t>和危害程度，指挥部要立即按照预案组织有关部门依照规</w:t>
      </w:r>
    </w:p>
    <w:p>
      <w:pPr>
        <w:pStyle w:val="3"/>
        <w:spacing w:before="3"/>
      </w:pPr>
      <w:r>
        <w:t>定采取下列应急处置措施，以最大限度减轻事故危害：</w:t>
      </w:r>
    </w:p>
    <w:p>
      <w:pPr>
        <w:pStyle w:val="7"/>
        <w:numPr>
          <w:ilvl w:val="0"/>
          <w:numId w:val="11"/>
        </w:numPr>
        <w:tabs>
          <w:tab w:val="left" w:pos="1728"/>
        </w:tabs>
        <w:spacing w:before="151" w:after="0" w:line="240" w:lineRule="auto"/>
        <w:ind w:left="1727" w:right="0" w:hanging="801"/>
        <w:jc w:val="left"/>
        <w:rPr>
          <w:sz w:val="32"/>
        </w:rPr>
      </w:pPr>
      <w:r>
        <w:rPr>
          <w:spacing w:val="-6"/>
          <w:sz w:val="32"/>
        </w:rPr>
        <w:t>应急救援。卫生健康部门应有效利用医疗资源，组织</w:t>
      </w:r>
    </w:p>
    <w:p>
      <w:pPr>
        <w:spacing w:after="0" w:line="240" w:lineRule="auto"/>
        <w:jc w:val="left"/>
        <w:rPr>
          <w:sz w:val="32"/>
        </w:rPr>
        <w:sectPr>
          <w:pgSz w:w="11910" w:h="16840"/>
          <w:pgMar w:top="1580" w:right="1300" w:bottom="1400" w:left="1300" w:header="0" w:footer="1202" w:gutter="0"/>
          <w:cols w:space="720" w:num="1"/>
        </w:sectPr>
      </w:pPr>
    </w:p>
    <w:p>
      <w:pPr>
        <w:pStyle w:val="3"/>
        <w:ind w:left="0"/>
        <w:rPr>
          <w:sz w:val="20"/>
        </w:rPr>
      </w:pPr>
    </w:p>
    <w:p>
      <w:pPr>
        <w:pStyle w:val="3"/>
        <w:spacing w:before="11"/>
        <w:ind w:left="0"/>
        <w:rPr>
          <w:sz w:val="15"/>
        </w:rPr>
      </w:pPr>
    </w:p>
    <w:p>
      <w:pPr>
        <w:pStyle w:val="3"/>
        <w:spacing w:before="54"/>
      </w:pPr>
      <w:r>
        <w:t>指导医疗机构救治因食品安全事故导致人身伤害的人员。</w:t>
      </w:r>
    </w:p>
    <w:p>
      <w:pPr>
        <w:pStyle w:val="7"/>
        <w:numPr>
          <w:ilvl w:val="0"/>
          <w:numId w:val="11"/>
        </w:numPr>
        <w:tabs>
          <w:tab w:val="left" w:pos="1728"/>
        </w:tabs>
        <w:spacing w:before="152" w:after="0" w:line="328" w:lineRule="auto"/>
        <w:ind w:left="286" w:right="284" w:firstLine="640"/>
        <w:jc w:val="both"/>
        <w:rPr>
          <w:sz w:val="32"/>
        </w:rPr>
      </w:pPr>
      <w:r>
        <w:rPr>
          <w:spacing w:val="-6"/>
          <w:sz w:val="32"/>
        </w:rPr>
        <w:t>危害控制。相关监管部门应当依法就地或异地封存</w:t>
      </w:r>
      <w:r>
        <w:rPr>
          <w:w w:val="95"/>
          <w:sz w:val="32"/>
        </w:rPr>
        <w:t xml:space="preserve">事故相关食品及原料。对确认造成食品安全事故的问题食品及 </w:t>
      </w:r>
      <w:r>
        <w:rPr>
          <w:sz w:val="32"/>
        </w:rPr>
        <w:t>其原料，责令并监督食品生产经营者依照规定召回、停止经营及进出口。封存被污染的食品相关产品，待查明导致食品安全</w:t>
      </w:r>
      <w:r>
        <w:rPr>
          <w:spacing w:val="-4"/>
          <w:sz w:val="32"/>
        </w:rPr>
        <w:t>事故的原因后，责令食品生产经营者进行清洗消毒。</w:t>
      </w:r>
    </w:p>
    <w:p>
      <w:pPr>
        <w:pStyle w:val="7"/>
        <w:numPr>
          <w:ilvl w:val="0"/>
          <w:numId w:val="11"/>
        </w:numPr>
        <w:tabs>
          <w:tab w:val="left" w:pos="1728"/>
        </w:tabs>
        <w:spacing w:before="0" w:after="0" w:line="328" w:lineRule="auto"/>
        <w:ind w:left="286" w:right="284" w:firstLine="640"/>
        <w:jc w:val="both"/>
        <w:rPr>
          <w:sz w:val="32"/>
        </w:rPr>
      </w:pPr>
      <w:r>
        <w:rPr>
          <w:spacing w:val="-6"/>
          <w:sz w:val="32"/>
        </w:rPr>
        <w:t>事故调查。事故调查组组织疾病预防控制中心开展</w:t>
      </w:r>
      <w:r>
        <w:rPr>
          <w:w w:val="95"/>
          <w:sz w:val="32"/>
        </w:rPr>
        <w:t xml:space="preserve">流行病学调查，有关部门组织相关检测机构开展检验检测工作 </w:t>
      </w:r>
      <w:r>
        <w:rPr>
          <w:sz w:val="32"/>
        </w:rPr>
        <w:t>，尽快查找事故发生原因。对涉嫌犯罪的，公安机关及时介入</w:t>
      </w:r>
      <w:r>
        <w:rPr>
          <w:spacing w:val="-4"/>
          <w:sz w:val="32"/>
        </w:rPr>
        <w:t>，开展相关违法犯罪行为侦破工作。</w:t>
      </w:r>
    </w:p>
    <w:p>
      <w:pPr>
        <w:pStyle w:val="7"/>
        <w:numPr>
          <w:ilvl w:val="0"/>
          <w:numId w:val="11"/>
        </w:numPr>
        <w:tabs>
          <w:tab w:val="left" w:pos="1728"/>
        </w:tabs>
        <w:spacing w:before="0" w:after="0" w:line="328" w:lineRule="auto"/>
        <w:ind w:left="286" w:right="286" w:firstLine="640"/>
        <w:jc w:val="both"/>
        <w:rPr>
          <w:sz w:val="32"/>
        </w:rPr>
      </w:pPr>
      <w:r>
        <w:rPr>
          <w:spacing w:val="-6"/>
          <w:sz w:val="32"/>
        </w:rPr>
        <w:t>信息发布。新闻宣传组迅速制定新闻报道方案，结</w:t>
      </w:r>
      <w:r>
        <w:rPr>
          <w:w w:val="95"/>
          <w:sz w:val="32"/>
        </w:rPr>
        <w:t xml:space="preserve">合事件进展情况，及时采用适当方式开展新闻报道，依法对食 </w:t>
      </w:r>
      <w:r>
        <w:rPr>
          <w:sz w:val="32"/>
        </w:rPr>
        <w:t>品安全事故及其处理情况和结果进行信息发布，并对可能产生的危害加以解释说明。妥善做好记者采访申请和管理，加强互</w:t>
      </w:r>
      <w:r>
        <w:rPr>
          <w:spacing w:val="-4"/>
          <w:sz w:val="32"/>
        </w:rPr>
        <w:t>联网有关信息管理和指导，正确引导舆论。</w:t>
      </w:r>
    </w:p>
    <w:p>
      <w:pPr>
        <w:pStyle w:val="7"/>
        <w:numPr>
          <w:ilvl w:val="0"/>
          <w:numId w:val="11"/>
        </w:numPr>
        <w:tabs>
          <w:tab w:val="left" w:pos="1728"/>
        </w:tabs>
        <w:spacing w:before="0" w:after="0" w:line="328" w:lineRule="auto"/>
        <w:ind w:left="286" w:right="125" w:firstLine="640"/>
        <w:jc w:val="left"/>
        <w:rPr>
          <w:sz w:val="32"/>
        </w:rPr>
      </w:pPr>
      <w:r>
        <w:rPr>
          <w:spacing w:val="-5"/>
          <w:sz w:val="32"/>
        </w:rPr>
        <w:t>检测分析评估。相关部门组织专业技术机构应当对引</w:t>
      </w:r>
      <w:r>
        <w:rPr>
          <w:sz w:val="32"/>
        </w:rPr>
        <w:t>发食品安全事故的相关危险因素及时进行检测，专家组对检测</w:t>
      </w:r>
      <w:r>
        <w:rPr>
          <w:spacing w:val="-5"/>
          <w:sz w:val="32"/>
        </w:rPr>
        <w:t xml:space="preserve">数据进行综合分析和评估，分析事故发展趋势、预测事故后果， </w:t>
      </w:r>
      <w:r>
        <w:rPr>
          <w:sz w:val="32"/>
        </w:rPr>
        <w:t>为制定事故调查和现场处置方案提供参考。有关部门对食品安全事故相关危险因素消除或控制，事故中伤病人员救治，事发现场、受污染食品控制，环境污染，次生、衍生事故隐患消除等情况进行分析评估。</w:t>
      </w:r>
    </w:p>
    <w:p>
      <w:pPr>
        <w:pStyle w:val="7"/>
        <w:numPr>
          <w:ilvl w:val="0"/>
          <w:numId w:val="11"/>
        </w:numPr>
        <w:tabs>
          <w:tab w:val="left" w:pos="1728"/>
        </w:tabs>
        <w:spacing w:before="0" w:after="0" w:line="400" w:lineRule="exact"/>
        <w:ind w:left="1727" w:right="0" w:hanging="801"/>
        <w:jc w:val="left"/>
        <w:rPr>
          <w:sz w:val="32"/>
        </w:rPr>
      </w:pPr>
      <w:r>
        <w:rPr>
          <w:spacing w:val="-6"/>
          <w:sz w:val="32"/>
        </w:rPr>
        <w:t>信息通报。指挥部办公室根据事件发展态势和调查情</w:t>
      </w:r>
    </w:p>
    <w:p>
      <w:pPr>
        <w:spacing w:after="0" w:line="400" w:lineRule="exact"/>
        <w:jc w:val="left"/>
        <w:rPr>
          <w:sz w:val="32"/>
        </w:rPr>
        <w:sectPr>
          <w:footerReference r:id="rId7" w:type="default"/>
          <w:pgSz w:w="11910" w:h="16840"/>
          <w:pgMar w:top="1580" w:right="1300" w:bottom="1320" w:left="1300" w:header="0" w:footer="1122" w:gutter="0"/>
          <w:pgNumType w:start="380"/>
          <w:cols w:space="720" w:num="1"/>
        </w:sectPr>
      </w:pPr>
    </w:p>
    <w:p>
      <w:pPr>
        <w:pStyle w:val="3"/>
        <w:ind w:left="0"/>
        <w:rPr>
          <w:sz w:val="20"/>
        </w:rPr>
      </w:pPr>
    </w:p>
    <w:p>
      <w:pPr>
        <w:pStyle w:val="3"/>
        <w:spacing w:before="11"/>
        <w:ind w:left="0"/>
        <w:rPr>
          <w:sz w:val="15"/>
        </w:rPr>
      </w:pPr>
    </w:p>
    <w:p>
      <w:pPr>
        <w:pStyle w:val="3"/>
        <w:spacing w:before="54" w:line="328" w:lineRule="auto"/>
        <w:ind w:right="286"/>
        <w:jc w:val="both"/>
      </w:pPr>
      <w:r>
        <w:t>况，及时向事件可能蔓延到的地方政府通报信息，提前做好应急准备。事件可能影响到国（境）外时，及时协调有关涉外部门做好相关通报工作。</w:t>
      </w:r>
    </w:p>
    <w:p>
      <w:pPr>
        <w:pStyle w:val="7"/>
        <w:numPr>
          <w:ilvl w:val="0"/>
          <w:numId w:val="11"/>
        </w:numPr>
        <w:tabs>
          <w:tab w:val="left" w:pos="1728"/>
        </w:tabs>
        <w:spacing w:before="0" w:after="0" w:line="328" w:lineRule="auto"/>
        <w:ind w:left="286" w:right="286" w:firstLine="640"/>
        <w:jc w:val="both"/>
        <w:rPr>
          <w:sz w:val="32"/>
        </w:rPr>
      </w:pPr>
      <w:r>
        <w:rPr>
          <w:spacing w:val="-6"/>
          <w:sz w:val="32"/>
        </w:rPr>
        <w:t xml:space="preserve">维护稳定。对涉嫌犯罪的，公安机关及时介入，打 </w:t>
      </w:r>
      <w:r>
        <w:rPr>
          <w:w w:val="95"/>
          <w:sz w:val="32"/>
        </w:rPr>
        <w:t xml:space="preserve">击相关违法犯罪行为，做好矛盾纠纷化解和法律服务工作，维 </w:t>
      </w:r>
      <w:r>
        <w:rPr>
          <w:spacing w:val="-4"/>
          <w:sz w:val="32"/>
        </w:rPr>
        <w:t>护涉事地区社会稳定。</w:t>
      </w:r>
    </w:p>
    <w:p>
      <w:pPr>
        <w:pStyle w:val="7"/>
        <w:numPr>
          <w:ilvl w:val="1"/>
          <w:numId w:val="12"/>
        </w:numPr>
        <w:tabs>
          <w:tab w:val="left" w:pos="1487"/>
        </w:tabs>
        <w:spacing w:before="0" w:after="0" w:line="405" w:lineRule="exact"/>
        <w:ind w:left="1486" w:right="0" w:hanging="560"/>
        <w:jc w:val="both"/>
        <w:rPr>
          <w:sz w:val="32"/>
        </w:rPr>
      </w:pPr>
      <w:r>
        <w:rPr>
          <w:sz w:val="32"/>
        </w:rPr>
        <w:t>响应级别调整及终止</w:t>
      </w:r>
    </w:p>
    <w:p>
      <w:pPr>
        <w:pStyle w:val="7"/>
        <w:numPr>
          <w:ilvl w:val="2"/>
          <w:numId w:val="12"/>
        </w:numPr>
        <w:tabs>
          <w:tab w:val="left" w:pos="1727"/>
        </w:tabs>
        <w:spacing w:before="147" w:after="0" w:line="240" w:lineRule="auto"/>
        <w:ind w:left="1726" w:right="0" w:hanging="800"/>
        <w:jc w:val="both"/>
        <w:rPr>
          <w:sz w:val="32"/>
        </w:rPr>
      </w:pPr>
      <w:r>
        <w:rPr>
          <w:sz w:val="32"/>
        </w:rPr>
        <w:t>响应级别调整及终止条件</w:t>
      </w:r>
    </w:p>
    <w:p>
      <w:pPr>
        <w:pStyle w:val="7"/>
        <w:numPr>
          <w:ilvl w:val="0"/>
          <w:numId w:val="13"/>
        </w:numPr>
        <w:tabs>
          <w:tab w:val="left" w:pos="1728"/>
        </w:tabs>
        <w:spacing w:before="149" w:after="0" w:line="240" w:lineRule="auto"/>
        <w:ind w:left="1727" w:right="0" w:hanging="801"/>
        <w:jc w:val="left"/>
        <w:rPr>
          <w:sz w:val="32"/>
        </w:rPr>
      </w:pPr>
      <w:r>
        <w:rPr>
          <w:sz w:val="32"/>
        </w:rPr>
        <w:t>级别提升</w:t>
      </w:r>
    </w:p>
    <w:p>
      <w:pPr>
        <w:pStyle w:val="3"/>
        <w:spacing w:before="149" w:line="328" w:lineRule="auto"/>
        <w:ind w:right="286" w:firstLine="640"/>
      </w:pPr>
      <w:r>
        <w:rPr>
          <w:spacing w:val="2"/>
          <w:w w:val="95"/>
        </w:rPr>
        <w:t xml:space="preserve">当食品安全事故随时间发展进一步加重，并有蔓延、扩大 </w:t>
      </w:r>
      <w:r>
        <w:t>的趋势，情况复杂难以控制时，应及时提升响应级别。</w:t>
      </w:r>
    </w:p>
    <w:p>
      <w:pPr>
        <w:pStyle w:val="3"/>
        <w:spacing w:line="328" w:lineRule="auto"/>
        <w:ind w:right="286" w:firstLine="640"/>
        <w:jc w:val="both"/>
      </w:pPr>
      <w:r>
        <w:rPr>
          <w:spacing w:val="2"/>
          <w:w w:val="95"/>
        </w:rPr>
        <w:t xml:space="preserve">当学校或托幼机构、区域性重要活动期间发生食品安全事 </w:t>
      </w:r>
      <w:r>
        <w:rPr>
          <w:spacing w:val="-1"/>
        </w:rPr>
        <w:t>故时，可相应提高响应级别，加大应急处置力度，确保迅速、</w:t>
      </w:r>
      <w:r>
        <w:t>有效控制食品安全事故，维护社会稳定。</w:t>
      </w:r>
    </w:p>
    <w:p>
      <w:pPr>
        <w:pStyle w:val="7"/>
        <w:numPr>
          <w:ilvl w:val="0"/>
          <w:numId w:val="13"/>
        </w:numPr>
        <w:tabs>
          <w:tab w:val="left" w:pos="1728"/>
        </w:tabs>
        <w:spacing w:before="0" w:after="0" w:line="405" w:lineRule="exact"/>
        <w:ind w:left="1727" w:right="0" w:hanging="801"/>
        <w:jc w:val="left"/>
        <w:rPr>
          <w:sz w:val="32"/>
        </w:rPr>
      </w:pPr>
      <w:r>
        <w:rPr>
          <w:sz w:val="32"/>
        </w:rPr>
        <w:t>响应终止</w:t>
      </w:r>
    </w:p>
    <w:p>
      <w:pPr>
        <w:pStyle w:val="3"/>
        <w:spacing w:before="147" w:line="328" w:lineRule="auto"/>
        <w:ind w:right="286" w:firstLine="640"/>
      </w:pPr>
      <w:r>
        <w:rPr>
          <w:spacing w:val="2"/>
          <w:w w:val="95"/>
        </w:rPr>
        <w:t xml:space="preserve">当食品安全事故得到控制，并达到以下两项要求，经分析 </w:t>
      </w:r>
      <w:r>
        <w:t>评估认为可解除响应的，应当及时解除响应：</w:t>
      </w:r>
    </w:p>
    <w:p>
      <w:pPr>
        <w:pStyle w:val="3"/>
        <w:spacing w:line="326" w:lineRule="auto"/>
        <w:ind w:left="927" w:right="286"/>
      </w:pPr>
      <w:r>
        <w:rPr>
          <w:rFonts w:ascii="Times New Roman" w:hAnsi="Times New Roman" w:eastAsia="Times New Roman"/>
        </w:rPr>
        <w:t>——</w:t>
      </w:r>
      <w:r>
        <w:t>食品安全事故伤病员全部得到救治，原患者病情稳定</w:t>
      </w:r>
      <w:r>
        <w:rPr>
          <w:rFonts w:ascii="Times New Roman" w:hAnsi="Times New Roman" w:eastAsia="Times New Roman"/>
        </w:rPr>
        <w:t xml:space="preserve">24 </w:t>
      </w:r>
      <w:r>
        <w:t>小时以上，且无新的急性病症患者出现，食源性感染性</w:t>
      </w:r>
    </w:p>
    <w:p>
      <w:pPr>
        <w:pStyle w:val="3"/>
        <w:spacing w:before="3"/>
      </w:pPr>
      <w:r>
        <w:t>疾病在末例患者后经过最长潜伏期无新病例出现。</w:t>
      </w:r>
    </w:p>
    <w:p>
      <w:pPr>
        <w:pStyle w:val="3"/>
        <w:spacing w:before="149" w:line="326" w:lineRule="auto"/>
        <w:ind w:right="286" w:firstLine="640"/>
      </w:pPr>
      <w:r>
        <w:rPr>
          <w:rFonts w:ascii="Times New Roman" w:hAnsi="Times New Roman" w:eastAsia="Times New Roman"/>
          <w:spacing w:val="2"/>
          <w:w w:val="95"/>
        </w:rPr>
        <w:t>——</w:t>
      </w:r>
      <w:r>
        <w:rPr>
          <w:spacing w:val="4"/>
          <w:w w:val="95"/>
        </w:rPr>
        <w:t xml:space="preserve">现场、受污染食品得到有效控制，食品与环境污染得 </w:t>
      </w:r>
      <w:r>
        <w:t>到有效清理并符合相关标准，次生、衍生事故隐患消除。</w:t>
      </w:r>
    </w:p>
    <w:p>
      <w:pPr>
        <w:pStyle w:val="7"/>
        <w:numPr>
          <w:ilvl w:val="2"/>
          <w:numId w:val="12"/>
        </w:numPr>
        <w:tabs>
          <w:tab w:val="left" w:pos="1727"/>
        </w:tabs>
        <w:spacing w:before="6" w:after="0" w:line="240" w:lineRule="auto"/>
        <w:ind w:left="1726" w:right="0" w:hanging="800"/>
        <w:jc w:val="left"/>
        <w:rPr>
          <w:sz w:val="32"/>
        </w:rPr>
      </w:pPr>
      <w:r>
        <w:rPr>
          <w:sz w:val="32"/>
        </w:rPr>
        <w:t>响应级别调整及终止程序</w:t>
      </w:r>
    </w:p>
    <w:p>
      <w:pPr>
        <w:spacing w:after="0" w:line="240" w:lineRule="auto"/>
        <w:jc w:val="left"/>
        <w:rPr>
          <w:sz w:val="32"/>
        </w:rPr>
        <w:sectPr>
          <w:pgSz w:w="11910" w:h="16840"/>
          <w:pgMar w:top="1580" w:right="1300" w:bottom="1400" w:left="1300" w:header="0" w:footer="1122" w:gutter="0"/>
          <w:cols w:space="720" w:num="1"/>
        </w:sectPr>
      </w:pPr>
    </w:p>
    <w:p>
      <w:pPr>
        <w:pStyle w:val="3"/>
        <w:ind w:left="0"/>
        <w:rPr>
          <w:sz w:val="20"/>
        </w:rPr>
      </w:pPr>
    </w:p>
    <w:p>
      <w:pPr>
        <w:pStyle w:val="3"/>
        <w:spacing w:before="11"/>
        <w:ind w:left="0"/>
        <w:rPr>
          <w:sz w:val="15"/>
        </w:rPr>
      </w:pPr>
    </w:p>
    <w:p>
      <w:pPr>
        <w:pStyle w:val="3"/>
        <w:spacing w:before="54" w:line="328" w:lineRule="auto"/>
        <w:ind w:right="286" w:firstLine="640"/>
        <w:jc w:val="both"/>
      </w:pPr>
      <w:r>
        <w:rPr>
          <w:spacing w:val="5"/>
          <w:w w:val="95"/>
        </w:rPr>
        <w:t>一般</w:t>
      </w:r>
      <w:r>
        <w:rPr>
          <w:spacing w:val="4"/>
          <w:w w:val="95"/>
        </w:rPr>
        <w:t>（Ⅳ）</w:t>
      </w:r>
      <w:r>
        <w:rPr>
          <w:spacing w:val="3"/>
          <w:w w:val="95"/>
        </w:rPr>
        <w:t xml:space="preserve">食品安全事故由指挥部组织对事故进行分析评 </w:t>
      </w:r>
      <w:r>
        <w:rPr>
          <w:spacing w:val="-1"/>
        </w:rPr>
        <w:t>估论证。评估认为符合级别调整条件的，指挥部提出调整应急响应级别建议，报县政府批准后实施。应急响应级别调整后， 事故相关镇政府、街道办事处和有关部门应当结合调整后级别采取响应措施。评估认为符合响应终止条件的，指挥部提出终</w:t>
      </w:r>
      <w:r>
        <w:t>止响应建议，报县政府批准后实施。</w:t>
      </w:r>
    </w:p>
    <w:p>
      <w:pPr>
        <w:pStyle w:val="3"/>
        <w:spacing w:line="328" w:lineRule="auto"/>
        <w:ind w:right="286" w:firstLine="640"/>
        <w:jc w:val="both"/>
      </w:pPr>
      <w:r>
        <w:rPr>
          <w:spacing w:val="2"/>
          <w:w w:val="95"/>
        </w:rPr>
        <w:t xml:space="preserve">上级政府有关部门应当根据下级政府有关部门的请求，及 </w:t>
      </w:r>
      <w:r>
        <w:rPr>
          <w:spacing w:val="-1"/>
        </w:rPr>
        <w:t>时组织专家为食品安全事故响应级别调整和终止的分析论证提</w:t>
      </w:r>
      <w:r>
        <w:t>供技术支持与指导。</w:t>
      </w:r>
    </w:p>
    <w:p>
      <w:pPr>
        <w:pStyle w:val="7"/>
        <w:numPr>
          <w:ilvl w:val="1"/>
          <w:numId w:val="12"/>
        </w:numPr>
        <w:tabs>
          <w:tab w:val="left" w:pos="1487"/>
        </w:tabs>
        <w:spacing w:before="0" w:after="0" w:line="405" w:lineRule="exact"/>
        <w:ind w:left="1486" w:right="0" w:hanging="560"/>
        <w:jc w:val="both"/>
        <w:rPr>
          <w:sz w:val="32"/>
        </w:rPr>
      </w:pPr>
      <w:r>
        <w:rPr>
          <w:sz w:val="32"/>
        </w:rPr>
        <w:t>信息发布</w:t>
      </w:r>
    </w:p>
    <w:p>
      <w:pPr>
        <w:pStyle w:val="3"/>
        <w:spacing w:before="142" w:line="328" w:lineRule="auto"/>
        <w:ind w:right="286" w:firstLine="640"/>
        <w:jc w:val="both"/>
      </w:pPr>
      <w:r>
        <w:rPr>
          <w:spacing w:val="5"/>
          <w:w w:val="95"/>
        </w:rPr>
        <w:t>一般</w:t>
      </w:r>
      <w:r>
        <w:rPr>
          <w:spacing w:val="4"/>
          <w:w w:val="95"/>
        </w:rPr>
        <w:t>（Ⅳ）</w:t>
      </w:r>
      <w:r>
        <w:rPr>
          <w:spacing w:val="3"/>
          <w:w w:val="95"/>
        </w:rPr>
        <w:t xml:space="preserve">食品安全事故发生后，要严格实行信息归口、 </w:t>
      </w:r>
      <w:r>
        <w:rPr>
          <w:spacing w:val="-1"/>
        </w:rPr>
        <w:t>统一对外发布的原则，采取召开新闻发布会、发布新闻通稿等多种形式，由指挥部或指挥部办公室按照有关规定及时向社会</w:t>
      </w:r>
      <w:r>
        <w:t>发布食品安全事故信息，做好宣传报道和舆论引导。</w:t>
      </w:r>
    </w:p>
    <w:p>
      <w:pPr>
        <w:pStyle w:val="7"/>
        <w:numPr>
          <w:ilvl w:val="0"/>
          <w:numId w:val="6"/>
        </w:numPr>
        <w:tabs>
          <w:tab w:val="left" w:pos="1247"/>
        </w:tabs>
        <w:spacing w:before="0" w:after="0" w:line="402" w:lineRule="exact"/>
        <w:ind w:left="1246" w:right="0" w:hanging="320"/>
        <w:jc w:val="both"/>
        <w:rPr>
          <w:rFonts w:hint="eastAsia" w:ascii="黑体" w:eastAsia="黑体"/>
          <w:sz w:val="32"/>
        </w:rPr>
      </w:pPr>
      <w:r>
        <w:rPr>
          <w:rFonts w:hint="eastAsia" w:ascii="黑体" w:eastAsia="黑体"/>
          <w:sz w:val="32"/>
        </w:rPr>
        <w:t>后期处理</w:t>
      </w:r>
    </w:p>
    <w:p>
      <w:pPr>
        <w:pStyle w:val="7"/>
        <w:numPr>
          <w:ilvl w:val="1"/>
          <w:numId w:val="6"/>
        </w:numPr>
        <w:tabs>
          <w:tab w:val="left" w:pos="1487"/>
        </w:tabs>
        <w:spacing w:before="149" w:after="0" w:line="240" w:lineRule="auto"/>
        <w:ind w:left="1486" w:right="0" w:hanging="560"/>
        <w:jc w:val="both"/>
        <w:rPr>
          <w:sz w:val="32"/>
        </w:rPr>
      </w:pPr>
      <w:r>
        <w:rPr>
          <w:sz w:val="32"/>
        </w:rPr>
        <w:t>善后处理</w:t>
      </w:r>
    </w:p>
    <w:p>
      <w:pPr>
        <w:pStyle w:val="3"/>
        <w:spacing w:before="152" w:line="328" w:lineRule="auto"/>
        <w:ind w:right="286" w:firstLine="640"/>
        <w:jc w:val="both"/>
      </w:pPr>
      <w:r>
        <w:rPr>
          <w:w w:val="95"/>
        </w:rPr>
        <w:t xml:space="preserve">县政府及各镇政府、街道办事处负责组织对食品安全事故 </w:t>
      </w:r>
      <w:r>
        <w:t>的善后处置工作，包括人员安置、补偿，征用物资及运输工具补偿；应急及医疗机构垫付费用、事故受害者后续治疗费用的及时支付以及产品抽样及检验费用的及时拨付；污染物收集、清理与处理；涉外和港澳台的有关善后处置工作等。尽快消除事故影响，妥善安置和慰问受害、受影响人员，恢复正常生产生活秩序，保持社会稳定。</w:t>
      </w:r>
    </w:p>
    <w:p>
      <w:pPr>
        <w:spacing w:after="0" w:line="328" w:lineRule="auto"/>
        <w:jc w:val="both"/>
        <w:sectPr>
          <w:pgSz w:w="11910" w:h="16840"/>
          <w:pgMar w:top="1580" w:right="1300" w:bottom="1400" w:left="1300" w:header="0" w:footer="1122" w:gutter="0"/>
          <w:cols w:space="720" w:num="1"/>
        </w:sectPr>
      </w:pPr>
    </w:p>
    <w:p>
      <w:pPr>
        <w:pStyle w:val="3"/>
        <w:ind w:left="0"/>
        <w:rPr>
          <w:sz w:val="20"/>
        </w:rPr>
      </w:pPr>
    </w:p>
    <w:p>
      <w:pPr>
        <w:pStyle w:val="3"/>
        <w:spacing w:before="11"/>
        <w:ind w:left="0"/>
        <w:rPr>
          <w:sz w:val="15"/>
        </w:rPr>
      </w:pPr>
    </w:p>
    <w:p>
      <w:pPr>
        <w:pStyle w:val="3"/>
        <w:spacing w:before="54" w:line="328" w:lineRule="auto"/>
        <w:ind w:right="286" w:firstLine="640"/>
      </w:pPr>
      <w:r>
        <w:rPr>
          <w:spacing w:val="2"/>
          <w:w w:val="95"/>
        </w:rPr>
        <w:t xml:space="preserve">食品安全事故发生后，保险机构应当及时开展应急救援人 </w:t>
      </w:r>
      <w:r>
        <w:t>员保险受理和受灾人员保险理赔工作。</w:t>
      </w:r>
    </w:p>
    <w:p>
      <w:pPr>
        <w:pStyle w:val="3"/>
        <w:spacing w:line="326" w:lineRule="auto"/>
        <w:ind w:right="286" w:firstLine="640"/>
      </w:pPr>
      <w:r>
        <w:rPr>
          <w:spacing w:val="2"/>
          <w:w w:val="95"/>
        </w:rPr>
        <w:t xml:space="preserve">造成食品安全事故的责任单位和责任人应按有关规定对受 </w:t>
      </w:r>
      <w:r>
        <w:t>害人给予赔偿，承担受害人后续治疗及保障等相关费用。</w:t>
      </w:r>
    </w:p>
    <w:p>
      <w:pPr>
        <w:pStyle w:val="7"/>
        <w:numPr>
          <w:ilvl w:val="1"/>
          <w:numId w:val="6"/>
        </w:numPr>
        <w:tabs>
          <w:tab w:val="left" w:pos="1487"/>
        </w:tabs>
        <w:spacing w:before="3" w:after="0" w:line="240" w:lineRule="auto"/>
        <w:ind w:left="1486" w:right="0" w:hanging="560"/>
        <w:jc w:val="left"/>
        <w:rPr>
          <w:sz w:val="32"/>
        </w:rPr>
      </w:pPr>
      <w:r>
        <w:rPr>
          <w:sz w:val="32"/>
        </w:rPr>
        <w:t>督查考核</w:t>
      </w:r>
    </w:p>
    <w:p>
      <w:pPr>
        <w:pStyle w:val="7"/>
        <w:numPr>
          <w:ilvl w:val="2"/>
          <w:numId w:val="6"/>
        </w:numPr>
        <w:tabs>
          <w:tab w:val="left" w:pos="1727"/>
        </w:tabs>
        <w:spacing w:before="150" w:after="0" w:line="240" w:lineRule="auto"/>
        <w:ind w:left="1726" w:right="0" w:hanging="800"/>
        <w:jc w:val="left"/>
        <w:rPr>
          <w:sz w:val="32"/>
        </w:rPr>
      </w:pPr>
      <w:r>
        <w:rPr>
          <w:sz w:val="32"/>
        </w:rPr>
        <w:t>督查考核</w:t>
      </w:r>
    </w:p>
    <w:p>
      <w:pPr>
        <w:pStyle w:val="3"/>
        <w:spacing w:before="149" w:line="328" w:lineRule="auto"/>
        <w:ind w:right="286" w:firstLine="640"/>
        <w:jc w:val="both"/>
      </w:pPr>
      <w:r>
        <w:rPr>
          <w:spacing w:val="4"/>
          <w:w w:val="95"/>
        </w:rPr>
        <w:t>县市场监管局定期组织对镇</w:t>
      </w:r>
      <w:r>
        <w:rPr>
          <w:spacing w:val="5"/>
          <w:w w:val="95"/>
        </w:rPr>
        <w:t>（街道）</w:t>
      </w:r>
      <w:r>
        <w:rPr>
          <w:spacing w:val="1"/>
          <w:w w:val="95"/>
        </w:rPr>
        <w:t xml:space="preserve">、有关成员单位应急 </w:t>
      </w:r>
      <w:r>
        <w:rPr>
          <w:spacing w:val="-1"/>
        </w:rPr>
        <w:t>预案执行情况进行监督检查，督促对应急工作中存在的问题进</w:t>
      </w:r>
      <w:r>
        <w:t>行整改。</w:t>
      </w:r>
    </w:p>
    <w:p>
      <w:pPr>
        <w:pStyle w:val="7"/>
        <w:numPr>
          <w:ilvl w:val="2"/>
          <w:numId w:val="6"/>
        </w:numPr>
        <w:tabs>
          <w:tab w:val="left" w:pos="1727"/>
        </w:tabs>
        <w:spacing w:before="0" w:after="0" w:line="405" w:lineRule="exact"/>
        <w:ind w:left="1726" w:right="0" w:hanging="800"/>
        <w:jc w:val="left"/>
        <w:rPr>
          <w:sz w:val="32"/>
        </w:rPr>
      </w:pPr>
      <w:r>
        <w:rPr>
          <w:sz w:val="32"/>
        </w:rPr>
        <w:t>责任追究</w:t>
      </w:r>
    </w:p>
    <w:p>
      <w:pPr>
        <w:pStyle w:val="3"/>
        <w:spacing w:before="151" w:line="326" w:lineRule="auto"/>
        <w:ind w:right="286" w:firstLine="640"/>
        <w:jc w:val="both"/>
      </w:pPr>
      <w:r>
        <w:rPr>
          <w:spacing w:val="2"/>
          <w:w w:val="95"/>
        </w:rPr>
        <w:t xml:space="preserve">对迟报、谎报、瞒报和漏报食品安全重要情况或应急管理 </w:t>
      </w:r>
      <w:r>
        <w:rPr>
          <w:spacing w:val="-1"/>
        </w:rPr>
        <w:t>工作中有其他失职、渎职行为的，依法追究有关责任单位或责</w:t>
      </w:r>
      <w:r>
        <w:t>任人的责任；构成犯罪的，依法追究刑事责任。</w:t>
      </w:r>
    </w:p>
    <w:p>
      <w:pPr>
        <w:pStyle w:val="7"/>
        <w:numPr>
          <w:ilvl w:val="1"/>
          <w:numId w:val="6"/>
        </w:numPr>
        <w:tabs>
          <w:tab w:val="left" w:pos="1487"/>
        </w:tabs>
        <w:spacing w:before="8" w:after="0" w:line="240" w:lineRule="auto"/>
        <w:ind w:left="1486" w:right="0" w:hanging="560"/>
        <w:jc w:val="left"/>
        <w:rPr>
          <w:sz w:val="32"/>
        </w:rPr>
      </w:pPr>
      <w:r>
        <w:rPr>
          <w:sz w:val="32"/>
        </w:rPr>
        <w:t>总结</w:t>
      </w:r>
    </w:p>
    <w:p>
      <w:pPr>
        <w:pStyle w:val="3"/>
        <w:spacing w:before="149" w:line="328" w:lineRule="auto"/>
        <w:ind w:right="125" w:firstLine="640"/>
      </w:pPr>
      <w:r>
        <w:rPr>
          <w:spacing w:val="2"/>
        </w:rPr>
        <w:t>食品安全事故善后处置工作结束后，市场监管局应当组织</w:t>
      </w:r>
      <w:r>
        <w:t>有关部门及时对食品安全事故和应急处置情况进行总结，分析事故原因和影响因素，评估应急处置开展情况和效果，提出对</w:t>
      </w:r>
      <w:r>
        <w:rPr>
          <w:spacing w:val="-5"/>
          <w:w w:val="95"/>
        </w:rPr>
        <w:t xml:space="preserve">类似事故的防范和处置建议，完成总结报告。总结报告形成后， </w:t>
      </w:r>
      <w:r>
        <w:rPr>
          <w:spacing w:val="-5"/>
        </w:rPr>
        <w:t>应按规定报送县政府和市市场监管局。</w:t>
      </w:r>
    </w:p>
    <w:p>
      <w:pPr>
        <w:pStyle w:val="7"/>
        <w:numPr>
          <w:ilvl w:val="0"/>
          <w:numId w:val="6"/>
        </w:numPr>
        <w:tabs>
          <w:tab w:val="left" w:pos="1247"/>
        </w:tabs>
        <w:spacing w:before="0" w:after="0" w:line="402" w:lineRule="exact"/>
        <w:ind w:left="1246" w:right="0" w:hanging="320"/>
        <w:jc w:val="left"/>
        <w:rPr>
          <w:rFonts w:hint="eastAsia" w:ascii="黑体" w:eastAsia="黑体"/>
          <w:sz w:val="32"/>
        </w:rPr>
      </w:pPr>
      <w:r>
        <w:rPr>
          <w:rFonts w:hint="eastAsia" w:ascii="黑体" w:eastAsia="黑体"/>
          <w:sz w:val="32"/>
        </w:rPr>
        <w:t>应急保障</w:t>
      </w:r>
    </w:p>
    <w:p>
      <w:pPr>
        <w:pStyle w:val="7"/>
        <w:numPr>
          <w:ilvl w:val="1"/>
          <w:numId w:val="6"/>
        </w:numPr>
        <w:tabs>
          <w:tab w:val="left" w:pos="1487"/>
        </w:tabs>
        <w:spacing w:before="149" w:after="0" w:line="240" w:lineRule="auto"/>
        <w:ind w:left="1486" w:right="0" w:hanging="560"/>
        <w:jc w:val="left"/>
        <w:rPr>
          <w:sz w:val="32"/>
        </w:rPr>
      </w:pPr>
      <w:r>
        <w:rPr>
          <w:sz w:val="32"/>
        </w:rPr>
        <w:t>信息保障</w:t>
      </w:r>
    </w:p>
    <w:p>
      <w:pPr>
        <w:pStyle w:val="3"/>
        <w:spacing w:before="149" w:line="328" w:lineRule="auto"/>
        <w:ind w:right="286" w:firstLine="640"/>
      </w:pPr>
      <w:r>
        <w:rPr>
          <w:spacing w:val="2"/>
          <w:w w:val="95"/>
        </w:rPr>
        <w:t xml:space="preserve">有关部门应当建立完善突发事件信息报告系统，设立信息 </w:t>
      </w:r>
      <w:r>
        <w:rPr>
          <w:spacing w:val="-1"/>
        </w:rPr>
        <w:t>报告和举报电话，畅通信息报告渠道，确保食品安全事故的及</w:t>
      </w:r>
    </w:p>
    <w:p>
      <w:pPr>
        <w:spacing w:after="0" w:line="328" w:lineRule="auto"/>
        <w:sectPr>
          <w:pgSz w:w="11910" w:h="16840"/>
          <w:pgMar w:top="1580" w:right="1300" w:bottom="1400" w:left="1300" w:header="0" w:footer="1122" w:gutter="0"/>
          <w:cols w:space="720" w:num="1"/>
        </w:sectPr>
      </w:pPr>
    </w:p>
    <w:p>
      <w:pPr>
        <w:pStyle w:val="3"/>
        <w:ind w:left="0"/>
        <w:rPr>
          <w:sz w:val="20"/>
        </w:rPr>
      </w:pPr>
    </w:p>
    <w:p>
      <w:pPr>
        <w:pStyle w:val="3"/>
        <w:spacing w:before="11"/>
        <w:ind w:left="0"/>
        <w:rPr>
          <w:sz w:val="15"/>
        </w:rPr>
      </w:pPr>
    </w:p>
    <w:p>
      <w:pPr>
        <w:pStyle w:val="3"/>
        <w:spacing w:before="54"/>
      </w:pPr>
      <w:r>
        <w:t>时报告与相关信息的及时收集。</w:t>
      </w:r>
    </w:p>
    <w:p>
      <w:pPr>
        <w:pStyle w:val="3"/>
        <w:spacing w:before="152" w:line="326" w:lineRule="auto"/>
        <w:ind w:right="286" w:firstLine="640"/>
        <w:jc w:val="both"/>
      </w:pPr>
      <w:r>
        <w:rPr>
          <w:spacing w:val="2"/>
          <w:w w:val="95"/>
        </w:rPr>
        <w:t xml:space="preserve">县市场监管局组织相关监管部门及时通报、交流、分析食 </w:t>
      </w:r>
      <w:r>
        <w:rPr>
          <w:spacing w:val="-1"/>
        </w:rPr>
        <w:t>品安全事故监测预警信息，加强涉及食品安全事故相关信息的</w:t>
      </w:r>
      <w:r>
        <w:t>收集、处理、发布和传递等工作。</w:t>
      </w:r>
    </w:p>
    <w:p>
      <w:pPr>
        <w:pStyle w:val="7"/>
        <w:numPr>
          <w:ilvl w:val="1"/>
          <w:numId w:val="6"/>
        </w:numPr>
        <w:tabs>
          <w:tab w:val="left" w:pos="1487"/>
        </w:tabs>
        <w:spacing w:before="7" w:after="0" w:line="240" w:lineRule="auto"/>
        <w:ind w:left="1486" w:right="0" w:hanging="560"/>
        <w:jc w:val="both"/>
        <w:rPr>
          <w:sz w:val="32"/>
        </w:rPr>
      </w:pPr>
      <w:r>
        <w:rPr>
          <w:sz w:val="32"/>
        </w:rPr>
        <w:t>医疗保障</w:t>
      </w:r>
    </w:p>
    <w:p>
      <w:pPr>
        <w:pStyle w:val="3"/>
        <w:spacing w:before="149" w:line="328" w:lineRule="auto"/>
        <w:ind w:right="286" w:firstLine="640"/>
        <w:jc w:val="both"/>
      </w:pPr>
      <w:r>
        <w:rPr>
          <w:spacing w:val="2"/>
          <w:w w:val="95"/>
        </w:rPr>
        <w:t xml:space="preserve">县卫生健康局应当建立功能完善、反应灵敏、运转协调、 </w:t>
      </w:r>
      <w:r>
        <w:rPr>
          <w:spacing w:val="-1"/>
        </w:rPr>
        <w:t>持续发展的医疗救治体系，在食品安全事故造成人员伤害时迅</w:t>
      </w:r>
      <w:r>
        <w:t>速开展医疗救治。</w:t>
      </w:r>
    </w:p>
    <w:p>
      <w:pPr>
        <w:pStyle w:val="7"/>
        <w:numPr>
          <w:ilvl w:val="1"/>
          <w:numId w:val="6"/>
        </w:numPr>
        <w:tabs>
          <w:tab w:val="left" w:pos="1487"/>
        </w:tabs>
        <w:spacing w:before="0" w:after="0" w:line="405" w:lineRule="exact"/>
        <w:ind w:left="1486" w:right="0" w:hanging="560"/>
        <w:jc w:val="both"/>
        <w:rPr>
          <w:sz w:val="32"/>
        </w:rPr>
      </w:pPr>
      <w:r>
        <w:rPr>
          <w:sz w:val="32"/>
        </w:rPr>
        <w:t>应急队伍与技术保障</w:t>
      </w:r>
    </w:p>
    <w:p>
      <w:pPr>
        <w:pStyle w:val="3"/>
        <w:spacing w:before="150" w:line="328" w:lineRule="auto"/>
        <w:ind w:right="286" w:firstLine="640"/>
        <w:jc w:val="both"/>
      </w:pPr>
      <w:r>
        <w:rPr>
          <w:spacing w:val="2"/>
          <w:w w:val="95"/>
        </w:rPr>
        <w:t xml:space="preserve">根据需要，县市场监管局指导有关部门，依托专业力量组 </w:t>
      </w:r>
      <w:r>
        <w:rPr>
          <w:spacing w:val="-1"/>
        </w:rPr>
        <w:t>建食品安全应急队伍以及具有一定救援知识和技能的志愿者辅助性队伍。加强对应急队伍的指导，并在知识培训、应急演练等方面给予支持。应急处置专业技术机构要结合本机构职责加强应急处置能力建设，提高快速应对能力和技术水平。健全专家队伍，为事故核实、级别核定、事故隐患预警及应急响应等</w:t>
      </w:r>
      <w:r>
        <w:t>相关技术工作提供人才保障。</w:t>
      </w:r>
    </w:p>
    <w:p>
      <w:pPr>
        <w:pStyle w:val="7"/>
        <w:numPr>
          <w:ilvl w:val="1"/>
          <w:numId w:val="6"/>
        </w:numPr>
        <w:tabs>
          <w:tab w:val="left" w:pos="1487"/>
        </w:tabs>
        <w:spacing w:before="0" w:after="0" w:line="400" w:lineRule="exact"/>
        <w:ind w:left="1486" w:right="0" w:hanging="560"/>
        <w:jc w:val="both"/>
        <w:rPr>
          <w:sz w:val="32"/>
        </w:rPr>
      </w:pPr>
      <w:r>
        <w:rPr>
          <w:sz w:val="32"/>
        </w:rPr>
        <w:t>物资和经费保障</w:t>
      </w:r>
    </w:p>
    <w:p>
      <w:pPr>
        <w:pStyle w:val="3"/>
        <w:spacing w:before="149" w:line="328" w:lineRule="auto"/>
        <w:ind w:right="125" w:firstLine="640"/>
        <w:jc w:val="both"/>
      </w:pPr>
      <w:r>
        <w:rPr>
          <w:spacing w:val="2"/>
        </w:rPr>
        <w:t>食品安全事故应急处置所需设施、设备和物资的储备与调</w:t>
      </w:r>
      <w:r>
        <w:t>用应当得到保障；使用储备物资后须及时补充；食品安全事故</w:t>
      </w:r>
      <w:r>
        <w:rPr>
          <w:spacing w:val="-9"/>
        </w:rPr>
        <w:t>应急处置、产品抽样及检验所需经费列入县政府年度财政预算。</w:t>
      </w:r>
    </w:p>
    <w:p>
      <w:pPr>
        <w:pStyle w:val="7"/>
        <w:numPr>
          <w:ilvl w:val="1"/>
          <w:numId w:val="6"/>
        </w:numPr>
        <w:tabs>
          <w:tab w:val="left" w:pos="1487"/>
        </w:tabs>
        <w:spacing w:before="0" w:after="0" w:line="405" w:lineRule="exact"/>
        <w:ind w:left="1486" w:right="0" w:hanging="560"/>
        <w:jc w:val="both"/>
        <w:rPr>
          <w:sz w:val="32"/>
        </w:rPr>
      </w:pPr>
      <w:r>
        <w:rPr>
          <w:sz w:val="32"/>
        </w:rPr>
        <w:t>社会动员保障</w:t>
      </w:r>
    </w:p>
    <w:p>
      <w:pPr>
        <w:pStyle w:val="3"/>
        <w:spacing w:before="149" w:line="328" w:lineRule="auto"/>
        <w:ind w:right="286" w:firstLine="640"/>
      </w:pPr>
      <w:r>
        <w:rPr>
          <w:spacing w:val="2"/>
          <w:w w:val="95"/>
        </w:rPr>
        <w:t xml:space="preserve">根据食品安全事故应急处置的需要，动员和组织社会力量 </w:t>
      </w:r>
      <w:r>
        <w:rPr>
          <w:spacing w:val="-1"/>
        </w:rPr>
        <w:t>协助参与应急处置，必要时依法调用企业及个人物资。在动用</w:t>
      </w:r>
    </w:p>
    <w:p>
      <w:pPr>
        <w:spacing w:after="0" w:line="328" w:lineRule="auto"/>
        <w:sectPr>
          <w:pgSz w:w="11910" w:h="16840"/>
          <w:pgMar w:top="1580" w:right="1300" w:bottom="1400" w:left="1300" w:header="0" w:footer="1122" w:gutter="0"/>
          <w:cols w:space="720" w:num="1"/>
        </w:sectPr>
      </w:pPr>
    </w:p>
    <w:p>
      <w:pPr>
        <w:pStyle w:val="3"/>
        <w:ind w:left="0"/>
        <w:rPr>
          <w:sz w:val="20"/>
        </w:rPr>
      </w:pPr>
    </w:p>
    <w:p>
      <w:pPr>
        <w:pStyle w:val="3"/>
        <w:spacing w:before="11"/>
        <w:ind w:left="0"/>
        <w:rPr>
          <w:sz w:val="15"/>
        </w:rPr>
      </w:pPr>
    </w:p>
    <w:p>
      <w:pPr>
        <w:pStyle w:val="3"/>
        <w:spacing w:before="54" w:line="328" w:lineRule="auto"/>
        <w:ind w:right="286"/>
      </w:pPr>
      <w:r>
        <w:t>社会力量或企业、个人物资进行应急处置后，应当及时归还或给予补偿。</w:t>
      </w:r>
    </w:p>
    <w:p>
      <w:pPr>
        <w:pStyle w:val="7"/>
        <w:numPr>
          <w:ilvl w:val="1"/>
          <w:numId w:val="6"/>
        </w:numPr>
        <w:tabs>
          <w:tab w:val="left" w:pos="1487"/>
        </w:tabs>
        <w:spacing w:before="0" w:after="0" w:line="407" w:lineRule="exact"/>
        <w:ind w:left="1486" w:right="0" w:hanging="560"/>
        <w:jc w:val="left"/>
        <w:rPr>
          <w:sz w:val="32"/>
        </w:rPr>
      </w:pPr>
      <w:r>
        <w:rPr>
          <w:sz w:val="32"/>
        </w:rPr>
        <w:t>宣教培训</w:t>
      </w:r>
    </w:p>
    <w:p>
      <w:pPr>
        <w:pStyle w:val="3"/>
        <w:spacing w:before="150" w:line="328" w:lineRule="auto"/>
        <w:ind w:right="286" w:firstLine="640"/>
        <w:jc w:val="left"/>
      </w:pPr>
      <w:r>
        <w:rPr>
          <w:w w:val="95"/>
        </w:rPr>
        <w:t>县政府有关部门应当加强食品安全专业人员、食品生产经 营者及广大消费者的食品安全知识宣传、教育与培训，促进专 业人员掌握食品安全相关工作技能，增强食品生产经营者的责 任意识和道德水平，提高消费者的风险意识和防范能力，正确 引导消费。各级政府应建立并完善食品安全事故应急管理培训 制度，加强</w:t>
      </w:r>
      <w:bookmarkStart w:id="0" w:name="_GoBack"/>
      <w:bookmarkEnd w:id="0"/>
      <w:r>
        <w:rPr>
          <w:w w:val="95"/>
        </w:rPr>
        <w:t>各级、各部门领导干部和监管人员的培训教</w:t>
      </w:r>
      <w:r>
        <w:t>育，提高应对突发事件的决策和处置能力。</w:t>
      </w:r>
    </w:p>
    <w:p>
      <w:pPr>
        <w:pStyle w:val="7"/>
        <w:numPr>
          <w:ilvl w:val="0"/>
          <w:numId w:val="6"/>
        </w:numPr>
        <w:tabs>
          <w:tab w:val="left" w:pos="1247"/>
          <w:tab w:val="left" w:pos="1887"/>
        </w:tabs>
        <w:spacing w:before="151" w:after="0" w:line="240" w:lineRule="auto"/>
        <w:ind w:left="1246" w:right="0" w:hanging="320"/>
        <w:jc w:val="left"/>
        <w:rPr>
          <w:rFonts w:hint="eastAsia" w:ascii="黑体" w:eastAsia="黑体"/>
          <w:sz w:val="32"/>
        </w:rPr>
      </w:pPr>
      <w:r>
        <w:rPr>
          <w:rFonts w:hint="eastAsia" w:ascii="黑体" w:eastAsia="黑体"/>
          <w:sz w:val="32"/>
        </w:rPr>
        <w:t>附</w:t>
      </w:r>
      <w:r>
        <w:rPr>
          <w:rFonts w:hint="eastAsia" w:ascii="黑体" w:eastAsia="黑体"/>
          <w:sz w:val="32"/>
        </w:rPr>
        <w:tab/>
      </w:r>
      <w:r>
        <w:rPr>
          <w:rFonts w:hint="eastAsia" w:ascii="黑体" w:eastAsia="黑体"/>
          <w:sz w:val="32"/>
        </w:rPr>
        <w:t>则</w:t>
      </w:r>
    </w:p>
    <w:p>
      <w:pPr>
        <w:pStyle w:val="7"/>
        <w:numPr>
          <w:ilvl w:val="1"/>
          <w:numId w:val="6"/>
        </w:numPr>
        <w:tabs>
          <w:tab w:val="left" w:pos="1487"/>
        </w:tabs>
        <w:spacing w:before="149" w:after="0" w:line="240" w:lineRule="auto"/>
        <w:ind w:left="1486" w:right="0" w:hanging="560"/>
        <w:jc w:val="left"/>
        <w:rPr>
          <w:sz w:val="32"/>
        </w:rPr>
      </w:pPr>
      <w:r>
        <w:rPr>
          <w:sz w:val="32"/>
        </w:rPr>
        <w:t>名词解释</w:t>
      </w:r>
    </w:p>
    <w:p>
      <w:pPr>
        <w:pStyle w:val="3"/>
        <w:spacing w:before="150" w:line="328" w:lineRule="auto"/>
        <w:ind w:right="286" w:firstLine="640"/>
      </w:pPr>
      <w:r>
        <w:rPr>
          <w:spacing w:val="2"/>
          <w:w w:val="95"/>
        </w:rPr>
        <w:t xml:space="preserve">食品安全：指食品无毒、无害，符合应当有的营养要求， </w:t>
      </w:r>
      <w:r>
        <w:t>对人体健康不造成任何急性、亚急性或者慢性危害。</w:t>
      </w:r>
    </w:p>
    <w:p>
      <w:pPr>
        <w:pStyle w:val="3"/>
        <w:spacing w:line="326" w:lineRule="auto"/>
        <w:ind w:right="286" w:firstLine="640"/>
      </w:pPr>
      <w:r>
        <w:rPr>
          <w:spacing w:val="2"/>
          <w:w w:val="95"/>
        </w:rPr>
        <w:t xml:space="preserve">食源性疾病：指食品中致病因素进入人体引起的感染性、 </w:t>
      </w:r>
      <w:r>
        <w:t>中毒性等疾病，包括食物中毒。</w:t>
      </w:r>
    </w:p>
    <w:p>
      <w:pPr>
        <w:pStyle w:val="3"/>
        <w:spacing w:before="3" w:line="326" w:lineRule="auto"/>
        <w:ind w:right="286" w:firstLine="640"/>
      </w:pPr>
      <w:r>
        <w:rPr>
          <w:spacing w:val="2"/>
          <w:w w:val="95"/>
        </w:rPr>
        <w:t xml:space="preserve">食物中毒：指食用了被有毒有害物质污染的食品或者食用 </w:t>
      </w:r>
      <w:r>
        <w:t>了含有毒有害物质的食品后出现的急性、亚急性疾病。</w:t>
      </w:r>
    </w:p>
    <w:p>
      <w:pPr>
        <w:pStyle w:val="3"/>
        <w:spacing w:before="3" w:line="328" w:lineRule="auto"/>
        <w:ind w:right="286" w:firstLine="640"/>
      </w:pPr>
      <w:r>
        <w:rPr>
          <w:spacing w:val="2"/>
          <w:w w:val="95"/>
        </w:rPr>
        <w:t xml:space="preserve">食品安全事故：指食源性疾病、食品污染等源于食品，对 </w:t>
      </w:r>
      <w:r>
        <w:t>人体健康有危害或者可能有危害的事故。</w:t>
      </w:r>
    </w:p>
    <w:p>
      <w:pPr>
        <w:pStyle w:val="3"/>
        <w:spacing w:line="407" w:lineRule="exact"/>
        <w:ind w:left="927"/>
      </w:pPr>
      <w:r>
        <w:t>本预案有关数量的表述，</w:t>
      </w:r>
      <w:r>
        <w:rPr>
          <w:rFonts w:ascii="Times New Roman" w:hAnsi="Times New Roman" w:eastAsia="Times New Roman"/>
        </w:rPr>
        <w:t>“</w:t>
      </w:r>
      <w:r>
        <w:t>以上</w:t>
      </w:r>
      <w:r>
        <w:rPr>
          <w:rFonts w:ascii="Times New Roman" w:hAnsi="Times New Roman" w:eastAsia="Times New Roman"/>
        </w:rPr>
        <w:t>”</w:t>
      </w:r>
      <w:r>
        <w:t>含本数，</w:t>
      </w:r>
      <w:r>
        <w:rPr>
          <w:rFonts w:ascii="Times New Roman" w:hAnsi="Times New Roman" w:eastAsia="Times New Roman"/>
        </w:rPr>
        <w:t>“</w:t>
      </w:r>
      <w:r>
        <w:t>以下</w:t>
      </w:r>
      <w:r>
        <w:rPr>
          <w:rFonts w:ascii="Times New Roman" w:hAnsi="Times New Roman" w:eastAsia="Times New Roman"/>
        </w:rPr>
        <w:t>”</w:t>
      </w:r>
      <w:r>
        <w:t>不含本数。</w:t>
      </w:r>
    </w:p>
    <w:p>
      <w:pPr>
        <w:pStyle w:val="7"/>
        <w:numPr>
          <w:ilvl w:val="1"/>
          <w:numId w:val="6"/>
        </w:numPr>
        <w:tabs>
          <w:tab w:val="left" w:pos="1487"/>
        </w:tabs>
        <w:spacing w:before="149" w:after="0" w:line="240" w:lineRule="auto"/>
        <w:ind w:left="1486" w:right="0" w:hanging="560"/>
        <w:jc w:val="left"/>
        <w:rPr>
          <w:sz w:val="32"/>
        </w:rPr>
      </w:pPr>
      <w:r>
        <w:rPr>
          <w:sz w:val="32"/>
        </w:rPr>
        <w:t>预案管理</w:t>
      </w:r>
    </w:p>
    <w:p>
      <w:pPr>
        <w:pStyle w:val="3"/>
        <w:spacing w:before="152"/>
        <w:ind w:left="927"/>
      </w:pPr>
      <w:r>
        <w:t>本预案由县市场监管局根据情况变化适时修订，报县政府</w:t>
      </w:r>
    </w:p>
    <w:p>
      <w:pPr>
        <w:spacing w:after="0"/>
        <w:sectPr>
          <w:pgSz w:w="11910" w:h="16840"/>
          <w:pgMar w:top="1580" w:right="1300" w:bottom="1400" w:left="1300" w:header="0" w:footer="1122" w:gutter="0"/>
          <w:cols w:space="720" w:num="1"/>
        </w:sectPr>
      </w:pPr>
    </w:p>
    <w:p>
      <w:pPr>
        <w:pStyle w:val="3"/>
        <w:ind w:left="0"/>
        <w:rPr>
          <w:sz w:val="20"/>
        </w:rPr>
      </w:pPr>
    </w:p>
    <w:p>
      <w:pPr>
        <w:pStyle w:val="3"/>
        <w:spacing w:before="11"/>
        <w:ind w:left="0"/>
        <w:rPr>
          <w:sz w:val="15"/>
        </w:rPr>
      </w:pPr>
    </w:p>
    <w:p>
      <w:pPr>
        <w:pStyle w:val="3"/>
        <w:spacing w:before="54" w:line="328" w:lineRule="auto"/>
        <w:ind w:right="286"/>
      </w:pPr>
      <w:r>
        <w:t>批准实施。县政府有关部门和各镇（街道）参照本预案的规定履行职责，并制定相应的应急预案。</w:t>
      </w:r>
    </w:p>
    <w:p>
      <w:pPr>
        <w:pStyle w:val="7"/>
        <w:numPr>
          <w:ilvl w:val="1"/>
          <w:numId w:val="6"/>
        </w:numPr>
        <w:tabs>
          <w:tab w:val="left" w:pos="1487"/>
        </w:tabs>
        <w:spacing w:before="0" w:after="0" w:line="407" w:lineRule="exact"/>
        <w:ind w:left="1486" w:right="0" w:hanging="560"/>
        <w:jc w:val="both"/>
        <w:rPr>
          <w:sz w:val="32"/>
        </w:rPr>
      </w:pPr>
      <w:r>
        <w:rPr>
          <w:sz w:val="32"/>
        </w:rPr>
        <w:t>演习演练</w:t>
      </w:r>
    </w:p>
    <w:p>
      <w:pPr>
        <w:pStyle w:val="3"/>
        <w:spacing w:before="150" w:line="328" w:lineRule="auto"/>
        <w:ind w:right="286" w:firstLine="640"/>
        <w:jc w:val="both"/>
      </w:pPr>
      <w:r>
        <w:rPr>
          <w:spacing w:val="1"/>
          <w:w w:val="95"/>
        </w:rPr>
        <w:t xml:space="preserve">县市场监管局应制定食品安全事故应急演练计划，组织相 </w:t>
      </w:r>
      <w:r>
        <w:rPr>
          <w:spacing w:val="-1"/>
        </w:rPr>
        <w:t>关部门开展食品安全事故应急演练，以检验和强化应急准备， 提升快速应对能力和水平，并对应急演练结果进行总结评估， 完善应急预案。有关食品生产经营单位应当根据实际，定期或</w:t>
      </w:r>
      <w:r>
        <w:t>不定期组织本单位的应急救援演习演练。</w:t>
      </w:r>
    </w:p>
    <w:p>
      <w:pPr>
        <w:pStyle w:val="7"/>
        <w:numPr>
          <w:ilvl w:val="1"/>
          <w:numId w:val="6"/>
        </w:numPr>
        <w:tabs>
          <w:tab w:val="left" w:pos="1487"/>
        </w:tabs>
        <w:spacing w:before="0" w:after="0" w:line="402" w:lineRule="exact"/>
        <w:ind w:left="1486" w:right="0" w:hanging="560"/>
        <w:jc w:val="both"/>
        <w:rPr>
          <w:sz w:val="32"/>
        </w:rPr>
      </w:pPr>
      <w:r>
        <w:rPr>
          <w:sz w:val="32"/>
        </w:rPr>
        <w:t>预案解释</w:t>
      </w:r>
    </w:p>
    <w:p>
      <w:pPr>
        <w:pStyle w:val="3"/>
        <w:spacing w:before="149"/>
        <w:ind w:left="927"/>
      </w:pPr>
      <w:r>
        <w:t>本预案由县市场监管局负责解释。</w:t>
      </w:r>
    </w:p>
    <w:p>
      <w:pPr>
        <w:pStyle w:val="7"/>
        <w:numPr>
          <w:ilvl w:val="1"/>
          <w:numId w:val="6"/>
        </w:numPr>
        <w:tabs>
          <w:tab w:val="left" w:pos="1487"/>
        </w:tabs>
        <w:spacing w:before="151" w:after="0" w:line="240" w:lineRule="auto"/>
        <w:ind w:left="1486" w:right="0" w:hanging="560"/>
        <w:jc w:val="left"/>
        <w:rPr>
          <w:sz w:val="32"/>
        </w:rPr>
      </w:pPr>
      <w:r>
        <w:rPr>
          <w:sz w:val="32"/>
        </w:rPr>
        <w:t>实施时间</w:t>
      </w:r>
    </w:p>
    <w:p>
      <w:pPr>
        <w:pStyle w:val="3"/>
        <w:spacing w:before="150" w:line="328" w:lineRule="auto"/>
        <w:ind w:right="286" w:firstLine="640"/>
        <w:jc w:val="both"/>
      </w:pPr>
      <w:r>
        <w:rPr>
          <w:spacing w:val="-5"/>
        </w:rPr>
        <w:t xml:space="preserve">本预案自印发之日起实施。高青县人民政府 </w:t>
      </w:r>
      <w:r>
        <w:rPr>
          <w:rFonts w:ascii="Times New Roman" w:eastAsia="Times New Roman"/>
        </w:rPr>
        <w:t xml:space="preserve">2017 </w:t>
      </w:r>
      <w:r>
        <w:rPr>
          <w:spacing w:val="-42"/>
        </w:rPr>
        <w:t xml:space="preserve">年 </w:t>
      </w:r>
      <w:r>
        <w:rPr>
          <w:rFonts w:ascii="Times New Roman" w:eastAsia="Times New Roman"/>
        </w:rPr>
        <w:t xml:space="preserve">6 </w:t>
      </w:r>
      <w:r>
        <w:rPr>
          <w:spacing w:val="-41"/>
        </w:rPr>
        <w:t xml:space="preserve">月 </w:t>
      </w:r>
      <w:r>
        <w:rPr>
          <w:rFonts w:ascii="Times New Roman" w:eastAsia="Times New Roman"/>
        </w:rPr>
        <w:t xml:space="preserve">8 </w:t>
      </w:r>
      <w:r>
        <w:rPr>
          <w:spacing w:val="1"/>
          <w:w w:val="95"/>
        </w:rPr>
        <w:t>日印发的《高青县食品安全事故应急预案》</w:t>
      </w:r>
      <w:r>
        <w:rPr>
          <w:spacing w:val="5"/>
          <w:w w:val="95"/>
        </w:rPr>
        <w:t>（高政发〔</w:t>
      </w:r>
      <w:r>
        <w:rPr>
          <w:rFonts w:ascii="Times New Roman" w:eastAsia="Times New Roman"/>
          <w:w w:val="95"/>
        </w:rPr>
        <w:t>2017</w:t>
      </w:r>
      <w:r>
        <w:rPr>
          <w:spacing w:val="-14"/>
          <w:w w:val="95"/>
        </w:rPr>
        <w:t xml:space="preserve">〕 </w:t>
      </w:r>
      <w:r>
        <w:rPr>
          <w:rFonts w:ascii="Times New Roman" w:eastAsia="Times New Roman"/>
        </w:rPr>
        <w:t>22</w:t>
      </w:r>
      <w:r>
        <w:rPr>
          <w:rFonts w:ascii="Times New Roman" w:eastAsia="Times New Roman"/>
          <w:spacing w:val="-1"/>
        </w:rPr>
        <w:t xml:space="preserve"> </w:t>
      </w:r>
      <w:r>
        <w:t>号）同时废止。</w:t>
      </w:r>
    </w:p>
    <w:p>
      <w:pPr>
        <w:pStyle w:val="3"/>
        <w:spacing w:before="3"/>
        <w:ind w:left="0"/>
        <w:rPr>
          <w:sz w:val="43"/>
        </w:rPr>
      </w:pPr>
    </w:p>
    <w:p>
      <w:pPr>
        <w:pStyle w:val="3"/>
        <w:ind w:left="927"/>
      </w:pPr>
      <w:r>
        <w:t>附件：</w:t>
      </w:r>
      <w:r>
        <w:rPr>
          <w:rFonts w:ascii="Times New Roman" w:eastAsia="Times New Roman"/>
        </w:rPr>
        <w:t>1</w:t>
      </w:r>
      <w:r>
        <w:t>．指挥部成员单位职责</w:t>
      </w:r>
    </w:p>
    <w:p>
      <w:pPr>
        <w:pStyle w:val="3"/>
        <w:spacing w:before="151"/>
        <w:ind w:left="1279" w:right="1761"/>
        <w:jc w:val="center"/>
      </w:pPr>
      <w:r>
        <w:rPr>
          <w:rFonts w:ascii="Times New Roman" w:eastAsia="Times New Roman"/>
        </w:rPr>
        <w:t>2</w:t>
      </w:r>
      <w:r>
        <w:t>．高青县食品安全事故登记</w:t>
      </w:r>
      <w:r>
        <w:rPr>
          <w:rFonts w:ascii="Times New Roman" w:eastAsia="Times New Roman"/>
        </w:rPr>
        <w:t>/</w:t>
      </w:r>
      <w:r>
        <w:t>报告表</w:t>
      </w:r>
    </w:p>
    <w:p>
      <w:pPr>
        <w:spacing w:after="0"/>
        <w:jc w:val="center"/>
        <w:sectPr>
          <w:pgSz w:w="11910" w:h="16840"/>
          <w:pgMar w:top="1580" w:right="1300" w:bottom="1400" w:left="1300" w:header="0" w:footer="1122" w:gutter="0"/>
          <w:cols w:space="720" w:num="1"/>
        </w:sectPr>
      </w:pPr>
    </w:p>
    <w:p>
      <w:pPr>
        <w:pStyle w:val="3"/>
        <w:spacing w:before="10"/>
        <w:ind w:left="0"/>
        <w:rPr>
          <w:sz w:val="27"/>
        </w:rPr>
      </w:pPr>
    </w:p>
    <w:p>
      <w:pPr>
        <w:pStyle w:val="2"/>
        <w:spacing w:before="38"/>
        <w:ind w:left="1761"/>
      </w:pPr>
      <w:r>
        <w:t>指挥部成员单位职责</w:t>
      </w:r>
    </w:p>
    <w:p>
      <w:pPr>
        <w:pStyle w:val="3"/>
        <w:ind w:left="0"/>
        <w:rPr>
          <w:b/>
          <w:sz w:val="20"/>
        </w:rPr>
      </w:pPr>
    </w:p>
    <w:p>
      <w:pPr>
        <w:pStyle w:val="3"/>
        <w:spacing w:before="10"/>
        <w:ind w:left="0"/>
        <w:rPr>
          <w:b/>
          <w:sz w:val="12"/>
        </w:rPr>
      </w:pP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6"/>
        <w:gridCol w:w="6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66" w:type="dxa"/>
          </w:tcPr>
          <w:p>
            <w:pPr>
              <w:pStyle w:val="8"/>
              <w:spacing w:before="53"/>
              <w:ind w:left="8"/>
              <w:jc w:val="center"/>
              <w:rPr>
                <w:rFonts w:hint="eastAsia" w:ascii="黑体" w:eastAsia="黑体"/>
                <w:sz w:val="24"/>
              </w:rPr>
            </w:pPr>
            <w:r>
              <w:rPr>
                <w:rFonts w:hint="eastAsia" w:ascii="黑体" w:eastAsia="黑体"/>
                <w:sz w:val="24"/>
              </w:rPr>
              <w:t>单位名称</w:t>
            </w:r>
          </w:p>
        </w:tc>
        <w:tc>
          <w:tcPr>
            <w:tcW w:w="6605" w:type="dxa"/>
          </w:tcPr>
          <w:p>
            <w:pPr>
              <w:pStyle w:val="8"/>
              <w:spacing w:before="53"/>
              <w:ind w:left="2322" w:right="2313"/>
              <w:jc w:val="center"/>
              <w:rPr>
                <w:rFonts w:hint="eastAsia" w:ascii="黑体" w:eastAsia="黑体"/>
                <w:sz w:val="24"/>
              </w:rPr>
            </w:pPr>
            <w:r>
              <w:rPr>
                <w:rFonts w:hint="eastAsia" w:ascii="黑体" w:eastAsia="黑体"/>
                <w:sz w:val="24"/>
              </w:rPr>
              <w:t>应急工作主要职责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trPr>
        <w:tc>
          <w:tcPr>
            <w:tcW w:w="2466" w:type="dxa"/>
          </w:tcPr>
          <w:p>
            <w:pPr>
              <w:pStyle w:val="8"/>
              <w:rPr>
                <w:b/>
                <w:sz w:val="24"/>
              </w:rPr>
            </w:pPr>
          </w:p>
          <w:p>
            <w:pPr>
              <w:pStyle w:val="8"/>
              <w:rPr>
                <w:b/>
                <w:sz w:val="24"/>
              </w:rPr>
            </w:pPr>
          </w:p>
          <w:p>
            <w:pPr>
              <w:pStyle w:val="8"/>
              <w:spacing w:before="3"/>
              <w:rPr>
                <w:b/>
                <w:sz w:val="28"/>
              </w:rPr>
            </w:pPr>
          </w:p>
          <w:p>
            <w:pPr>
              <w:pStyle w:val="8"/>
              <w:ind w:left="8"/>
              <w:jc w:val="center"/>
              <w:rPr>
                <w:sz w:val="24"/>
              </w:rPr>
            </w:pPr>
            <w:r>
              <w:rPr>
                <w:sz w:val="24"/>
              </w:rPr>
              <w:t>县市场监管局</w:t>
            </w:r>
          </w:p>
        </w:tc>
        <w:tc>
          <w:tcPr>
            <w:tcW w:w="6605" w:type="dxa"/>
          </w:tcPr>
          <w:p>
            <w:pPr>
              <w:pStyle w:val="8"/>
              <w:spacing w:before="81" w:line="235" w:lineRule="auto"/>
              <w:ind w:left="107" w:right="96"/>
              <w:jc w:val="both"/>
              <w:rPr>
                <w:sz w:val="24"/>
              </w:rPr>
            </w:pPr>
            <w:r>
              <w:rPr>
                <w:spacing w:val="-5"/>
                <w:sz w:val="24"/>
              </w:rPr>
              <w:t>负责指挥部办公室日常工作，落实办公室各项职责；组织、指导、监督、协调开展事故应急处置及事件调查；会同有关部门</w:t>
            </w:r>
            <w:r>
              <w:rPr>
                <w:spacing w:val="-10"/>
                <w:sz w:val="24"/>
              </w:rPr>
              <w:t>组织开展事故责任调查；负责食品生产、流通、餐饮环节食品</w:t>
            </w:r>
            <w:r>
              <w:rPr>
                <w:spacing w:val="-11"/>
                <w:sz w:val="24"/>
              </w:rPr>
              <w:t>安全事故中违法行为、发生食品安全事故中食品相关产品违法</w:t>
            </w:r>
            <w:r>
              <w:rPr>
                <w:spacing w:val="-9"/>
                <w:sz w:val="24"/>
              </w:rPr>
              <w:t>行为的调查处理，并依法采取必要的应急处置措施，防止或者</w:t>
            </w:r>
            <w:r>
              <w:rPr>
                <w:spacing w:val="-10"/>
                <w:sz w:val="24"/>
              </w:rPr>
              <w:t>减轻社会危害。负责对食品安全事故中违法广告、商标侵权等</w:t>
            </w:r>
            <w:r>
              <w:rPr>
                <w:sz w:val="24"/>
              </w:rPr>
              <w:t>经营行为开展调查。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466" w:type="dxa"/>
          </w:tcPr>
          <w:p>
            <w:pPr>
              <w:pStyle w:val="8"/>
              <w:spacing w:before="6"/>
              <w:rPr>
                <w:b/>
                <w:sz w:val="27"/>
              </w:rPr>
            </w:pPr>
          </w:p>
          <w:p>
            <w:pPr>
              <w:pStyle w:val="8"/>
              <w:ind w:left="8"/>
              <w:jc w:val="center"/>
              <w:rPr>
                <w:sz w:val="24"/>
              </w:rPr>
            </w:pPr>
            <w:r>
              <w:rPr>
                <w:sz w:val="24"/>
              </w:rPr>
              <w:t>县委宣传部</w:t>
            </w:r>
          </w:p>
        </w:tc>
        <w:tc>
          <w:tcPr>
            <w:tcW w:w="6605" w:type="dxa"/>
          </w:tcPr>
          <w:p>
            <w:pPr>
              <w:pStyle w:val="8"/>
              <w:spacing w:before="57" w:line="235" w:lineRule="auto"/>
              <w:ind w:left="107" w:right="5"/>
              <w:rPr>
                <w:sz w:val="24"/>
              </w:rPr>
            </w:pPr>
            <w:r>
              <w:rPr>
                <w:sz w:val="24"/>
              </w:rPr>
              <w:t>负责指导制定一般食品安全事故宣传工作方案，指导协调新闻媒体做好宣传报道和舆论引导，指导事故调查处置部门及时、主动、准确、权威发布信息。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2466" w:type="dxa"/>
          </w:tcPr>
          <w:p>
            <w:pPr>
              <w:pStyle w:val="8"/>
              <w:rPr>
                <w:b/>
                <w:sz w:val="24"/>
              </w:rPr>
            </w:pPr>
          </w:p>
          <w:p>
            <w:pPr>
              <w:pStyle w:val="8"/>
              <w:spacing w:before="11"/>
              <w:rPr>
                <w:b/>
                <w:sz w:val="33"/>
              </w:rPr>
            </w:pPr>
          </w:p>
          <w:p>
            <w:pPr>
              <w:pStyle w:val="8"/>
              <w:ind w:left="8"/>
              <w:jc w:val="center"/>
              <w:rPr>
                <w:sz w:val="24"/>
              </w:rPr>
            </w:pPr>
            <w:r>
              <w:rPr>
                <w:sz w:val="24"/>
              </w:rPr>
              <w:t>县委统战部</w:t>
            </w:r>
          </w:p>
        </w:tc>
        <w:tc>
          <w:tcPr>
            <w:tcW w:w="6605" w:type="dxa"/>
          </w:tcPr>
          <w:p>
            <w:pPr>
              <w:pStyle w:val="8"/>
              <w:spacing w:before="146" w:line="235" w:lineRule="auto"/>
              <w:ind w:left="107" w:right="96"/>
              <w:jc w:val="both"/>
              <w:rPr>
                <w:sz w:val="24"/>
              </w:rPr>
            </w:pPr>
            <w:r>
              <w:rPr>
                <w:spacing w:val="-9"/>
                <w:sz w:val="24"/>
              </w:rPr>
              <w:t>负责对清真食品生产、经营活动是否符合《山东省清真食品管</w:t>
            </w:r>
            <w:r>
              <w:rPr>
                <w:spacing w:val="-11"/>
                <w:sz w:val="24"/>
              </w:rPr>
              <w:t>理规定》进行监督检查，配合有关部门对违反《山东省清真食品管理规定》的行为进行调查处理，采取措施防止因清真食品</w:t>
            </w:r>
            <w:r>
              <w:rPr>
                <w:spacing w:val="-10"/>
                <w:sz w:val="24"/>
              </w:rPr>
              <w:t>引发的社会矛盾，维护社会稳定。负责涉及港澳台地区食品安</w:t>
            </w:r>
            <w:r>
              <w:rPr>
                <w:sz w:val="24"/>
              </w:rPr>
              <w:t>全事故处置中政策指导。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51" w:line="235" w:lineRule="auto"/>
              <w:ind w:left="752" w:right="621" w:hanging="120"/>
              <w:rPr>
                <w:sz w:val="24"/>
              </w:rPr>
            </w:pPr>
            <w:r>
              <w:rPr>
                <w:sz w:val="24"/>
              </w:rPr>
              <w:t>县网络信息服务中心</w:t>
            </w:r>
          </w:p>
        </w:tc>
        <w:tc>
          <w:tcPr>
            <w:tcW w:w="6605" w:type="dxa"/>
          </w:tcPr>
          <w:p>
            <w:pPr>
              <w:pStyle w:val="8"/>
              <w:spacing w:before="197"/>
              <w:ind w:left="107"/>
              <w:rPr>
                <w:sz w:val="24"/>
              </w:rPr>
            </w:pPr>
            <w:r>
              <w:rPr>
                <w:sz w:val="24"/>
              </w:rPr>
              <w:t>负责统筹协调组织食品安全事故互联网舆情引导工作。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2466" w:type="dxa"/>
          </w:tcPr>
          <w:p>
            <w:pPr>
              <w:pStyle w:val="8"/>
              <w:spacing w:before="10"/>
              <w:rPr>
                <w:b/>
                <w:sz w:val="27"/>
              </w:rPr>
            </w:pPr>
          </w:p>
          <w:p>
            <w:pPr>
              <w:pStyle w:val="8"/>
              <w:ind w:left="8"/>
              <w:jc w:val="center"/>
              <w:rPr>
                <w:sz w:val="24"/>
              </w:rPr>
            </w:pPr>
            <w:r>
              <w:rPr>
                <w:sz w:val="24"/>
              </w:rPr>
              <w:t>县发改局</w:t>
            </w:r>
          </w:p>
        </w:tc>
        <w:tc>
          <w:tcPr>
            <w:tcW w:w="6605" w:type="dxa"/>
          </w:tcPr>
          <w:p>
            <w:pPr>
              <w:pStyle w:val="8"/>
              <w:spacing w:before="61" w:line="235" w:lineRule="auto"/>
              <w:ind w:left="107" w:right="96"/>
              <w:jc w:val="both"/>
              <w:rPr>
                <w:sz w:val="24"/>
              </w:rPr>
            </w:pPr>
            <w:r>
              <w:rPr>
                <w:spacing w:val="-11"/>
                <w:sz w:val="24"/>
              </w:rPr>
              <w:t>负责粮食收购、储存环节和政策性用粮购销活动中发生的粮食</w:t>
            </w:r>
            <w:r>
              <w:rPr>
                <w:spacing w:val="-6"/>
                <w:sz w:val="24"/>
              </w:rPr>
              <w:t>安全事故的应急处置和违法行为的调查处理；封存可能导致食</w:t>
            </w:r>
            <w:r>
              <w:rPr>
                <w:sz w:val="24"/>
              </w:rPr>
              <w:t>品安全事故的粮食；对确认属于被污染的粮食，依法处理。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466" w:type="dxa"/>
          </w:tcPr>
          <w:p>
            <w:pPr>
              <w:pStyle w:val="8"/>
              <w:spacing w:before="4"/>
              <w:rPr>
                <w:b/>
                <w:sz w:val="27"/>
              </w:rPr>
            </w:pPr>
          </w:p>
          <w:p>
            <w:pPr>
              <w:pStyle w:val="8"/>
              <w:ind w:left="8"/>
              <w:jc w:val="center"/>
              <w:rPr>
                <w:sz w:val="24"/>
              </w:rPr>
            </w:pPr>
            <w:r>
              <w:rPr>
                <w:sz w:val="24"/>
              </w:rPr>
              <w:t>县教体局</w:t>
            </w:r>
          </w:p>
        </w:tc>
        <w:tc>
          <w:tcPr>
            <w:tcW w:w="6605" w:type="dxa"/>
          </w:tcPr>
          <w:p>
            <w:pPr>
              <w:pStyle w:val="8"/>
              <w:spacing w:before="55" w:line="235" w:lineRule="auto"/>
              <w:ind w:left="107" w:right="96"/>
              <w:rPr>
                <w:sz w:val="24"/>
              </w:rPr>
            </w:pPr>
            <w:r>
              <w:rPr>
                <w:spacing w:val="-7"/>
                <w:sz w:val="24"/>
              </w:rPr>
              <w:t>负责配合有关监管部门对学校食堂、学校内食品经营单位发生</w:t>
            </w:r>
            <w:r>
              <w:rPr>
                <w:sz w:val="24"/>
              </w:rPr>
              <w:t>或学生在校集体用餐造成的食品安全事故进行调查及组织应急处理。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197"/>
              <w:ind w:left="8"/>
              <w:jc w:val="center"/>
              <w:rPr>
                <w:sz w:val="24"/>
              </w:rPr>
            </w:pPr>
            <w:r>
              <w:rPr>
                <w:sz w:val="24"/>
              </w:rPr>
              <w:t>县科技局</w:t>
            </w:r>
          </w:p>
        </w:tc>
        <w:tc>
          <w:tcPr>
            <w:tcW w:w="6605" w:type="dxa"/>
          </w:tcPr>
          <w:p>
            <w:pPr>
              <w:pStyle w:val="8"/>
              <w:spacing w:before="50" w:line="235" w:lineRule="auto"/>
              <w:ind w:left="107" w:right="96"/>
              <w:rPr>
                <w:sz w:val="24"/>
              </w:rPr>
            </w:pPr>
            <w:r>
              <w:rPr>
                <w:spacing w:val="-6"/>
                <w:sz w:val="24"/>
              </w:rPr>
              <w:t>负责对食品安全保障关键技术研发提供支撑，与有关部门协同</w:t>
            </w:r>
            <w:r>
              <w:rPr>
                <w:sz w:val="24"/>
              </w:rPr>
              <w:t>为食品安全事故处置提供技术保障。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2466" w:type="dxa"/>
          </w:tcPr>
          <w:p>
            <w:pPr>
              <w:pStyle w:val="8"/>
              <w:spacing w:before="205" w:line="235" w:lineRule="auto"/>
              <w:ind w:left="752" w:right="741"/>
              <w:rPr>
                <w:sz w:val="24"/>
              </w:rPr>
            </w:pPr>
            <w:r>
              <w:rPr>
                <w:sz w:val="24"/>
              </w:rPr>
              <w:t>县工业和信息化局</w:t>
            </w:r>
          </w:p>
        </w:tc>
        <w:tc>
          <w:tcPr>
            <w:tcW w:w="6605" w:type="dxa"/>
          </w:tcPr>
          <w:p>
            <w:pPr>
              <w:pStyle w:val="8"/>
              <w:spacing w:before="53" w:line="235" w:lineRule="auto"/>
              <w:ind w:left="107" w:right="96"/>
              <w:jc w:val="both"/>
              <w:rPr>
                <w:sz w:val="24"/>
              </w:rPr>
            </w:pPr>
            <w:r>
              <w:rPr>
                <w:spacing w:val="-11"/>
                <w:sz w:val="24"/>
              </w:rPr>
              <w:t>负责协助乳品、酒类和食盐等特定食品工业中食品安全事故的调查和应急处置；协助县内工业企业正常生产食品安全事故应</w:t>
            </w:r>
            <w:r>
              <w:rPr>
                <w:sz w:val="24"/>
              </w:rPr>
              <w:t>急处置所需设备、装备及相关产品。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66" w:type="dxa"/>
          </w:tcPr>
          <w:p>
            <w:pPr>
              <w:pStyle w:val="8"/>
              <w:spacing w:before="7"/>
              <w:rPr>
                <w:b/>
                <w:sz w:val="23"/>
              </w:rPr>
            </w:pPr>
          </w:p>
          <w:p>
            <w:pPr>
              <w:pStyle w:val="8"/>
              <w:ind w:left="8"/>
              <w:jc w:val="center"/>
              <w:rPr>
                <w:sz w:val="24"/>
              </w:rPr>
            </w:pPr>
            <w:r>
              <w:rPr>
                <w:sz w:val="24"/>
              </w:rPr>
              <w:t>县公安局</w:t>
            </w:r>
          </w:p>
        </w:tc>
        <w:tc>
          <w:tcPr>
            <w:tcW w:w="6605" w:type="dxa"/>
          </w:tcPr>
          <w:p>
            <w:pPr>
              <w:pStyle w:val="8"/>
              <w:spacing w:before="2" w:line="300" w:lineRule="exact"/>
              <w:ind w:left="107" w:right="96"/>
              <w:jc w:val="both"/>
              <w:rPr>
                <w:sz w:val="24"/>
              </w:rPr>
            </w:pPr>
            <w:r>
              <w:rPr>
                <w:spacing w:val="-6"/>
                <w:sz w:val="24"/>
              </w:rPr>
              <w:t>负责食品安全事故中涉嫌犯罪行为的侦查工作；加强对食品安</w:t>
            </w:r>
            <w:r>
              <w:rPr>
                <w:spacing w:val="-9"/>
                <w:sz w:val="24"/>
              </w:rPr>
              <w:t>全事故现场的治安管理，维护救治秩序、社会治安秩序和交通</w:t>
            </w:r>
            <w:r>
              <w:rPr>
                <w:sz w:val="24"/>
              </w:rPr>
              <w:t>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2466" w:type="dxa"/>
          </w:tcPr>
          <w:p>
            <w:pPr>
              <w:pStyle w:val="8"/>
              <w:spacing w:before="4"/>
              <w:rPr>
                <w:b/>
                <w:sz w:val="23"/>
              </w:rPr>
            </w:pPr>
          </w:p>
          <w:p>
            <w:pPr>
              <w:pStyle w:val="8"/>
              <w:spacing w:before="1"/>
              <w:ind w:left="8"/>
              <w:jc w:val="center"/>
              <w:rPr>
                <w:sz w:val="24"/>
              </w:rPr>
            </w:pPr>
            <w:r>
              <w:rPr>
                <w:sz w:val="24"/>
              </w:rPr>
              <w:t>县民政局</w:t>
            </w:r>
          </w:p>
        </w:tc>
        <w:tc>
          <w:tcPr>
            <w:tcW w:w="6605" w:type="dxa"/>
          </w:tcPr>
          <w:p>
            <w:pPr>
              <w:pStyle w:val="8"/>
              <w:spacing w:before="4" w:line="235" w:lineRule="auto"/>
              <w:ind w:left="107" w:right="96"/>
              <w:rPr>
                <w:sz w:val="24"/>
              </w:rPr>
            </w:pPr>
            <w:r>
              <w:rPr>
                <w:spacing w:val="-5"/>
                <w:sz w:val="24"/>
              </w:rPr>
              <w:t>负责协助做好受食品安全事故影响群众的生活救助工作；协助</w:t>
            </w:r>
            <w:r>
              <w:rPr>
                <w:sz w:val="24"/>
              </w:rPr>
              <w:t>相关部门对养老机构食堂发生的食品安全事故进行调查及组</w:t>
            </w:r>
          </w:p>
          <w:p>
            <w:pPr>
              <w:pStyle w:val="8"/>
              <w:spacing w:line="269" w:lineRule="exact"/>
              <w:ind w:left="107"/>
              <w:rPr>
                <w:sz w:val="24"/>
              </w:rPr>
            </w:pPr>
            <w:r>
              <w:rPr>
                <w:sz w:val="24"/>
              </w:rPr>
              <w:t>织应急处理。</w:t>
            </w:r>
          </w:p>
        </w:tc>
      </w:tr>
    </w:tbl>
    <w:p>
      <w:pPr>
        <w:spacing w:after="0" w:line="269" w:lineRule="exact"/>
        <w:rPr>
          <w:sz w:val="24"/>
        </w:rPr>
        <w:sectPr>
          <w:pgSz w:w="11910" w:h="16840"/>
          <w:pgMar w:top="1580" w:right="1300" w:bottom="1400" w:left="1300" w:header="0" w:footer="1122" w:gutter="0"/>
          <w:cols w:space="720" w:num="1"/>
        </w:sectPr>
      </w:pPr>
    </w:p>
    <w:p>
      <w:pPr>
        <w:pStyle w:val="3"/>
        <w:ind w:left="0"/>
        <w:rPr>
          <w:rFonts w:ascii="Times New Roman"/>
          <w:sz w:val="20"/>
        </w:rPr>
      </w:pPr>
    </w:p>
    <w:p>
      <w:pPr>
        <w:pStyle w:val="3"/>
        <w:spacing w:before="6"/>
        <w:ind w:left="0"/>
        <w:rPr>
          <w:rFonts w:ascii="Times New Roman"/>
          <w:sz w:val="13"/>
        </w:rPr>
      </w:pP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6"/>
        <w:gridCol w:w="6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66" w:type="dxa"/>
          </w:tcPr>
          <w:p>
            <w:pPr>
              <w:pStyle w:val="8"/>
              <w:spacing w:before="54"/>
              <w:ind w:left="8"/>
              <w:jc w:val="center"/>
              <w:rPr>
                <w:rFonts w:hint="eastAsia" w:ascii="黑体" w:eastAsia="黑体"/>
                <w:sz w:val="24"/>
              </w:rPr>
            </w:pPr>
            <w:r>
              <w:rPr>
                <w:rFonts w:hint="eastAsia" w:ascii="黑体" w:eastAsia="黑体"/>
                <w:sz w:val="24"/>
              </w:rPr>
              <w:t>单位名称</w:t>
            </w:r>
          </w:p>
        </w:tc>
        <w:tc>
          <w:tcPr>
            <w:tcW w:w="6605" w:type="dxa"/>
          </w:tcPr>
          <w:p>
            <w:pPr>
              <w:pStyle w:val="8"/>
              <w:spacing w:before="54"/>
              <w:ind w:left="2322" w:right="2313"/>
              <w:jc w:val="center"/>
              <w:rPr>
                <w:rFonts w:hint="eastAsia" w:ascii="黑体" w:eastAsia="黑体"/>
                <w:sz w:val="24"/>
              </w:rPr>
            </w:pPr>
            <w:r>
              <w:rPr>
                <w:rFonts w:hint="eastAsia" w:ascii="黑体" w:eastAsia="黑体"/>
                <w:sz w:val="24"/>
              </w:rPr>
              <w:t>应急工作主要职责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195"/>
              <w:ind w:left="8"/>
              <w:jc w:val="center"/>
              <w:rPr>
                <w:sz w:val="24"/>
              </w:rPr>
            </w:pPr>
            <w:r>
              <w:rPr>
                <w:sz w:val="24"/>
              </w:rPr>
              <w:t>县财政局</w:t>
            </w:r>
          </w:p>
        </w:tc>
        <w:tc>
          <w:tcPr>
            <w:tcW w:w="6605" w:type="dxa"/>
          </w:tcPr>
          <w:p>
            <w:pPr>
              <w:pStyle w:val="8"/>
              <w:spacing w:before="195"/>
              <w:ind w:left="107"/>
              <w:rPr>
                <w:sz w:val="24"/>
              </w:rPr>
            </w:pPr>
            <w:r>
              <w:rPr>
                <w:sz w:val="24"/>
              </w:rPr>
              <w:t>负责县级食品安全事故应急处置等工作所需资金的保障工作。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2466" w:type="dxa"/>
          </w:tcPr>
          <w:p>
            <w:pPr>
              <w:pStyle w:val="8"/>
              <w:rPr>
                <w:rFonts w:ascii="Times New Roman"/>
                <w:sz w:val="24"/>
              </w:rPr>
            </w:pPr>
          </w:p>
          <w:p>
            <w:pPr>
              <w:pStyle w:val="8"/>
              <w:spacing w:before="8"/>
              <w:rPr>
                <w:rFonts w:ascii="Times New Roman"/>
                <w:sz w:val="19"/>
              </w:rPr>
            </w:pPr>
          </w:p>
          <w:p>
            <w:pPr>
              <w:pStyle w:val="8"/>
              <w:ind w:left="8"/>
              <w:jc w:val="center"/>
              <w:rPr>
                <w:sz w:val="24"/>
              </w:rPr>
            </w:pPr>
            <w:r>
              <w:rPr>
                <w:sz w:val="24"/>
              </w:rPr>
              <w:t>县自然资源局</w:t>
            </w:r>
          </w:p>
        </w:tc>
        <w:tc>
          <w:tcPr>
            <w:tcW w:w="6605" w:type="dxa"/>
          </w:tcPr>
          <w:p>
            <w:pPr>
              <w:pStyle w:val="8"/>
              <w:spacing w:before="57" w:line="235" w:lineRule="auto"/>
              <w:ind w:left="107" w:right="96"/>
              <w:jc w:val="both"/>
              <w:rPr>
                <w:sz w:val="24"/>
              </w:rPr>
            </w:pPr>
            <w:r>
              <w:rPr>
                <w:spacing w:val="-5"/>
                <w:sz w:val="24"/>
              </w:rPr>
              <w:t>负责食用林产品</w:t>
            </w:r>
            <w:r>
              <w:rPr>
                <w:sz w:val="24"/>
              </w:rPr>
              <w:t>（不含水果</w:t>
            </w:r>
            <w:r>
              <w:rPr>
                <w:spacing w:val="-32"/>
                <w:sz w:val="24"/>
              </w:rPr>
              <w:t>）</w:t>
            </w:r>
            <w:r>
              <w:rPr>
                <w:spacing w:val="-4"/>
                <w:sz w:val="24"/>
              </w:rPr>
              <w:t>从种植环节到进入批发、零售市</w:t>
            </w:r>
            <w:r>
              <w:rPr>
                <w:spacing w:val="-5"/>
                <w:sz w:val="24"/>
              </w:rPr>
              <w:t>场或者生产加工企业前的食品安全事故的具体调查处理，并依</w:t>
            </w:r>
            <w:r>
              <w:rPr>
                <w:spacing w:val="-7"/>
                <w:sz w:val="24"/>
              </w:rPr>
              <w:t>法采取必要的应急处置措施，防止或者减轻社会危害。负责组</w:t>
            </w:r>
            <w:r>
              <w:rPr>
                <w:sz w:val="24"/>
              </w:rPr>
              <w:t>织开展食用林产品质量安全监督抽检和风险监测。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2466" w:type="dxa"/>
          </w:tcPr>
          <w:p>
            <w:pPr>
              <w:pStyle w:val="8"/>
              <w:spacing w:before="207" w:line="235" w:lineRule="auto"/>
              <w:ind w:left="752" w:right="501" w:hanging="240"/>
              <w:rPr>
                <w:sz w:val="24"/>
              </w:rPr>
            </w:pPr>
            <w:r>
              <w:rPr>
                <w:sz w:val="24"/>
              </w:rPr>
              <w:t>市生态环境局高青分局</w:t>
            </w:r>
          </w:p>
        </w:tc>
        <w:tc>
          <w:tcPr>
            <w:tcW w:w="6605" w:type="dxa"/>
          </w:tcPr>
          <w:p>
            <w:pPr>
              <w:pStyle w:val="8"/>
              <w:spacing w:before="58" w:line="235" w:lineRule="auto"/>
              <w:ind w:left="107" w:right="5"/>
              <w:rPr>
                <w:sz w:val="24"/>
              </w:rPr>
            </w:pPr>
            <w:r>
              <w:rPr>
                <w:sz w:val="24"/>
              </w:rPr>
              <w:t xml:space="preserve">负责组织指导造成食品安全事故的环境污染事件的调查处置 </w:t>
            </w:r>
            <w:r>
              <w:rPr>
                <w:spacing w:val="-1"/>
                <w:sz w:val="24"/>
              </w:rPr>
              <w:t xml:space="preserve">工作；指导事故发生地区镇政府、街道办开展环境污染处置； </w:t>
            </w:r>
            <w:r>
              <w:rPr>
                <w:sz w:val="24"/>
              </w:rPr>
              <w:t>对造成食品安全事故的环境违法行为追究相应责任。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2466" w:type="dxa"/>
          </w:tcPr>
          <w:p>
            <w:pPr>
              <w:pStyle w:val="8"/>
              <w:spacing w:before="8"/>
              <w:rPr>
                <w:rFonts w:ascii="Times New Roman"/>
                <w:sz w:val="23"/>
              </w:rPr>
            </w:pPr>
          </w:p>
          <w:p>
            <w:pPr>
              <w:pStyle w:val="8"/>
              <w:spacing w:line="235" w:lineRule="auto"/>
              <w:ind w:left="872" w:right="621" w:hanging="240"/>
              <w:rPr>
                <w:sz w:val="24"/>
              </w:rPr>
            </w:pPr>
            <w:r>
              <w:rPr>
                <w:sz w:val="24"/>
              </w:rPr>
              <w:t>县住房城乡建设局</w:t>
            </w:r>
          </w:p>
        </w:tc>
        <w:tc>
          <w:tcPr>
            <w:tcW w:w="6605" w:type="dxa"/>
          </w:tcPr>
          <w:p>
            <w:pPr>
              <w:pStyle w:val="8"/>
              <w:spacing w:before="124" w:line="235" w:lineRule="auto"/>
              <w:ind w:left="107" w:right="96"/>
              <w:rPr>
                <w:sz w:val="24"/>
              </w:rPr>
            </w:pPr>
            <w:r>
              <w:rPr>
                <w:sz w:val="24"/>
              </w:rPr>
              <w:t>负责协助有关部门做好房屋建筑和市政工程工地食堂发生的</w:t>
            </w:r>
            <w:r>
              <w:rPr>
                <w:spacing w:val="-7"/>
                <w:sz w:val="24"/>
              </w:rPr>
              <w:t>食品安全事故中违法行为的调查处理，并依法采取必要的应急</w:t>
            </w:r>
            <w:r>
              <w:rPr>
                <w:sz w:val="24"/>
              </w:rPr>
              <w:t>处置措施，防止或者减轻社会危害。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2466" w:type="dxa"/>
          </w:tcPr>
          <w:p>
            <w:pPr>
              <w:pStyle w:val="8"/>
              <w:spacing w:before="5"/>
              <w:rPr>
                <w:rFonts w:ascii="Times New Roman"/>
                <w:sz w:val="34"/>
              </w:rPr>
            </w:pPr>
          </w:p>
          <w:p>
            <w:pPr>
              <w:pStyle w:val="8"/>
              <w:ind w:left="8"/>
              <w:jc w:val="center"/>
              <w:rPr>
                <w:sz w:val="24"/>
              </w:rPr>
            </w:pPr>
            <w:r>
              <w:rPr>
                <w:sz w:val="24"/>
              </w:rPr>
              <w:t>县交通运输局</w:t>
            </w:r>
          </w:p>
        </w:tc>
        <w:tc>
          <w:tcPr>
            <w:tcW w:w="6605" w:type="dxa"/>
          </w:tcPr>
          <w:p>
            <w:pPr>
              <w:pStyle w:val="8"/>
              <w:spacing w:before="101" w:line="235" w:lineRule="auto"/>
              <w:ind w:left="107" w:right="96"/>
              <w:rPr>
                <w:sz w:val="24"/>
              </w:rPr>
            </w:pPr>
            <w:r>
              <w:rPr>
                <w:sz w:val="24"/>
              </w:rPr>
              <w:t>负责协助有关部门对客运站发生的食品安全事故进行调查及</w:t>
            </w:r>
            <w:r>
              <w:rPr>
                <w:spacing w:val="-11"/>
                <w:sz w:val="24"/>
              </w:rPr>
              <w:t>组织应急处理；协助提供食品安全事故应急处置过程中的道路</w:t>
            </w:r>
            <w:r>
              <w:rPr>
                <w:sz w:val="24"/>
              </w:rPr>
              <w:t>交通运力保障。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466" w:type="dxa"/>
          </w:tcPr>
          <w:p>
            <w:pPr>
              <w:pStyle w:val="8"/>
              <w:rPr>
                <w:rFonts w:ascii="Times New Roman"/>
                <w:sz w:val="24"/>
              </w:rPr>
            </w:pPr>
          </w:p>
          <w:p>
            <w:pPr>
              <w:pStyle w:val="8"/>
              <w:rPr>
                <w:rFonts w:ascii="Times New Roman"/>
                <w:sz w:val="24"/>
              </w:rPr>
            </w:pPr>
          </w:p>
          <w:p>
            <w:pPr>
              <w:pStyle w:val="8"/>
              <w:spacing w:before="143"/>
              <w:ind w:left="8"/>
              <w:jc w:val="center"/>
              <w:rPr>
                <w:sz w:val="24"/>
              </w:rPr>
            </w:pPr>
            <w:r>
              <w:rPr>
                <w:sz w:val="24"/>
              </w:rPr>
              <w:t>县农业农村局</w:t>
            </w:r>
          </w:p>
        </w:tc>
        <w:tc>
          <w:tcPr>
            <w:tcW w:w="6605" w:type="dxa"/>
          </w:tcPr>
          <w:p>
            <w:pPr>
              <w:pStyle w:val="8"/>
              <w:spacing w:before="100" w:line="235" w:lineRule="auto"/>
              <w:ind w:left="107" w:right="96"/>
              <w:jc w:val="both"/>
              <w:rPr>
                <w:sz w:val="24"/>
              </w:rPr>
            </w:pPr>
            <w:r>
              <w:rPr>
                <w:sz w:val="24"/>
              </w:rPr>
              <w:t>负责食用农产品（含管辖范围内的食用水产品，不含干果</w:t>
            </w:r>
            <w:r>
              <w:rPr>
                <w:spacing w:val="-120"/>
                <w:sz w:val="24"/>
              </w:rPr>
              <w:t>）</w:t>
            </w:r>
            <w:r>
              <w:rPr>
                <w:sz w:val="24"/>
              </w:rPr>
              <w:t>、</w:t>
            </w:r>
            <w:r>
              <w:rPr>
                <w:spacing w:val="-7"/>
                <w:sz w:val="24"/>
              </w:rPr>
              <w:t>食用畜禽及其产品从种植、养殖等环节到进入批发、零售市场</w:t>
            </w:r>
            <w:r>
              <w:rPr>
                <w:spacing w:val="-5"/>
                <w:sz w:val="24"/>
              </w:rPr>
              <w:t>或者生产加工企业前食品安全事故的具体调查处理，并依法采</w:t>
            </w:r>
            <w:r>
              <w:rPr>
                <w:spacing w:val="-8"/>
                <w:sz w:val="24"/>
              </w:rPr>
              <w:t>取必要的应急处置措施，防止或者减轻社会危害；负责组织开</w:t>
            </w:r>
            <w:r>
              <w:rPr>
                <w:sz w:val="24"/>
              </w:rPr>
              <w:t>展食用农产品相关检测和风险评估，提出相关评估结论。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195"/>
              <w:ind w:left="8"/>
              <w:jc w:val="center"/>
              <w:rPr>
                <w:sz w:val="24"/>
              </w:rPr>
            </w:pPr>
            <w:r>
              <w:rPr>
                <w:sz w:val="24"/>
              </w:rPr>
              <w:t>县商务外事服务中心</w:t>
            </w:r>
          </w:p>
        </w:tc>
        <w:tc>
          <w:tcPr>
            <w:tcW w:w="6605" w:type="dxa"/>
          </w:tcPr>
          <w:p>
            <w:pPr>
              <w:pStyle w:val="8"/>
              <w:spacing w:before="195"/>
              <w:ind w:left="107"/>
              <w:rPr>
                <w:sz w:val="24"/>
              </w:rPr>
            </w:pPr>
            <w:r>
              <w:rPr>
                <w:sz w:val="24"/>
              </w:rPr>
              <w:t>负责发生食品安全事故时所需生活必需品的调配供应。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196"/>
              <w:ind w:left="8"/>
              <w:jc w:val="center"/>
              <w:rPr>
                <w:sz w:val="24"/>
              </w:rPr>
            </w:pPr>
            <w:r>
              <w:rPr>
                <w:sz w:val="24"/>
              </w:rPr>
              <w:t>县文化和旅游局</w:t>
            </w:r>
          </w:p>
        </w:tc>
        <w:tc>
          <w:tcPr>
            <w:tcW w:w="6605" w:type="dxa"/>
          </w:tcPr>
          <w:p>
            <w:pPr>
              <w:pStyle w:val="8"/>
              <w:spacing w:before="50" w:line="235" w:lineRule="auto"/>
              <w:ind w:left="107" w:right="125"/>
              <w:rPr>
                <w:sz w:val="24"/>
              </w:rPr>
            </w:pPr>
            <w:r>
              <w:rPr>
                <w:sz w:val="24"/>
              </w:rPr>
              <w:t>负责协助有关部门对旅游景区（点</w:t>
            </w:r>
            <w:r>
              <w:rPr>
                <w:spacing w:val="-120"/>
                <w:sz w:val="24"/>
              </w:rPr>
              <w:t>）</w:t>
            </w:r>
            <w:r>
              <w:rPr>
                <w:spacing w:val="-2"/>
                <w:sz w:val="24"/>
              </w:rPr>
              <w:t>、旅游星级饭店食品安全</w:t>
            </w:r>
            <w:r>
              <w:rPr>
                <w:sz w:val="24"/>
              </w:rPr>
              <w:t>事故进行应急处理和救援工作。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2466" w:type="dxa"/>
          </w:tcPr>
          <w:p>
            <w:pPr>
              <w:pStyle w:val="8"/>
              <w:rPr>
                <w:rFonts w:ascii="Times New Roman"/>
                <w:sz w:val="24"/>
              </w:rPr>
            </w:pPr>
          </w:p>
          <w:p>
            <w:pPr>
              <w:pStyle w:val="8"/>
              <w:spacing w:before="9"/>
              <w:rPr>
                <w:rFonts w:ascii="Times New Roman"/>
                <w:sz w:val="33"/>
              </w:rPr>
            </w:pPr>
          </w:p>
          <w:p>
            <w:pPr>
              <w:pStyle w:val="8"/>
              <w:ind w:left="8"/>
              <w:jc w:val="center"/>
              <w:rPr>
                <w:sz w:val="24"/>
              </w:rPr>
            </w:pPr>
            <w:r>
              <w:rPr>
                <w:sz w:val="24"/>
              </w:rPr>
              <w:t>县卫生健康局</w:t>
            </w:r>
          </w:p>
        </w:tc>
        <w:tc>
          <w:tcPr>
            <w:tcW w:w="6605" w:type="dxa"/>
          </w:tcPr>
          <w:p>
            <w:pPr>
              <w:pStyle w:val="8"/>
              <w:spacing w:before="70" w:line="235" w:lineRule="auto"/>
              <w:ind w:left="107" w:right="96"/>
              <w:jc w:val="both"/>
              <w:rPr>
                <w:sz w:val="24"/>
              </w:rPr>
            </w:pPr>
            <w:r>
              <w:rPr>
                <w:spacing w:val="-7"/>
                <w:sz w:val="24"/>
              </w:rPr>
              <w:t>负责食品安全事故医疗救援工作，食品安全风险监测，食品安</w:t>
            </w:r>
            <w:r>
              <w:rPr>
                <w:spacing w:val="-8"/>
                <w:sz w:val="24"/>
              </w:rPr>
              <w:t>全事故流行病学调查，协调现场处置；组织开展相关监测，分</w:t>
            </w:r>
            <w:r>
              <w:rPr>
                <w:spacing w:val="-10"/>
                <w:sz w:val="24"/>
              </w:rPr>
              <w:t>析监测数据；提供相关标准解释；组织开展风险评估，提出相</w:t>
            </w:r>
            <w:r>
              <w:rPr>
                <w:spacing w:val="-11"/>
                <w:sz w:val="24"/>
              </w:rPr>
              <w:t>关评估结论；负责食品安全突发事件中的疾病预防控制和公众</w:t>
            </w:r>
            <w:r>
              <w:rPr>
                <w:sz w:val="24"/>
              </w:rPr>
              <w:t>卫生防护等工作。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466" w:type="dxa"/>
          </w:tcPr>
          <w:p>
            <w:pPr>
              <w:pStyle w:val="8"/>
              <w:spacing w:before="195"/>
              <w:ind w:left="8"/>
              <w:jc w:val="center"/>
              <w:rPr>
                <w:sz w:val="24"/>
              </w:rPr>
            </w:pPr>
            <w:r>
              <w:rPr>
                <w:sz w:val="24"/>
              </w:rPr>
              <w:t>县综合行政执法局</w:t>
            </w:r>
          </w:p>
        </w:tc>
        <w:tc>
          <w:tcPr>
            <w:tcW w:w="6605" w:type="dxa"/>
          </w:tcPr>
          <w:p>
            <w:pPr>
              <w:pStyle w:val="8"/>
              <w:spacing w:before="51" w:line="235" w:lineRule="auto"/>
              <w:ind w:left="107" w:right="245"/>
              <w:rPr>
                <w:sz w:val="24"/>
              </w:rPr>
            </w:pPr>
            <w:r>
              <w:rPr>
                <w:sz w:val="24"/>
              </w:rPr>
              <w:t>负责协助涉及占道经营和流动摊贩所引发的食品安全事故的调查处理。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466" w:type="dxa"/>
          </w:tcPr>
          <w:p>
            <w:pPr>
              <w:pStyle w:val="8"/>
              <w:spacing w:before="6"/>
              <w:rPr>
                <w:rFonts w:ascii="Times New Roman"/>
                <w:sz w:val="20"/>
              </w:rPr>
            </w:pPr>
          </w:p>
          <w:p>
            <w:pPr>
              <w:pStyle w:val="8"/>
              <w:tabs>
                <w:tab w:val="left" w:pos="488"/>
              </w:tabs>
              <w:ind w:left="8"/>
              <w:jc w:val="center"/>
              <w:rPr>
                <w:sz w:val="24"/>
              </w:rPr>
            </w:pPr>
            <w:r>
              <w:rPr>
                <w:sz w:val="24"/>
              </w:rPr>
              <w:t>备</w:t>
            </w:r>
            <w:r>
              <w:rPr>
                <w:sz w:val="24"/>
              </w:rPr>
              <w:tab/>
            </w:r>
            <w:r>
              <w:rPr>
                <w:sz w:val="24"/>
              </w:rPr>
              <w:t>注</w:t>
            </w:r>
          </w:p>
        </w:tc>
        <w:tc>
          <w:tcPr>
            <w:tcW w:w="6605" w:type="dxa"/>
          </w:tcPr>
          <w:p>
            <w:pPr>
              <w:pStyle w:val="8"/>
              <w:spacing w:before="92" w:line="235" w:lineRule="auto"/>
              <w:ind w:left="107" w:right="96"/>
              <w:rPr>
                <w:sz w:val="24"/>
              </w:rPr>
            </w:pPr>
            <w:r>
              <w:rPr>
                <w:spacing w:val="-6"/>
                <w:sz w:val="24"/>
              </w:rPr>
              <w:t>各部门按照法定职责实施食品安全事故应急处置，同时有责任</w:t>
            </w:r>
            <w:r>
              <w:rPr>
                <w:sz w:val="24"/>
              </w:rPr>
              <w:t>配合和协助其他部门做好食品安全事故应急处置工作。</w:t>
            </w:r>
          </w:p>
        </w:tc>
      </w:tr>
    </w:tbl>
    <w:p>
      <w:pPr>
        <w:spacing w:after="0" w:line="235" w:lineRule="auto"/>
        <w:rPr>
          <w:sz w:val="24"/>
        </w:rPr>
        <w:sectPr>
          <w:pgSz w:w="11910" w:h="16840"/>
          <w:pgMar w:top="1580" w:right="1300" w:bottom="1320" w:left="1300" w:header="0" w:footer="1122" w:gutter="0"/>
          <w:cols w:space="720" w:num="1"/>
        </w:sectPr>
      </w:pPr>
    </w:p>
    <w:p>
      <w:pPr>
        <w:pStyle w:val="3"/>
        <w:ind w:left="0"/>
        <w:rPr>
          <w:rFonts w:ascii="Times New Roman"/>
          <w:sz w:val="20"/>
        </w:rPr>
      </w:pPr>
    </w:p>
    <w:p>
      <w:pPr>
        <w:pStyle w:val="3"/>
        <w:spacing w:before="1"/>
        <w:ind w:left="0"/>
        <w:rPr>
          <w:rFonts w:ascii="Times New Roman"/>
          <w:sz w:val="19"/>
        </w:rPr>
      </w:pPr>
    </w:p>
    <w:p>
      <w:pPr>
        <w:spacing w:after="0"/>
        <w:rPr>
          <w:rFonts w:ascii="Times New Roman"/>
          <w:sz w:val="19"/>
        </w:rPr>
        <w:sectPr>
          <w:pgSz w:w="11910" w:h="16840"/>
          <w:pgMar w:top="1580" w:right="1300" w:bottom="1320" w:left="1300" w:header="0" w:footer="1122" w:gutter="0"/>
          <w:cols w:space="720" w:num="1"/>
        </w:sectPr>
      </w:pPr>
    </w:p>
    <w:p>
      <w:pPr>
        <w:pStyle w:val="3"/>
        <w:spacing w:before="64"/>
        <w:rPr>
          <w:rFonts w:ascii="Times New Roman" w:eastAsia="Times New Roman"/>
        </w:rPr>
      </w:pPr>
      <w:r>
        <w:rPr>
          <w:rFonts w:hint="eastAsia" w:ascii="黑体" w:eastAsia="黑体"/>
          <w:spacing w:val="-27"/>
        </w:rPr>
        <w:t xml:space="preserve">附件 </w:t>
      </w:r>
      <w:r>
        <w:rPr>
          <w:rFonts w:ascii="Times New Roman" w:eastAsia="Times New Roman"/>
          <w:spacing w:val="-19"/>
        </w:rPr>
        <w:t>2</w:t>
      </w:r>
    </w:p>
    <w:p>
      <w:pPr>
        <w:pStyle w:val="3"/>
        <w:spacing w:before="9"/>
        <w:ind w:left="0"/>
        <w:rPr>
          <w:rFonts w:ascii="Times New Roman"/>
          <w:sz w:val="43"/>
        </w:rPr>
      </w:pPr>
      <w:r>
        <w:br w:type="column"/>
      </w:r>
    </w:p>
    <w:p>
      <w:pPr>
        <w:pStyle w:val="2"/>
        <w:ind w:right="0"/>
        <w:jc w:val="left"/>
      </w:pPr>
      <w:r>
        <w:t>高青县食品安全事故登记/报告表</w:t>
      </w:r>
    </w:p>
    <w:p>
      <w:pPr>
        <w:spacing w:after="0"/>
        <w:jc w:val="left"/>
        <w:sectPr>
          <w:type w:val="continuous"/>
          <w:pgSz w:w="11910" w:h="16840"/>
          <w:pgMar w:top="1580" w:right="1300" w:bottom="1400" w:left="1300" w:header="720" w:footer="720" w:gutter="0"/>
          <w:cols w:equalWidth="0" w:num="2">
            <w:col w:w="1166" w:space="40"/>
            <w:col w:w="8104"/>
          </w:cols>
        </w:sectPr>
      </w:pPr>
    </w:p>
    <w:p>
      <w:pPr>
        <w:pStyle w:val="3"/>
        <w:ind w:left="0"/>
        <w:rPr>
          <w:b/>
          <w:sz w:val="20"/>
        </w:rPr>
      </w:pPr>
    </w:p>
    <w:p>
      <w:pPr>
        <w:pStyle w:val="3"/>
        <w:spacing w:before="11"/>
        <w:ind w:left="0"/>
        <w:rPr>
          <w:b/>
          <w:sz w:val="12"/>
        </w:rPr>
      </w:pPr>
    </w:p>
    <w:tbl>
      <w:tblPr>
        <w:tblStyle w:val="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8"/>
        <w:gridCol w:w="2395"/>
        <w:gridCol w:w="1664"/>
        <w:gridCol w:w="2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198" w:type="dxa"/>
          </w:tcPr>
          <w:p>
            <w:pPr>
              <w:pStyle w:val="8"/>
              <w:spacing w:before="79"/>
              <w:ind w:left="239" w:right="228"/>
              <w:jc w:val="center"/>
              <w:rPr>
                <w:sz w:val="24"/>
              </w:rPr>
            </w:pPr>
            <w:r>
              <w:rPr>
                <w:sz w:val="24"/>
              </w:rPr>
              <w:t>事发时间</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198" w:type="dxa"/>
          </w:tcPr>
          <w:p>
            <w:pPr>
              <w:pStyle w:val="8"/>
              <w:spacing w:before="79"/>
              <w:ind w:left="239" w:right="228"/>
              <w:jc w:val="center"/>
              <w:rPr>
                <w:sz w:val="24"/>
              </w:rPr>
            </w:pPr>
            <w:r>
              <w:rPr>
                <w:sz w:val="24"/>
              </w:rPr>
              <w:t>事发地点</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198" w:type="dxa"/>
          </w:tcPr>
          <w:p>
            <w:pPr>
              <w:pStyle w:val="8"/>
              <w:spacing w:before="78"/>
              <w:ind w:left="239" w:right="228"/>
              <w:jc w:val="center"/>
              <w:rPr>
                <w:sz w:val="24"/>
              </w:rPr>
            </w:pPr>
            <w:r>
              <w:rPr>
                <w:sz w:val="24"/>
              </w:rPr>
              <w:t>事发单位</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198" w:type="dxa"/>
          </w:tcPr>
          <w:p>
            <w:pPr>
              <w:pStyle w:val="8"/>
              <w:spacing w:before="11"/>
              <w:rPr>
                <w:b/>
                <w:sz w:val="17"/>
              </w:rPr>
            </w:pPr>
          </w:p>
          <w:p>
            <w:pPr>
              <w:pStyle w:val="8"/>
              <w:ind w:left="239" w:right="228"/>
              <w:jc w:val="center"/>
              <w:rPr>
                <w:sz w:val="24"/>
              </w:rPr>
            </w:pPr>
            <w:r>
              <w:rPr>
                <w:sz w:val="24"/>
              </w:rPr>
              <w:t>就餐人数</w:t>
            </w:r>
          </w:p>
        </w:tc>
        <w:tc>
          <w:tcPr>
            <w:tcW w:w="2395" w:type="dxa"/>
          </w:tcPr>
          <w:p>
            <w:pPr>
              <w:pStyle w:val="8"/>
              <w:rPr>
                <w:rFonts w:ascii="Times New Roman"/>
                <w:sz w:val="26"/>
              </w:rPr>
            </w:pPr>
          </w:p>
        </w:tc>
        <w:tc>
          <w:tcPr>
            <w:tcW w:w="1664" w:type="dxa"/>
          </w:tcPr>
          <w:p>
            <w:pPr>
              <w:pStyle w:val="8"/>
              <w:spacing w:before="68" w:line="252" w:lineRule="auto"/>
              <w:ind w:left="231" w:right="220"/>
              <w:rPr>
                <w:sz w:val="24"/>
              </w:rPr>
            </w:pPr>
            <w:r>
              <w:rPr>
                <w:sz w:val="24"/>
              </w:rPr>
              <w:t>就诊、排查人数（人）</w:t>
            </w:r>
          </w:p>
        </w:tc>
        <w:tc>
          <w:tcPr>
            <w:tcW w:w="224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198" w:type="dxa"/>
          </w:tcPr>
          <w:p>
            <w:pPr>
              <w:pStyle w:val="8"/>
              <w:spacing w:before="10"/>
              <w:rPr>
                <w:b/>
                <w:sz w:val="17"/>
              </w:rPr>
            </w:pPr>
          </w:p>
          <w:p>
            <w:pPr>
              <w:pStyle w:val="8"/>
              <w:spacing w:before="1"/>
              <w:ind w:left="239" w:right="228"/>
              <w:jc w:val="center"/>
              <w:rPr>
                <w:sz w:val="24"/>
              </w:rPr>
            </w:pPr>
            <w:r>
              <w:rPr>
                <w:sz w:val="24"/>
              </w:rPr>
              <w:t>住院人数（人）</w:t>
            </w:r>
          </w:p>
        </w:tc>
        <w:tc>
          <w:tcPr>
            <w:tcW w:w="2395" w:type="dxa"/>
          </w:tcPr>
          <w:p>
            <w:pPr>
              <w:pStyle w:val="8"/>
              <w:rPr>
                <w:rFonts w:ascii="Times New Roman"/>
                <w:sz w:val="26"/>
              </w:rPr>
            </w:pPr>
          </w:p>
        </w:tc>
        <w:tc>
          <w:tcPr>
            <w:tcW w:w="1664" w:type="dxa"/>
          </w:tcPr>
          <w:p>
            <w:pPr>
              <w:pStyle w:val="8"/>
              <w:spacing w:before="68" w:line="252" w:lineRule="auto"/>
              <w:ind w:left="231" w:right="220"/>
              <w:rPr>
                <w:sz w:val="24"/>
              </w:rPr>
            </w:pPr>
            <w:r>
              <w:rPr>
                <w:sz w:val="24"/>
              </w:rPr>
              <w:t>病重、死亡人数（人）</w:t>
            </w:r>
          </w:p>
        </w:tc>
        <w:tc>
          <w:tcPr>
            <w:tcW w:w="224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2198" w:type="dxa"/>
          </w:tcPr>
          <w:p>
            <w:pPr>
              <w:pStyle w:val="8"/>
              <w:spacing w:before="154"/>
              <w:ind w:left="239" w:right="228"/>
              <w:jc w:val="center"/>
              <w:rPr>
                <w:sz w:val="24"/>
              </w:rPr>
            </w:pPr>
            <w:r>
              <w:rPr>
                <w:sz w:val="24"/>
              </w:rPr>
              <w:t>救治单位</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2198" w:type="dxa"/>
          </w:tcPr>
          <w:p>
            <w:pPr>
              <w:pStyle w:val="8"/>
              <w:rPr>
                <w:b/>
                <w:sz w:val="24"/>
              </w:rPr>
            </w:pPr>
          </w:p>
          <w:p>
            <w:pPr>
              <w:pStyle w:val="8"/>
              <w:spacing w:before="5"/>
              <w:rPr>
                <w:b/>
                <w:sz w:val="33"/>
              </w:rPr>
            </w:pPr>
          </w:p>
          <w:p>
            <w:pPr>
              <w:pStyle w:val="8"/>
              <w:spacing w:line="249" w:lineRule="auto"/>
              <w:ind w:left="619" w:right="606"/>
              <w:rPr>
                <w:sz w:val="24"/>
              </w:rPr>
            </w:pPr>
            <w:r>
              <w:rPr>
                <w:sz w:val="24"/>
              </w:rPr>
              <w:t>事故经过简要描述</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2198" w:type="dxa"/>
          </w:tcPr>
          <w:p>
            <w:pPr>
              <w:pStyle w:val="8"/>
              <w:rPr>
                <w:b/>
                <w:sz w:val="24"/>
              </w:rPr>
            </w:pPr>
          </w:p>
          <w:p>
            <w:pPr>
              <w:pStyle w:val="8"/>
              <w:spacing w:before="11"/>
              <w:rPr>
                <w:b/>
                <w:sz w:val="24"/>
              </w:rPr>
            </w:pPr>
          </w:p>
          <w:p>
            <w:pPr>
              <w:pStyle w:val="8"/>
              <w:ind w:left="239" w:right="228"/>
              <w:jc w:val="center"/>
              <w:rPr>
                <w:sz w:val="24"/>
              </w:rPr>
            </w:pPr>
            <w:r>
              <w:rPr>
                <w:sz w:val="24"/>
              </w:rPr>
              <w:t>初步调查结果</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2198" w:type="dxa"/>
          </w:tcPr>
          <w:p>
            <w:pPr>
              <w:pStyle w:val="8"/>
              <w:rPr>
                <w:b/>
                <w:sz w:val="24"/>
              </w:rPr>
            </w:pPr>
          </w:p>
          <w:p>
            <w:pPr>
              <w:pStyle w:val="8"/>
              <w:spacing w:before="156"/>
              <w:ind w:left="239" w:right="228"/>
              <w:jc w:val="center"/>
              <w:rPr>
                <w:sz w:val="24"/>
              </w:rPr>
            </w:pPr>
            <w:r>
              <w:rPr>
                <w:sz w:val="24"/>
              </w:rPr>
              <w:t>目前采取措施</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2198" w:type="dxa"/>
          </w:tcPr>
          <w:p>
            <w:pPr>
              <w:pStyle w:val="8"/>
              <w:spacing w:before="12"/>
              <w:rPr>
                <w:b/>
                <w:sz w:val="17"/>
              </w:rPr>
            </w:pPr>
          </w:p>
          <w:p>
            <w:pPr>
              <w:pStyle w:val="8"/>
              <w:spacing w:line="249" w:lineRule="auto"/>
              <w:ind w:left="619" w:right="606"/>
              <w:rPr>
                <w:sz w:val="24"/>
              </w:rPr>
            </w:pPr>
            <w:r>
              <w:rPr>
                <w:sz w:val="24"/>
              </w:rPr>
              <w:t>事故发展态势预测</w:t>
            </w:r>
          </w:p>
        </w:tc>
        <w:tc>
          <w:tcPr>
            <w:tcW w:w="6306"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198" w:type="dxa"/>
          </w:tcPr>
          <w:p>
            <w:pPr>
              <w:pStyle w:val="8"/>
              <w:spacing w:before="177"/>
              <w:ind w:left="239" w:right="228"/>
              <w:jc w:val="center"/>
              <w:rPr>
                <w:sz w:val="24"/>
              </w:rPr>
            </w:pPr>
            <w:r>
              <w:rPr>
                <w:sz w:val="24"/>
              </w:rPr>
              <w:t>报告单位</w:t>
            </w:r>
          </w:p>
        </w:tc>
        <w:tc>
          <w:tcPr>
            <w:tcW w:w="2395" w:type="dxa"/>
          </w:tcPr>
          <w:p>
            <w:pPr>
              <w:pStyle w:val="8"/>
              <w:rPr>
                <w:rFonts w:ascii="Times New Roman"/>
                <w:sz w:val="26"/>
              </w:rPr>
            </w:pPr>
          </w:p>
        </w:tc>
        <w:tc>
          <w:tcPr>
            <w:tcW w:w="1664" w:type="dxa"/>
          </w:tcPr>
          <w:p>
            <w:pPr>
              <w:pStyle w:val="8"/>
              <w:spacing w:before="177"/>
              <w:ind w:left="331" w:right="323"/>
              <w:jc w:val="center"/>
              <w:rPr>
                <w:sz w:val="24"/>
              </w:rPr>
            </w:pPr>
            <w:r>
              <w:rPr>
                <w:sz w:val="24"/>
              </w:rPr>
              <w:t>报告时间</w:t>
            </w:r>
          </w:p>
        </w:tc>
        <w:tc>
          <w:tcPr>
            <w:tcW w:w="2247"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198" w:type="dxa"/>
          </w:tcPr>
          <w:p>
            <w:pPr>
              <w:pStyle w:val="8"/>
              <w:spacing w:before="178"/>
              <w:ind w:left="239" w:right="228"/>
              <w:jc w:val="center"/>
              <w:rPr>
                <w:sz w:val="24"/>
              </w:rPr>
            </w:pPr>
            <w:r>
              <w:rPr>
                <w:sz w:val="24"/>
              </w:rPr>
              <w:t>报告人</w:t>
            </w:r>
          </w:p>
        </w:tc>
        <w:tc>
          <w:tcPr>
            <w:tcW w:w="2395" w:type="dxa"/>
          </w:tcPr>
          <w:p>
            <w:pPr>
              <w:pStyle w:val="8"/>
              <w:rPr>
                <w:rFonts w:ascii="Times New Roman"/>
                <w:sz w:val="26"/>
              </w:rPr>
            </w:pPr>
          </w:p>
        </w:tc>
        <w:tc>
          <w:tcPr>
            <w:tcW w:w="1664" w:type="dxa"/>
          </w:tcPr>
          <w:p>
            <w:pPr>
              <w:pStyle w:val="8"/>
              <w:spacing w:before="178"/>
              <w:ind w:left="331" w:right="323"/>
              <w:jc w:val="center"/>
              <w:rPr>
                <w:sz w:val="24"/>
              </w:rPr>
            </w:pPr>
            <w:r>
              <w:rPr>
                <w:sz w:val="24"/>
              </w:rPr>
              <w:t>联系电话</w:t>
            </w:r>
          </w:p>
        </w:tc>
        <w:tc>
          <w:tcPr>
            <w:tcW w:w="2247" w:type="dxa"/>
          </w:tcPr>
          <w:p>
            <w:pPr>
              <w:pStyle w:val="8"/>
              <w:rPr>
                <w:rFonts w:ascii="Times New Roman"/>
                <w:sz w:val="26"/>
              </w:rPr>
            </w:pPr>
          </w:p>
        </w:tc>
      </w:tr>
    </w:tbl>
    <w:p/>
    <w:sectPr>
      <w:type w:val="continuous"/>
      <w:pgSz w:w="11910" w:h="16840"/>
      <w:pgMar w:top="1580" w:right="1300" w:bottom="140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3639820</wp:posOffset>
              </wp:positionH>
              <wp:positionV relativeFrom="page">
                <wp:posOffset>9788525</wp:posOffset>
              </wp:positionV>
              <wp:extent cx="2794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9400" cy="177800"/>
                      </a:xfrm>
                      <a:prstGeom prst="rect">
                        <a:avLst/>
                      </a:prstGeom>
                      <a:noFill/>
                      <a:ln>
                        <a:noFill/>
                      </a:ln>
                    </wps:spPr>
                    <wps:txbx>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368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6.6pt;margin-top:770.75pt;height:14pt;width:22pt;mso-position-horizontal-relative:page;mso-position-vertical-relative:page;z-index:-251657216;mso-width-relative:page;mso-height-relative:page;" filled="f" stroked="f" coordsize="21600,21600" o:gfxdata="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8PBqdsAAAANAQAADwAAAAAAAAABACAAAAAiAAAAZHJzL2Rvd25yZXYueG1sUEsB&#10;AhQAFAAAAAgAh07iQJKYtne5AQAAcQMAAA4AAAAAAAAAAQAgAAAAKgEAAGRycy9lMm9Eb2MueG1s&#10;UEsFBgAAAAAGAAYAWQEAAFUFAAAAAA==&#10;">
              <v:fill on="f" focussize="0,0"/>
              <v:stroke on="f"/>
              <v:imagedata o:title=""/>
              <o:lock v:ext="edit" aspectratio="f"/>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3639820</wp:posOffset>
              </wp:positionH>
              <wp:positionV relativeFrom="page">
                <wp:posOffset>9788525</wp:posOffset>
              </wp:positionV>
              <wp:extent cx="279400" cy="177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9400" cy="177800"/>
                      </a:xfrm>
                      <a:prstGeom prst="rect">
                        <a:avLst/>
                      </a:prstGeom>
                      <a:noFill/>
                      <a:ln>
                        <a:noFill/>
                      </a:ln>
                    </wps:spPr>
                    <wps:txbx>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370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6.6pt;margin-top:770.75pt;height:14pt;width:22pt;mso-position-horizontal-relative:page;mso-position-vertical-relative:page;z-index:-251656192;mso-width-relative:page;mso-height-relative:page;" filled="f" stroked="f" coordsize="21600,21600" o:gfxdata="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w8Gp2wAAAA0BAAAPAAAAAAAAAAEAIAAAACIAAABkcnMvZG93bnJldi54bWxQSwEC&#10;FAAUAAAACACHTuJAzIy9SbgBAABxAwAADgAAAAAAAAABACAAAAAqAQAAZHJzL2Uyb0RvYy54bWxQ&#10;SwUGAAAAAAYABgBZAQAAVAUAAAAA&#10;">
              <v:fill on="f" focussize="0,0"/>
              <v:stroke on="f"/>
              <v:imagedata o:title=""/>
              <o:lock v:ext="edit" aspectratio="f"/>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6"/>
      </w:rPr>
    </w:pPr>
    <w:r>
      <mc:AlternateContent>
        <mc:Choice Requires="wps">
          <w:drawing>
            <wp:anchor distT="0" distB="0" distL="114300" distR="114300" simplePos="0" relativeHeight="251661312" behindDoc="1" locked="0" layoutInCell="1" allowOverlap="1">
              <wp:simplePos x="0" y="0"/>
              <wp:positionH relativeFrom="page">
                <wp:posOffset>3639820</wp:posOffset>
              </wp:positionH>
              <wp:positionV relativeFrom="page">
                <wp:posOffset>9788525</wp:posOffset>
              </wp:positionV>
              <wp:extent cx="279400" cy="177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9400" cy="177800"/>
                      </a:xfrm>
                      <a:prstGeom prst="rect">
                        <a:avLst/>
                      </a:prstGeom>
                      <a:noFill/>
                      <a:ln>
                        <a:noFill/>
                      </a:ln>
                    </wps:spPr>
                    <wps:txbx>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388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6.6pt;margin-top:770.75pt;height:14pt;width:22pt;mso-position-horizontal-relative:page;mso-position-vertical-relative:page;z-index:-251655168;mso-width-relative:page;mso-height-relative:page;" filled="f" stroked="f" coordsize="21600,21600" o:gfxdata="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8PBqdsAAAANAQAADwAAAAAAAAABACAAAAAiAAAAZHJzL2Rvd25yZXYueG1sUEsB&#10;AhQAFAAAAAgAh07iQDl9lOq5AQAAcQMAAA4AAAAAAAAAAQAgAAAAKgEAAGRycy9lMm9Eb2MueG1s&#10;UEsFBgAAAAAGAAYAWQEAAFUFAAAAAA==&#10;">
              <v:fill on="f" focussize="0,0"/>
              <v:stroke on="f"/>
              <v:imagedata o:title=""/>
              <o:lock v:ext="edit" aspectratio="f"/>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388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86" w:hanging="800"/>
        <w:jc w:val="left"/>
      </w:pPr>
      <w:rPr>
        <w:rFonts w:hint="default" w:ascii="宋体" w:hAnsi="宋体" w:eastAsia="宋体" w:cs="宋体"/>
        <w:spacing w:val="-67"/>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286" w:hanging="800"/>
        <w:jc w:val="left"/>
      </w:pPr>
      <w:rPr>
        <w:rFonts w:hint="default" w:ascii="宋体" w:hAnsi="宋体" w:eastAsia="宋体" w:cs="宋体"/>
        <w:spacing w:val="-34"/>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286" w:hanging="800"/>
        <w:jc w:val="left"/>
      </w:pPr>
      <w:rPr>
        <w:rFonts w:hint="default" w:ascii="宋体" w:hAnsi="宋体" w:eastAsia="宋体" w:cs="宋体"/>
        <w:spacing w:val="-34"/>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3">
    <w:nsid w:val="C8879AEF"/>
    <w:multiLevelType w:val="multilevel"/>
    <w:tmpl w:val="C8879AEF"/>
    <w:lvl w:ilvl="0" w:tentative="0">
      <w:start w:val="5"/>
      <w:numFmt w:val="decimal"/>
      <w:lvlText w:val="%1"/>
      <w:lvlJc w:val="left"/>
      <w:pPr>
        <w:ind w:left="1486" w:hanging="560"/>
        <w:jc w:val="left"/>
      </w:pPr>
      <w:rPr>
        <w:rFonts w:hint="default"/>
        <w:lang w:val="zh-CN" w:eastAsia="zh-CN" w:bidi="zh-CN"/>
      </w:rPr>
    </w:lvl>
    <w:lvl w:ilvl="1" w:tentative="0">
      <w:start w:val="4"/>
      <w:numFmt w:val="decimal"/>
      <w:lvlText w:val="%1.%2"/>
      <w:lvlJc w:val="left"/>
      <w:pPr>
        <w:ind w:left="1486" w:hanging="560"/>
        <w:jc w:val="left"/>
      </w:pPr>
      <w:rPr>
        <w:rFonts w:hint="default" w:ascii="Times New Roman" w:hAnsi="Times New Roman" w:eastAsia="Times New Roman" w:cs="Times New Roman"/>
        <w:spacing w:val="-1"/>
        <w:w w:val="99"/>
        <w:sz w:val="32"/>
        <w:szCs w:val="32"/>
        <w:lang w:val="zh-CN" w:eastAsia="zh-CN" w:bidi="zh-CN"/>
      </w:rPr>
    </w:lvl>
    <w:lvl w:ilvl="2" w:tentative="0">
      <w:start w:val="1"/>
      <w:numFmt w:val="decimal"/>
      <w:lvlText w:val="%1.%2.%3"/>
      <w:lvlJc w:val="left"/>
      <w:pPr>
        <w:ind w:left="1726" w:hanging="800"/>
        <w:jc w:val="left"/>
      </w:pPr>
      <w:rPr>
        <w:rFonts w:hint="default" w:ascii="Times New Roman" w:hAnsi="Times New Roman" w:eastAsia="Times New Roman" w:cs="Times New Roman"/>
        <w:spacing w:val="-1"/>
        <w:w w:val="99"/>
        <w:sz w:val="32"/>
        <w:szCs w:val="32"/>
        <w:lang w:val="zh-CN" w:eastAsia="zh-CN" w:bidi="zh-CN"/>
      </w:rPr>
    </w:lvl>
    <w:lvl w:ilvl="3" w:tentative="0">
      <w:start w:val="0"/>
      <w:numFmt w:val="bullet"/>
      <w:lvlText w:val="•"/>
      <w:lvlJc w:val="left"/>
      <w:pPr>
        <w:ind w:left="3405" w:hanging="800"/>
      </w:pPr>
      <w:rPr>
        <w:rFonts w:hint="default"/>
        <w:lang w:val="zh-CN" w:eastAsia="zh-CN" w:bidi="zh-CN"/>
      </w:rPr>
    </w:lvl>
    <w:lvl w:ilvl="4" w:tentative="0">
      <w:start w:val="0"/>
      <w:numFmt w:val="bullet"/>
      <w:lvlText w:val="•"/>
      <w:lvlJc w:val="left"/>
      <w:pPr>
        <w:ind w:left="4248" w:hanging="800"/>
      </w:pPr>
      <w:rPr>
        <w:rFonts w:hint="default"/>
        <w:lang w:val="zh-CN" w:eastAsia="zh-CN" w:bidi="zh-CN"/>
      </w:rPr>
    </w:lvl>
    <w:lvl w:ilvl="5" w:tentative="0">
      <w:start w:val="0"/>
      <w:numFmt w:val="bullet"/>
      <w:lvlText w:val="•"/>
      <w:lvlJc w:val="left"/>
      <w:pPr>
        <w:ind w:left="5091" w:hanging="800"/>
      </w:pPr>
      <w:rPr>
        <w:rFonts w:hint="default"/>
        <w:lang w:val="zh-CN" w:eastAsia="zh-CN" w:bidi="zh-CN"/>
      </w:rPr>
    </w:lvl>
    <w:lvl w:ilvl="6" w:tentative="0">
      <w:start w:val="0"/>
      <w:numFmt w:val="bullet"/>
      <w:lvlText w:val="•"/>
      <w:lvlJc w:val="left"/>
      <w:pPr>
        <w:ind w:left="5934" w:hanging="800"/>
      </w:pPr>
      <w:rPr>
        <w:rFonts w:hint="default"/>
        <w:lang w:val="zh-CN" w:eastAsia="zh-CN" w:bidi="zh-CN"/>
      </w:rPr>
    </w:lvl>
    <w:lvl w:ilvl="7" w:tentative="0">
      <w:start w:val="0"/>
      <w:numFmt w:val="bullet"/>
      <w:lvlText w:val="•"/>
      <w:lvlJc w:val="left"/>
      <w:pPr>
        <w:ind w:left="6777" w:hanging="800"/>
      </w:pPr>
      <w:rPr>
        <w:rFonts w:hint="default"/>
        <w:lang w:val="zh-CN" w:eastAsia="zh-CN" w:bidi="zh-CN"/>
      </w:rPr>
    </w:lvl>
    <w:lvl w:ilvl="8" w:tentative="0">
      <w:start w:val="0"/>
      <w:numFmt w:val="bullet"/>
      <w:lvlText w:val="•"/>
      <w:lvlJc w:val="left"/>
      <w:pPr>
        <w:ind w:left="7620" w:hanging="800"/>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286" w:hanging="800"/>
        <w:jc w:val="left"/>
      </w:pPr>
      <w:rPr>
        <w:rFonts w:hint="default" w:ascii="宋体" w:hAnsi="宋体" w:eastAsia="宋体" w:cs="宋体"/>
        <w:spacing w:val="-22"/>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1246" w:hanging="320"/>
        <w:jc w:val="left"/>
      </w:pPr>
      <w:rPr>
        <w:rFonts w:hint="default" w:ascii="Times New Roman" w:hAnsi="Times New Roman" w:eastAsia="Times New Roman" w:cs="Times New Roman"/>
        <w:w w:val="99"/>
        <w:sz w:val="32"/>
        <w:szCs w:val="32"/>
        <w:lang w:val="zh-CN" w:eastAsia="zh-CN" w:bidi="zh-CN"/>
      </w:rPr>
    </w:lvl>
    <w:lvl w:ilvl="1" w:tentative="0">
      <w:start w:val="1"/>
      <w:numFmt w:val="decimal"/>
      <w:lvlText w:val="%1.%2"/>
      <w:lvlJc w:val="left"/>
      <w:pPr>
        <w:ind w:left="1486" w:hanging="560"/>
        <w:jc w:val="left"/>
      </w:pPr>
      <w:rPr>
        <w:rFonts w:hint="default" w:ascii="Times New Roman" w:hAnsi="Times New Roman" w:eastAsia="Times New Roman" w:cs="Times New Roman"/>
        <w:spacing w:val="-1"/>
        <w:w w:val="99"/>
        <w:sz w:val="32"/>
        <w:szCs w:val="32"/>
        <w:lang w:val="zh-CN" w:eastAsia="zh-CN" w:bidi="zh-CN"/>
      </w:rPr>
    </w:lvl>
    <w:lvl w:ilvl="2" w:tentative="0">
      <w:start w:val="0"/>
      <w:numFmt w:val="bullet"/>
      <w:lvlText w:val="•"/>
      <w:lvlJc w:val="left"/>
      <w:pPr>
        <w:ind w:left="2349" w:hanging="560"/>
      </w:pPr>
      <w:rPr>
        <w:rFonts w:hint="default"/>
        <w:lang w:val="zh-CN" w:eastAsia="zh-CN" w:bidi="zh-CN"/>
      </w:rPr>
    </w:lvl>
    <w:lvl w:ilvl="3" w:tentative="0">
      <w:start w:val="0"/>
      <w:numFmt w:val="bullet"/>
      <w:lvlText w:val="•"/>
      <w:lvlJc w:val="left"/>
      <w:pPr>
        <w:ind w:left="3219" w:hanging="560"/>
      </w:pPr>
      <w:rPr>
        <w:rFonts w:hint="default"/>
        <w:lang w:val="zh-CN" w:eastAsia="zh-CN" w:bidi="zh-CN"/>
      </w:rPr>
    </w:lvl>
    <w:lvl w:ilvl="4" w:tentative="0">
      <w:start w:val="0"/>
      <w:numFmt w:val="bullet"/>
      <w:lvlText w:val="•"/>
      <w:lvlJc w:val="left"/>
      <w:pPr>
        <w:ind w:left="4088" w:hanging="560"/>
      </w:pPr>
      <w:rPr>
        <w:rFonts w:hint="default"/>
        <w:lang w:val="zh-CN" w:eastAsia="zh-CN" w:bidi="zh-CN"/>
      </w:rPr>
    </w:lvl>
    <w:lvl w:ilvl="5" w:tentative="0">
      <w:start w:val="0"/>
      <w:numFmt w:val="bullet"/>
      <w:lvlText w:val="•"/>
      <w:lvlJc w:val="left"/>
      <w:pPr>
        <w:ind w:left="4958" w:hanging="560"/>
      </w:pPr>
      <w:rPr>
        <w:rFonts w:hint="default"/>
        <w:lang w:val="zh-CN" w:eastAsia="zh-CN" w:bidi="zh-CN"/>
      </w:rPr>
    </w:lvl>
    <w:lvl w:ilvl="6" w:tentative="0">
      <w:start w:val="0"/>
      <w:numFmt w:val="bullet"/>
      <w:lvlText w:val="•"/>
      <w:lvlJc w:val="left"/>
      <w:pPr>
        <w:ind w:left="5827" w:hanging="560"/>
      </w:pPr>
      <w:rPr>
        <w:rFonts w:hint="default"/>
        <w:lang w:val="zh-CN" w:eastAsia="zh-CN" w:bidi="zh-CN"/>
      </w:rPr>
    </w:lvl>
    <w:lvl w:ilvl="7" w:tentative="0">
      <w:start w:val="0"/>
      <w:numFmt w:val="bullet"/>
      <w:lvlText w:val="•"/>
      <w:lvlJc w:val="left"/>
      <w:pPr>
        <w:ind w:left="6697" w:hanging="560"/>
      </w:pPr>
      <w:rPr>
        <w:rFonts w:hint="default"/>
        <w:lang w:val="zh-CN" w:eastAsia="zh-CN" w:bidi="zh-CN"/>
      </w:rPr>
    </w:lvl>
    <w:lvl w:ilvl="8" w:tentative="0">
      <w:start w:val="0"/>
      <w:numFmt w:val="bullet"/>
      <w:lvlText w:val="•"/>
      <w:lvlJc w:val="left"/>
      <w:pPr>
        <w:ind w:left="7566" w:hanging="560"/>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286" w:hanging="800"/>
        <w:jc w:val="left"/>
      </w:pPr>
      <w:rPr>
        <w:rFonts w:hint="default" w:ascii="宋体" w:hAnsi="宋体" w:eastAsia="宋体" w:cs="宋体"/>
        <w:spacing w:val="-67"/>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7">
    <w:nsid w:val="25B654F3"/>
    <w:multiLevelType w:val="multilevel"/>
    <w:tmpl w:val="25B654F3"/>
    <w:lvl w:ilvl="0" w:tentative="0">
      <w:start w:val="3"/>
      <w:numFmt w:val="decimal"/>
      <w:lvlText w:val="%1"/>
      <w:lvlJc w:val="left"/>
      <w:pPr>
        <w:ind w:left="1246" w:hanging="320"/>
        <w:jc w:val="left"/>
      </w:pPr>
      <w:rPr>
        <w:rFonts w:hint="default" w:ascii="Times New Roman" w:hAnsi="Times New Roman" w:eastAsia="Times New Roman" w:cs="Times New Roman"/>
        <w:w w:val="99"/>
        <w:sz w:val="32"/>
        <w:szCs w:val="32"/>
        <w:lang w:val="zh-CN" w:eastAsia="zh-CN" w:bidi="zh-CN"/>
      </w:rPr>
    </w:lvl>
    <w:lvl w:ilvl="1" w:tentative="0">
      <w:start w:val="1"/>
      <w:numFmt w:val="decimal"/>
      <w:lvlText w:val="%1.%2"/>
      <w:lvlJc w:val="left"/>
      <w:pPr>
        <w:ind w:left="1486" w:hanging="560"/>
        <w:jc w:val="left"/>
      </w:pPr>
      <w:rPr>
        <w:rFonts w:hint="default" w:ascii="Times New Roman" w:hAnsi="Times New Roman" w:eastAsia="Times New Roman" w:cs="Times New Roman"/>
        <w:spacing w:val="-1"/>
        <w:w w:val="99"/>
        <w:sz w:val="32"/>
        <w:szCs w:val="32"/>
        <w:lang w:val="zh-CN" w:eastAsia="zh-CN" w:bidi="zh-CN"/>
      </w:rPr>
    </w:lvl>
    <w:lvl w:ilvl="2" w:tentative="0">
      <w:start w:val="1"/>
      <w:numFmt w:val="decimal"/>
      <w:lvlText w:val="%1.%2.%3"/>
      <w:lvlJc w:val="left"/>
      <w:pPr>
        <w:ind w:left="1726" w:hanging="800"/>
        <w:jc w:val="left"/>
      </w:pPr>
      <w:rPr>
        <w:rFonts w:hint="default" w:ascii="Times New Roman" w:hAnsi="Times New Roman" w:eastAsia="Times New Roman" w:cs="Times New Roman"/>
        <w:spacing w:val="-1"/>
        <w:w w:val="99"/>
        <w:sz w:val="32"/>
        <w:szCs w:val="32"/>
        <w:lang w:val="zh-CN" w:eastAsia="zh-CN" w:bidi="zh-CN"/>
      </w:rPr>
    </w:lvl>
    <w:lvl w:ilvl="3" w:tentative="0">
      <w:start w:val="0"/>
      <w:numFmt w:val="bullet"/>
      <w:lvlText w:val="•"/>
      <w:lvlJc w:val="left"/>
      <w:pPr>
        <w:ind w:left="1720" w:hanging="800"/>
      </w:pPr>
      <w:rPr>
        <w:rFonts w:hint="default"/>
        <w:lang w:val="zh-CN" w:eastAsia="zh-CN" w:bidi="zh-CN"/>
      </w:rPr>
    </w:lvl>
    <w:lvl w:ilvl="4" w:tentative="0">
      <w:start w:val="0"/>
      <w:numFmt w:val="bullet"/>
      <w:lvlText w:val="•"/>
      <w:lvlJc w:val="left"/>
      <w:pPr>
        <w:ind w:left="2803" w:hanging="800"/>
      </w:pPr>
      <w:rPr>
        <w:rFonts w:hint="default"/>
        <w:lang w:val="zh-CN" w:eastAsia="zh-CN" w:bidi="zh-CN"/>
      </w:rPr>
    </w:lvl>
    <w:lvl w:ilvl="5" w:tentative="0">
      <w:start w:val="0"/>
      <w:numFmt w:val="bullet"/>
      <w:lvlText w:val="•"/>
      <w:lvlJc w:val="left"/>
      <w:pPr>
        <w:ind w:left="3887" w:hanging="800"/>
      </w:pPr>
      <w:rPr>
        <w:rFonts w:hint="default"/>
        <w:lang w:val="zh-CN" w:eastAsia="zh-CN" w:bidi="zh-CN"/>
      </w:rPr>
    </w:lvl>
    <w:lvl w:ilvl="6" w:tentative="0">
      <w:start w:val="0"/>
      <w:numFmt w:val="bullet"/>
      <w:lvlText w:val="•"/>
      <w:lvlJc w:val="left"/>
      <w:pPr>
        <w:ind w:left="4971" w:hanging="800"/>
      </w:pPr>
      <w:rPr>
        <w:rFonts w:hint="default"/>
        <w:lang w:val="zh-CN" w:eastAsia="zh-CN" w:bidi="zh-CN"/>
      </w:rPr>
    </w:lvl>
    <w:lvl w:ilvl="7" w:tentative="0">
      <w:start w:val="0"/>
      <w:numFmt w:val="bullet"/>
      <w:lvlText w:val="•"/>
      <w:lvlJc w:val="left"/>
      <w:pPr>
        <w:ind w:left="6054" w:hanging="800"/>
      </w:pPr>
      <w:rPr>
        <w:rFonts w:hint="default"/>
        <w:lang w:val="zh-CN" w:eastAsia="zh-CN" w:bidi="zh-CN"/>
      </w:rPr>
    </w:lvl>
    <w:lvl w:ilvl="8" w:tentative="0">
      <w:start w:val="0"/>
      <w:numFmt w:val="bullet"/>
      <w:lvlText w:val="•"/>
      <w:lvlJc w:val="left"/>
      <w:pPr>
        <w:ind w:left="7138" w:hanging="800"/>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286" w:hanging="800"/>
        <w:jc w:val="left"/>
      </w:pPr>
      <w:rPr>
        <w:rFonts w:hint="default" w:ascii="宋体" w:hAnsi="宋体" w:eastAsia="宋体" w:cs="宋体"/>
        <w:spacing w:val="-34"/>
        <w:w w:val="99"/>
        <w:sz w:val="30"/>
        <w:szCs w:val="30"/>
        <w:lang w:val="zh-CN" w:eastAsia="zh-CN" w:bidi="zh-CN"/>
      </w:rPr>
    </w:lvl>
    <w:lvl w:ilvl="1" w:tentative="0">
      <w:start w:val="0"/>
      <w:numFmt w:val="bullet"/>
      <w:lvlText w:val="•"/>
      <w:lvlJc w:val="left"/>
      <w:pPr>
        <w:ind w:left="1182" w:hanging="800"/>
      </w:pPr>
      <w:rPr>
        <w:rFonts w:hint="default"/>
        <w:lang w:val="zh-CN" w:eastAsia="zh-CN" w:bidi="zh-CN"/>
      </w:rPr>
    </w:lvl>
    <w:lvl w:ilvl="2" w:tentative="0">
      <w:start w:val="0"/>
      <w:numFmt w:val="bullet"/>
      <w:lvlText w:val="•"/>
      <w:lvlJc w:val="left"/>
      <w:pPr>
        <w:ind w:left="2085" w:hanging="800"/>
      </w:pPr>
      <w:rPr>
        <w:rFonts w:hint="default"/>
        <w:lang w:val="zh-CN" w:eastAsia="zh-CN" w:bidi="zh-CN"/>
      </w:rPr>
    </w:lvl>
    <w:lvl w:ilvl="3" w:tentative="0">
      <w:start w:val="0"/>
      <w:numFmt w:val="bullet"/>
      <w:lvlText w:val="•"/>
      <w:lvlJc w:val="left"/>
      <w:pPr>
        <w:ind w:left="2987" w:hanging="800"/>
      </w:pPr>
      <w:rPr>
        <w:rFonts w:hint="default"/>
        <w:lang w:val="zh-CN" w:eastAsia="zh-CN" w:bidi="zh-CN"/>
      </w:rPr>
    </w:lvl>
    <w:lvl w:ilvl="4" w:tentative="0">
      <w:start w:val="0"/>
      <w:numFmt w:val="bullet"/>
      <w:lvlText w:val="•"/>
      <w:lvlJc w:val="left"/>
      <w:pPr>
        <w:ind w:left="3890" w:hanging="800"/>
      </w:pPr>
      <w:rPr>
        <w:rFonts w:hint="default"/>
        <w:lang w:val="zh-CN" w:eastAsia="zh-CN" w:bidi="zh-CN"/>
      </w:rPr>
    </w:lvl>
    <w:lvl w:ilvl="5" w:tentative="0">
      <w:start w:val="0"/>
      <w:numFmt w:val="bullet"/>
      <w:lvlText w:val="•"/>
      <w:lvlJc w:val="left"/>
      <w:pPr>
        <w:ind w:left="4793" w:hanging="800"/>
      </w:pPr>
      <w:rPr>
        <w:rFonts w:hint="default"/>
        <w:lang w:val="zh-CN" w:eastAsia="zh-CN" w:bidi="zh-CN"/>
      </w:rPr>
    </w:lvl>
    <w:lvl w:ilvl="6" w:tentative="0">
      <w:start w:val="0"/>
      <w:numFmt w:val="bullet"/>
      <w:lvlText w:val="•"/>
      <w:lvlJc w:val="left"/>
      <w:pPr>
        <w:ind w:left="5695" w:hanging="800"/>
      </w:pPr>
      <w:rPr>
        <w:rFonts w:hint="default"/>
        <w:lang w:val="zh-CN" w:eastAsia="zh-CN" w:bidi="zh-CN"/>
      </w:rPr>
    </w:lvl>
    <w:lvl w:ilvl="7" w:tentative="0">
      <w:start w:val="0"/>
      <w:numFmt w:val="bullet"/>
      <w:lvlText w:val="•"/>
      <w:lvlJc w:val="left"/>
      <w:pPr>
        <w:ind w:left="6598" w:hanging="800"/>
      </w:pPr>
      <w:rPr>
        <w:rFonts w:hint="default"/>
        <w:lang w:val="zh-CN" w:eastAsia="zh-CN" w:bidi="zh-CN"/>
      </w:rPr>
    </w:lvl>
    <w:lvl w:ilvl="8" w:tentative="0">
      <w:start w:val="0"/>
      <w:numFmt w:val="bullet"/>
      <w:lvlText w:val="•"/>
      <w:lvlJc w:val="left"/>
      <w:pPr>
        <w:ind w:left="7500" w:hanging="800"/>
      </w:pPr>
      <w:rPr>
        <w:rFonts w:hint="default"/>
        <w:lang w:val="zh-CN" w:eastAsia="zh-CN" w:bidi="zh-CN"/>
      </w:rPr>
    </w:lvl>
  </w:abstractNum>
  <w:abstractNum w:abstractNumId="9">
    <w:nsid w:val="4D4DC07F"/>
    <w:multiLevelType w:val="multilevel"/>
    <w:tmpl w:val="4D4DC07F"/>
    <w:lvl w:ilvl="0" w:tentative="0">
      <w:start w:val="1"/>
      <w:numFmt w:val="decimal"/>
      <w:lvlText w:val="（%1）"/>
      <w:lvlJc w:val="left"/>
      <w:pPr>
        <w:ind w:left="1727" w:hanging="800"/>
        <w:jc w:val="left"/>
      </w:pPr>
      <w:rPr>
        <w:rFonts w:hint="default" w:ascii="宋体" w:hAnsi="宋体" w:eastAsia="宋体" w:cs="宋体"/>
        <w:w w:val="99"/>
        <w:sz w:val="30"/>
        <w:szCs w:val="30"/>
        <w:lang w:val="zh-CN" w:eastAsia="zh-CN" w:bidi="zh-CN"/>
      </w:rPr>
    </w:lvl>
    <w:lvl w:ilvl="1" w:tentative="0">
      <w:start w:val="0"/>
      <w:numFmt w:val="bullet"/>
      <w:lvlText w:val="•"/>
      <w:lvlJc w:val="left"/>
      <w:pPr>
        <w:ind w:left="2478" w:hanging="800"/>
      </w:pPr>
      <w:rPr>
        <w:rFonts w:hint="default"/>
        <w:lang w:val="zh-CN" w:eastAsia="zh-CN" w:bidi="zh-CN"/>
      </w:rPr>
    </w:lvl>
    <w:lvl w:ilvl="2" w:tentative="0">
      <w:start w:val="0"/>
      <w:numFmt w:val="bullet"/>
      <w:lvlText w:val="•"/>
      <w:lvlJc w:val="left"/>
      <w:pPr>
        <w:ind w:left="3237" w:hanging="800"/>
      </w:pPr>
      <w:rPr>
        <w:rFonts w:hint="default"/>
        <w:lang w:val="zh-CN" w:eastAsia="zh-CN" w:bidi="zh-CN"/>
      </w:rPr>
    </w:lvl>
    <w:lvl w:ilvl="3" w:tentative="0">
      <w:start w:val="0"/>
      <w:numFmt w:val="bullet"/>
      <w:lvlText w:val="•"/>
      <w:lvlJc w:val="left"/>
      <w:pPr>
        <w:ind w:left="3995" w:hanging="800"/>
      </w:pPr>
      <w:rPr>
        <w:rFonts w:hint="default"/>
        <w:lang w:val="zh-CN" w:eastAsia="zh-CN" w:bidi="zh-CN"/>
      </w:rPr>
    </w:lvl>
    <w:lvl w:ilvl="4" w:tentative="0">
      <w:start w:val="0"/>
      <w:numFmt w:val="bullet"/>
      <w:lvlText w:val="•"/>
      <w:lvlJc w:val="left"/>
      <w:pPr>
        <w:ind w:left="4754" w:hanging="800"/>
      </w:pPr>
      <w:rPr>
        <w:rFonts w:hint="default"/>
        <w:lang w:val="zh-CN" w:eastAsia="zh-CN" w:bidi="zh-CN"/>
      </w:rPr>
    </w:lvl>
    <w:lvl w:ilvl="5" w:tentative="0">
      <w:start w:val="0"/>
      <w:numFmt w:val="bullet"/>
      <w:lvlText w:val="•"/>
      <w:lvlJc w:val="left"/>
      <w:pPr>
        <w:ind w:left="5513" w:hanging="800"/>
      </w:pPr>
      <w:rPr>
        <w:rFonts w:hint="default"/>
        <w:lang w:val="zh-CN" w:eastAsia="zh-CN" w:bidi="zh-CN"/>
      </w:rPr>
    </w:lvl>
    <w:lvl w:ilvl="6" w:tentative="0">
      <w:start w:val="0"/>
      <w:numFmt w:val="bullet"/>
      <w:lvlText w:val="•"/>
      <w:lvlJc w:val="left"/>
      <w:pPr>
        <w:ind w:left="6271" w:hanging="800"/>
      </w:pPr>
      <w:rPr>
        <w:rFonts w:hint="default"/>
        <w:lang w:val="zh-CN" w:eastAsia="zh-CN" w:bidi="zh-CN"/>
      </w:rPr>
    </w:lvl>
    <w:lvl w:ilvl="7" w:tentative="0">
      <w:start w:val="0"/>
      <w:numFmt w:val="bullet"/>
      <w:lvlText w:val="•"/>
      <w:lvlJc w:val="left"/>
      <w:pPr>
        <w:ind w:left="7030" w:hanging="800"/>
      </w:pPr>
      <w:rPr>
        <w:rFonts w:hint="default"/>
        <w:lang w:val="zh-CN" w:eastAsia="zh-CN" w:bidi="zh-CN"/>
      </w:rPr>
    </w:lvl>
    <w:lvl w:ilvl="8" w:tentative="0">
      <w:start w:val="0"/>
      <w:numFmt w:val="bullet"/>
      <w:lvlText w:val="•"/>
      <w:lvlJc w:val="left"/>
      <w:pPr>
        <w:ind w:left="7788" w:hanging="800"/>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1727" w:hanging="800"/>
        <w:jc w:val="left"/>
      </w:pPr>
      <w:rPr>
        <w:rFonts w:hint="default" w:ascii="宋体" w:hAnsi="宋体" w:eastAsia="宋体" w:cs="宋体"/>
        <w:spacing w:val="-81"/>
        <w:w w:val="99"/>
        <w:sz w:val="30"/>
        <w:szCs w:val="30"/>
        <w:lang w:val="zh-CN" w:eastAsia="zh-CN" w:bidi="zh-CN"/>
      </w:rPr>
    </w:lvl>
    <w:lvl w:ilvl="1" w:tentative="0">
      <w:start w:val="0"/>
      <w:numFmt w:val="bullet"/>
      <w:lvlText w:val="•"/>
      <w:lvlJc w:val="left"/>
      <w:pPr>
        <w:ind w:left="2478" w:hanging="800"/>
      </w:pPr>
      <w:rPr>
        <w:rFonts w:hint="default"/>
        <w:lang w:val="zh-CN" w:eastAsia="zh-CN" w:bidi="zh-CN"/>
      </w:rPr>
    </w:lvl>
    <w:lvl w:ilvl="2" w:tentative="0">
      <w:start w:val="0"/>
      <w:numFmt w:val="bullet"/>
      <w:lvlText w:val="•"/>
      <w:lvlJc w:val="left"/>
      <w:pPr>
        <w:ind w:left="3237" w:hanging="800"/>
      </w:pPr>
      <w:rPr>
        <w:rFonts w:hint="default"/>
        <w:lang w:val="zh-CN" w:eastAsia="zh-CN" w:bidi="zh-CN"/>
      </w:rPr>
    </w:lvl>
    <w:lvl w:ilvl="3" w:tentative="0">
      <w:start w:val="0"/>
      <w:numFmt w:val="bullet"/>
      <w:lvlText w:val="•"/>
      <w:lvlJc w:val="left"/>
      <w:pPr>
        <w:ind w:left="3995" w:hanging="800"/>
      </w:pPr>
      <w:rPr>
        <w:rFonts w:hint="default"/>
        <w:lang w:val="zh-CN" w:eastAsia="zh-CN" w:bidi="zh-CN"/>
      </w:rPr>
    </w:lvl>
    <w:lvl w:ilvl="4" w:tentative="0">
      <w:start w:val="0"/>
      <w:numFmt w:val="bullet"/>
      <w:lvlText w:val="•"/>
      <w:lvlJc w:val="left"/>
      <w:pPr>
        <w:ind w:left="4754" w:hanging="800"/>
      </w:pPr>
      <w:rPr>
        <w:rFonts w:hint="default"/>
        <w:lang w:val="zh-CN" w:eastAsia="zh-CN" w:bidi="zh-CN"/>
      </w:rPr>
    </w:lvl>
    <w:lvl w:ilvl="5" w:tentative="0">
      <w:start w:val="0"/>
      <w:numFmt w:val="bullet"/>
      <w:lvlText w:val="•"/>
      <w:lvlJc w:val="left"/>
      <w:pPr>
        <w:ind w:left="5513" w:hanging="800"/>
      </w:pPr>
      <w:rPr>
        <w:rFonts w:hint="default"/>
        <w:lang w:val="zh-CN" w:eastAsia="zh-CN" w:bidi="zh-CN"/>
      </w:rPr>
    </w:lvl>
    <w:lvl w:ilvl="6" w:tentative="0">
      <w:start w:val="0"/>
      <w:numFmt w:val="bullet"/>
      <w:lvlText w:val="•"/>
      <w:lvlJc w:val="left"/>
      <w:pPr>
        <w:ind w:left="6271" w:hanging="800"/>
      </w:pPr>
      <w:rPr>
        <w:rFonts w:hint="default"/>
        <w:lang w:val="zh-CN" w:eastAsia="zh-CN" w:bidi="zh-CN"/>
      </w:rPr>
    </w:lvl>
    <w:lvl w:ilvl="7" w:tentative="0">
      <w:start w:val="0"/>
      <w:numFmt w:val="bullet"/>
      <w:lvlText w:val="•"/>
      <w:lvlJc w:val="left"/>
      <w:pPr>
        <w:ind w:left="7030" w:hanging="800"/>
      </w:pPr>
      <w:rPr>
        <w:rFonts w:hint="default"/>
        <w:lang w:val="zh-CN" w:eastAsia="zh-CN" w:bidi="zh-CN"/>
      </w:rPr>
    </w:lvl>
    <w:lvl w:ilvl="8" w:tentative="0">
      <w:start w:val="0"/>
      <w:numFmt w:val="bullet"/>
      <w:lvlText w:val="•"/>
      <w:lvlJc w:val="left"/>
      <w:pPr>
        <w:ind w:left="7788" w:hanging="800"/>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1727" w:hanging="800"/>
        <w:jc w:val="left"/>
      </w:pPr>
      <w:rPr>
        <w:rFonts w:hint="default" w:ascii="宋体" w:hAnsi="宋体" w:eastAsia="宋体" w:cs="宋体"/>
        <w:spacing w:val="-22"/>
        <w:w w:val="99"/>
        <w:sz w:val="30"/>
        <w:szCs w:val="30"/>
        <w:lang w:val="zh-CN" w:eastAsia="zh-CN" w:bidi="zh-CN"/>
      </w:rPr>
    </w:lvl>
    <w:lvl w:ilvl="1" w:tentative="0">
      <w:start w:val="0"/>
      <w:numFmt w:val="bullet"/>
      <w:lvlText w:val="•"/>
      <w:lvlJc w:val="left"/>
      <w:pPr>
        <w:ind w:left="2478" w:hanging="800"/>
      </w:pPr>
      <w:rPr>
        <w:rFonts w:hint="default"/>
        <w:lang w:val="zh-CN" w:eastAsia="zh-CN" w:bidi="zh-CN"/>
      </w:rPr>
    </w:lvl>
    <w:lvl w:ilvl="2" w:tentative="0">
      <w:start w:val="0"/>
      <w:numFmt w:val="bullet"/>
      <w:lvlText w:val="•"/>
      <w:lvlJc w:val="left"/>
      <w:pPr>
        <w:ind w:left="3237" w:hanging="800"/>
      </w:pPr>
      <w:rPr>
        <w:rFonts w:hint="default"/>
        <w:lang w:val="zh-CN" w:eastAsia="zh-CN" w:bidi="zh-CN"/>
      </w:rPr>
    </w:lvl>
    <w:lvl w:ilvl="3" w:tentative="0">
      <w:start w:val="0"/>
      <w:numFmt w:val="bullet"/>
      <w:lvlText w:val="•"/>
      <w:lvlJc w:val="left"/>
      <w:pPr>
        <w:ind w:left="3995" w:hanging="800"/>
      </w:pPr>
      <w:rPr>
        <w:rFonts w:hint="default"/>
        <w:lang w:val="zh-CN" w:eastAsia="zh-CN" w:bidi="zh-CN"/>
      </w:rPr>
    </w:lvl>
    <w:lvl w:ilvl="4" w:tentative="0">
      <w:start w:val="0"/>
      <w:numFmt w:val="bullet"/>
      <w:lvlText w:val="•"/>
      <w:lvlJc w:val="left"/>
      <w:pPr>
        <w:ind w:left="4754" w:hanging="800"/>
      </w:pPr>
      <w:rPr>
        <w:rFonts w:hint="default"/>
        <w:lang w:val="zh-CN" w:eastAsia="zh-CN" w:bidi="zh-CN"/>
      </w:rPr>
    </w:lvl>
    <w:lvl w:ilvl="5" w:tentative="0">
      <w:start w:val="0"/>
      <w:numFmt w:val="bullet"/>
      <w:lvlText w:val="•"/>
      <w:lvlJc w:val="left"/>
      <w:pPr>
        <w:ind w:left="5513" w:hanging="800"/>
      </w:pPr>
      <w:rPr>
        <w:rFonts w:hint="default"/>
        <w:lang w:val="zh-CN" w:eastAsia="zh-CN" w:bidi="zh-CN"/>
      </w:rPr>
    </w:lvl>
    <w:lvl w:ilvl="6" w:tentative="0">
      <w:start w:val="0"/>
      <w:numFmt w:val="bullet"/>
      <w:lvlText w:val="•"/>
      <w:lvlJc w:val="left"/>
      <w:pPr>
        <w:ind w:left="6271" w:hanging="800"/>
      </w:pPr>
      <w:rPr>
        <w:rFonts w:hint="default"/>
        <w:lang w:val="zh-CN" w:eastAsia="zh-CN" w:bidi="zh-CN"/>
      </w:rPr>
    </w:lvl>
    <w:lvl w:ilvl="7" w:tentative="0">
      <w:start w:val="0"/>
      <w:numFmt w:val="bullet"/>
      <w:lvlText w:val="•"/>
      <w:lvlJc w:val="left"/>
      <w:pPr>
        <w:ind w:left="7030" w:hanging="800"/>
      </w:pPr>
      <w:rPr>
        <w:rFonts w:hint="default"/>
        <w:lang w:val="zh-CN" w:eastAsia="zh-CN" w:bidi="zh-CN"/>
      </w:rPr>
    </w:lvl>
    <w:lvl w:ilvl="8" w:tentative="0">
      <w:start w:val="0"/>
      <w:numFmt w:val="bullet"/>
      <w:lvlText w:val="•"/>
      <w:lvlJc w:val="left"/>
      <w:pPr>
        <w:ind w:left="7788" w:hanging="800"/>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727" w:hanging="800"/>
        <w:jc w:val="left"/>
      </w:pPr>
      <w:rPr>
        <w:rFonts w:hint="default" w:ascii="宋体" w:hAnsi="宋体" w:eastAsia="宋体" w:cs="宋体"/>
        <w:w w:val="99"/>
        <w:sz w:val="30"/>
        <w:szCs w:val="30"/>
        <w:lang w:val="zh-CN" w:eastAsia="zh-CN" w:bidi="zh-CN"/>
      </w:rPr>
    </w:lvl>
    <w:lvl w:ilvl="1" w:tentative="0">
      <w:start w:val="0"/>
      <w:numFmt w:val="bullet"/>
      <w:lvlText w:val="•"/>
      <w:lvlJc w:val="left"/>
      <w:pPr>
        <w:ind w:left="2478" w:hanging="800"/>
      </w:pPr>
      <w:rPr>
        <w:rFonts w:hint="default"/>
        <w:lang w:val="zh-CN" w:eastAsia="zh-CN" w:bidi="zh-CN"/>
      </w:rPr>
    </w:lvl>
    <w:lvl w:ilvl="2" w:tentative="0">
      <w:start w:val="0"/>
      <w:numFmt w:val="bullet"/>
      <w:lvlText w:val="•"/>
      <w:lvlJc w:val="left"/>
      <w:pPr>
        <w:ind w:left="3237" w:hanging="800"/>
      </w:pPr>
      <w:rPr>
        <w:rFonts w:hint="default"/>
        <w:lang w:val="zh-CN" w:eastAsia="zh-CN" w:bidi="zh-CN"/>
      </w:rPr>
    </w:lvl>
    <w:lvl w:ilvl="3" w:tentative="0">
      <w:start w:val="0"/>
      <w:numFmt w:val="bullet"/>
      <w:lvlText w:val="•"/>
      <w:lvlJc w:val="left"/>
      <w:pPr>
        <w:ind w:left="3995" w:hanging="800"/>
      </w:pPr>
      <w:rPr>
        <w:rFonts w:hint="default"/>
        <w:lang w:val="zh-CN" w:eastAsia="zh-CN" w:bidi="zh-CN"/>
      </w:rPr>
    </w:lvl>
    <w:lvl w:ilvl="4" w:tentative="0">
      <w:start w:val="0"/>
      <w:numFmt w:val="bullet"/>
      <w:lvlText w:val="•"/>
      <w:lvlJc w:val="left"/>
      <w:pPr>
        <w:ind w:left="4754" w:hanging="800"/>
      </w:pPr>
      <w:rPr>
        <w:rFonts w:hint="default"/>
        <w:lang w:val="zh-CN" w:eastAsia="zh-CN" w:bidi="zh-CN"/>
      </w:rPr>
    </w:lvl>
    <w:lvl w:ilvl="5" w:tentative="0">
      <w:start w:val="0"/>
      <w:numFmt w:val="bullet"/>
      <w:lvlText w:val="•"/>
      <w:lvlJc w:val="left"/>
      <w:pPr>
        <w:ind w:left="5513" w:hanging="800"/>
      </w:pPr>
      <w:rPr>
        <w:rFonts w:hint="default"/>
        <w:lang w:val="zh-CN" w:eastAsia="zh-CN" w:bidi="zh-CN"/>
      </w:rPr>
    </w:lvl>
    <w:lvl w:ilvl="6" w:tentative="0">
      <w:start w:val="0"/>
      <w:numFmt w:val="bullet"/>
      <w:lvlText w:val="•"/>
      <w:lvlJc w:val="left"/>
      <w:pPr>
        <w:ind w:left="6271" w:hanging="800"/>
      </w:pPr>
      <w:rPr>
        <w:rFonts w:hint="default"/>
        <w:lang w:val="zh-CN" w:eastAsia="zh-CN" w:bidi="zh-CN"/>
      </w:rPr>
    </w:lvl>
    <w:lvl w:ilvl="7" w:tentative="0">
      <w:start w:val="0"/>
      <w:numFmt w:val="bullet"/>
      <w:lvlText w:val="•"/>
      <w:lvlJc w:val="left"/>
      <w:pPr>
        <w:ind w:left="7030" w:hanging="800"/>
      </w:pPr>
      <w:rPr>
        <w:rFonts w:hint="default"/>
        <w:lang w:val="zh-CN" w:eastAsia="zh-CN" w:bidi="zh-CN"/>
      </w:rPr>
    </w:lvl>
    <w:lvl w:ilvl="8" w:tentative="0">
      <w:start w:val="0"/>
      <w:numFmt w:val="bullet"/>
      <w:lvlText w:val="•"/>
      <w:lvlJc w:val="left"/>
      <w:pPr>
        <w:ind w:left="7788" w:hanging="800"/>
      </w:pPr>
      <w:rPr>
        <w:rFonts w:hint="default"/>
        <w:lang w:val="zh-CN" w:eastAsia="zh-CN" w:bidi="zh-CN"/>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12"/>
  </w:num>
  <w:num w:numId="8">
    <w:abstractNumId w:val="6"/>
  </w:num>
  <w:num w:numId="9">
    <w:abstractNumId w:val="0"/>
  </w:num>
  <w:num w:numId="10">
    <w:abstractNumId w:val="8"/>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MGM1ZjIyYjVhNDYyZTcwZmVlNTc0MTNjN2Q2NTkifQ=="/>
  </w:docVars>
  <w:rsids>
    <w:rsidRoot w:val="00000000"/>
    <w:rsid w:val="0F332D34"/>
    <w:rsid w:val="2E0F46ED"/>
    <w:rsid w:val="62DD6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49" w:right="1761"/>
      <w:jc w:val="center"/>
      <w:outlineLvl w:val="1"/>
    </w:pPr>
    <w:rPr>
      <w:rFonts w:ascii="宋体" w:hAnsi="宋体" w:eastAsia="宋体" w:cs="宋体"/>
      <w:b/>
      <w:bCs/>
      <w:sz w:val="44"/>
      <w:szCs w:val="4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286"/>
    </w:pPr>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486" w:hanging="56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10409</Words>
  <Characters>10437</Characters>
  <TotalTime>3</TotalTime>
  <ScaleCrop>false</ScaleCrop>
  <LinksUpToDate>false</LinksUpToDate>
  <CharactersWithSpaces>10565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2022-11-15T06:13:00Z</dcterms:created>
  <dc:creator>admin</dc:creator>
  <cp:lastModifiedBy>　</cp:lastModifiedBy>
  <dcterms:modified xsi:type="dcterms:W3CDTF">2022-11-15T06:17:26Z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WPS 文字</vt:lpwstr>
  </property>
  <property fmtid="{D5CDD505-2E9C-101B-9397-08002B2CF9AE}" pid="4" name="LastSaved">
    <vt:filetime>2022-11-15T00:00:00Z</vt:filetime>
  </property>
  <property fmtid="{D5CDD505-2E9C-101B-9397-08002B2CF9AE}" pid="5" name="KSOProductBuildVer">
    <vt:lpwstr>2052-11.1.0.12763</vt:lpwstr>
  </property>
  <property fmtid="{D5CDD505-2E9C-101B-9397-08002B2CF9AE}" pid="6" name="ICV">
    <vt:lpwstr>4BA919737A5D4A0F8562F50725C36864</vt:lpwstr>
  </property>
</Properties>
</file>