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8A6ED">
      <w:pPr>
        <w:spacing w:line="560" w:lineRule="exact"/>
        <w:ind w:firstLine="0"/>
        <w:jc w:val="center"/>
        <w:rPr>
          <w:rFonts w:eastAsia="方正小标宋简体"/>
          <w:sz w:val="44"/>
          <w:szCs w:val="44"/>
        </w:rPr>
      </w:pPr>
      <w:r>
        <w:rPr>
          <w:rFonts w:eastAsia="方正小标宋简体"/>
          <w:sz w:val="44"/>
          <w:szCs w:val="44"/>
        </w:rPr>
        <w:t>高青县市场监督管理局</w:t>
      </w:r>
    </w:p>
    <w:p w14:paraId="75C09DB5">
      <w:pPr>
        <w:spacing w:line="560" w:lineRule="exact"/>
        <w:ind w:firstLine="0"/>
        <w:jc w:val="center"/>
        <w:rPr>
          <w:rFonts w:eastAsia="方正小标宋简体"/>
          <w:sz w:val="44"/>
          <w:szCs w:val="44"/>
        </w:rPr>
      </w:pPr>
      <w:r>
        <w:rPr>
          <w:rFonts w:eastAsia="方正小标宋简体"/>
          <w:sz w:val="44"/>
          <w:szCs w:val="44"/>
        </w:rPr>
        <w:t>2024年政府信息公开工作年度报告</w:t>
      </w:r>
    </w:p>
    <w:p w14:paraId="457D0051">
      <w:pPr>
        <w:spacing w:line="560" w:lineRule="exact"/>
        <w:ind w:firstLine="0"/>
        <w:jc w:val="center"/>
        <w:rPr>
          <w:rFonts w:eastAsia="方正小标宋简体"/>
          <w:sz w:val="44"/>
          <w:szCs w:val="44"/>
        </w:rPr>
      </w:pPr>
    </w:p>
    <w:p w14:paraId="2ABAC3FA">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2735B5DE">
      <w:pPr>
        <w:spacing w:line="560" w:lineRule="exact"/>
        <w:ind w:firstLine="640" w:firstLineChars="200"/>
        <w:rPr>
          <w:rFonts w:eastAsia="仿宋_GB2312"/>
        </w:rPr>
      </w:pPr>
      <w:r>
        <w:rPr>
          <w:rFonts w:eastAsia="仿宋_GB2312"/>
        </w:rPr>
        <w:t>报告中所列数据统计期限自2024年1月1日始，至2024年12月31日止。报告电子版可在高青县人民政府门户网站（www.gaoqing.gov.cn）查阅和下载。如对报告内容有疑问，请与高青县</w:t>
      </w:r>
      <w:r>
        <w:rPr>
          <w:rFonts w:hint="eastAsia" w:eastAsia="仿宋_GB2312"/>
          <w:lang w:val="en-US" w:eastAsia="zh-CN"/>
        </w:rPr>
        <w:t>市场监督管理</w:t>
      </w:r>
      <w:bookmarkStart w:id="4" w:name="_GoBack"/>
      <w:bookmarkEnd w:id="4"/>
      <w:r>
        <w:rPr>
          <w:rFonts w:eastAsia="仿宋_GB2312"/>
        </w:rPr>
        <w:t>局办公室联系（地址：山东省淄博市高青县高苑路16号；邮编：256300；电话：0533-6961467；传真：0533-6961467；邮箱：gqscjgj@zb.shandong.cn）。</w:t>
      </w:r>
    </w:p>
    <w:p w14:paraId="5D3F04DD">
      <w:pPr>
        <w:spacing w:line="560" w:lineRule="exact"/>
        <w:ind w:firstLine="640" w:firstLineChars="200"/>
        <w:rPr>
          <w:rFonts w:eastAsia="黑体"/>
          <w:szCs w:val="32"/>
        </w:rPr>
      </w:pPr>
      <w:r>
        <w:rPr>
          <w:rFonts w:eastAsia="黑体"/>
          <w:szCs w:val="32"/>
        </w:rPr>
        <w:t>一、总体情况</w:t>
      </w:r>
    </w:p>
    <w:p w14:paraId="3E23CD68">
      <w:pPr>
        <w:spacing w:line="560" w:lineRule="exact"/>
        <w:ind w:firstLine="640" w:firstLineChars="200"/>
        <w:rPr>
          <w:rFonts w:eastAsia="仿宋_GB2312"/>
          <w:szCs w:val="32"/>
        </w:rPr>
      </w:pPr>
      <w:r>
        <w:rPr>
          <w:rFonts w:eastAsia="仿宋_GB2312"/>
          <w:szCs w:val="32"/>
        </w:rPr>
        <w:t>2024年，高青县市场监督管理局坚持以习近平新时代中国特色社会主义思想为指导，认真落实国家和省市县政务公开工作部署，坚持“以公开为常态、不公开为例外”，紧密结合市场监管工作实际，以提升政务公开质量为主线，持续做好信息发布、解读回应等工作，不断提升政务公开工作成效。</w:t>
      </w:r>
    </w:p>
    <w:p w14:paraId="33B6F5CD">
      <w:pPr>
        <w:spacing w:line="560" w:lineRule="exact"/>
        <w:jc w:val="left"/>
        <w:rPr>
          <w:rFonts w:eastAsia="楷体_GB2312"/>
        </w:rPr>
      </w:pPr>
      <w:r>
        <w:rPr>
          <w:rFonts w:eastAsia="楷体_GB2312"/>
        </w:rPr>
        <w:t>（一）主动公开</w:t>
      </w:r>
    </w:p>
    <w:p w14:paraId="4D41BD1F">
      <w:pPr>
        <w:spacing w:line="560" w:lineRule="exact"/>
        <w:rPr>
          <w:rFonts w:eastAsia="仿宋_GB2312"/>
        </w:rPr>
      </w:pPr>
      <w:r>
        <w:rPr>
          <w:rFonts w:eastAsia="仿宋_GB2312"/>
        </w:rPr>
        <w:t>制定《高青县市场监管局政府信息公开管理制度》，明确政府信息从产生到公开各环节责任科室，确保公开各环节有据可依。重点做好食品药品监管领域信息公开，年初发布检查计划，发布食品安全监督抽检信息通告10期，公开不合格产品情况；按季度公开化妆品经营企业监督检查、药品零售经营监督检查信息，每月发布消费投诉信息公示。2024年度主动公开信息400条，比上年度增长9.6%。加强政民互动，结合质量月、食品安全宣传周、安全生产咨询日、保健食品安全进社区、世界标准日宣传等活动，推进政府信息进社区、进企业，切实解决群众“急难愁盼”的问题。开展政策解读，发布解读2篇，其中图文解读1篇、音频解读1篇，促进政策落地。落实投诉举报快速回应机制，2024年受理消费者投诉举报2773件、咨询551件，满意率达96.2%。</w:t>
      </w:r>
    </w:p>
    <w:p w14:paraId="795F0E52">
      <w:pPr>
        <w:spacing w:line="600" w:lineRule="exact"/>
        <w:ind w:firstLine="0"/>
        <w:jc w:val="left"/>
        <w:rPr>
          <w:rFonts w:eastAsia="仿宋_GB2312"/>
        </w:rPr>
      </w:pPr>
      <w:r>
        <w:drawing>
          <wp:anchor distT="0" distB="0" distL="114300" distR="114300" simplePos="0" relativeHeight="251659264" behindDoc="0" locked="0" layoutInCell="1" allowOverlap="1">
            <wp:simplePos x="0" y="0"/>
            <wp:positionH relativeFrom="column">
              <wp:posOffset>209550</wp:posOffset>
            </wp:positionH>
            <wp:positionV relativeFrom="paragraph">
              <wp:posOffset>136525</wp:posOffset>
            </wp:positionV>
            <wp:extent cx="5434965" cy="2781300"/>
            <wp:effectExtent l="0" t="0" r="13335" b="1905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56AC330">
      <w:pPr>
        <w:spacing w:line="600" w:lineRule="exact"/>
        <w:jc w:val="left"/>
        <w:rPr>
          <w:rFonts w:eastAsia="仿宋_GB2312"/>
        </w:rPr>
      </w:pPr>
    </w:p>
    <w:p w14:paraId="2DFACE3C">
      <w:pPr>
        <w:spacing w:line="600" w:lineRule="exact"/>
        <w:jc w:val="left"/>
        <w:rPr>
          <w:rFonts w:eastAsia="仿宋_GB2312"/>
        </w:rPr>
      </w:pPr>
    </w:p>
    <w:p w14:paraId="0E52D3FA">
      <w:pPr>
        <w:spacing w:line="600" w:lineRule="exact"/>
        <w:jc w:val="left"/>
        <w:rPr>
          <w:rFonts w:eastAsia="仿宋_GB2312"/>
        </w:rPr>
      </w:pPr>
    </w:p>
    <w:p w14:paraId="2430047C">
      <w:pPr>
        <w:spacing w:line="600" w:lineRule="exact"/>
        <w:jc w:val="left"/>
        <w:rPr>
          <w:rFonts w:eastAsia="仿宋_GB2312"/>
          <w:color w:val="0000FF"/>
        </w:rPr>
      </w:pPr>
    </w:p>
    <w:p w14:paraId="774CA0A1">
      <w:pPr>
        <w:spacing w:line="600" w:lineRule="exact"/>
        <w:jc w:val="left"/>
        <w:rPr>
          <w:rFonts w:eastAsia="楷体_GB2312"/>
        </w:rPr>
      </w:pPr>
    </w:p>
    <w:p w14:paraId="0B4B2C90">
      <w:pPr>
        <w:spacing w:line="600" w:lineRule="exact"/>
        <w:jc w:val="left"/>
        <w:rPr>
          <w:rFonts w:eastAsia="楷体_GB2312"/>
        </w:rPr>
      </w:pPr>
    </w:p>
    <w:p w14:paraId="15F414C9">
      <w:pPr>
        <w:spacing w:line="600" w:lineRule="exact"/>
        <w:jc w:val="left"/>
        <w:rPr>
          <w:rFonts w:eastAsia="楷体_GB2312"/>
        </w:rPr>
      </w:pPr>
    </w:p>
    <w:p w14:paraId="0BABB1C1">
      <w:pPr>
        <w:spacing w:line="600" w:lineRule="exact"/>
        <w:jc w:val="left"/>
        <w:rPr>
          <w:rFonts w:eastAsia="楷体_GB2312"/>
        </w:rPr>
      </w:pPr>
    </w:p>
    <w:p w14:paraId="7A9BB8E7">
      <w:pPr>
        <w:spacing w:line="560" w:lineRule="exact"/>
        <w:rPr>
          <w:rFonts w:eastAsia="楷体_GB2312"/>
        </w:rPr>
      </w:pPr>
      <w:r>
        <w:rPr>
          <w:rFonts w:eastAsia="楷体_GB2312"/>
        </w:rPr>
        <w:t>（二）依申请公开</w:t>
      </w:r>
    </w:p>
    <w:p w14:paraId="644673C8">
      <w:pPr>
        <w:spacing w:line="560" w:lineRule="exact"/>
        <w:rPr>
          <w:rFonts w:eastAsia="楷体_GB2312"/>
        </w:rPr>
      </w:pPr>
      <w:r>
        <w:rPr>
          <w:rFonts w:eastAsia="仿宋_GB2312"/>
        </w:rPr>
        <w:t>系统梳理依申请公开工作流程，明确各科室工作职责，严格把控答复程序、时限，切实做到依法办理、严谨规范。2024年共收到政府信息公开申请2件，比上年度减少2件，申请内容主要涉及行政执法领域。作出政府信息公开申请答复1件，其中不予公开1件；结转下年度继续办理1件。因政府信息公开被申请行政复议1件，未被提起行政诉讼。</w:t>
      </w:r>
    </w:p>
    <w:p w14:paraId="2A60B87B">
      <w:pPr>
        <w:spacing w:line="560" w:lineRule="exact"/>
        <w:rPr>
          <w:rFonts w:eastAsia="楷体_GB2312"/>
        </w:rPr>
      </w:pPr>
      <w:r>
        <w:rPr>
          <w:rFonts w:eastAsia="楷体_GB2312"/>
        </w:rPr>
        <w:t>（三）政府信息管理</w:t>
      </w:r>
    </w:p>
    <w:p w14:paraId="3833B25F">
      <w:pPr>
        <w:spacing w:line="560" w:lineRule="exact"/>
        <w:rPr>
          <w:rFonts w:eastAsia="仿宋_GB2312"/>
        </w:rPr>
      </w:pPr>
      <w:r>
        <w:rPr>
          <w:rFonts w:eastAsia="仿宋_GB2312"/>
        </w:rPr>
        <w:t>编制</w:t>
      </w:r>
      <w:r>
        <w:rPr>
          <w:rFonts w:eastAsia="仿宋_GB2312"/>
          <w:szCs w:val="32"/>
        </w:rPr>
        <w:t>《高青县市场监督管理局主动公开事项目录》</w:t>
      </w:r>
      <w:r>
        <w:rPr>
          <w:rFonts w:eastAsia="仿宋_GB2312"/>
        </w:rPr>
        <w:t>，推动政务公开标准化规范化。全面落实信息公开保密审查制度，所有信息发布前，主要负责同志、分管负责同志及科室负责人三级审核，确保发布信息不出现问题。</w:t>
      </w:r>
    </w:p>
    <w:p w14:paraId="50FF7F93">
      <w:pPr>
        <w:spacing w:line="560" w:lineRule="exact"/>
        <w:rPr>
          <w:rFonts w:eastAsia="楷体_GB2312"/>
        </w:rPr>
      </w:pPr>
      <w:r>
        <w:rPr>
          <w:rFonts w:eastAsia="楷体_GB2312"/>
        </w:rPr>
        <w:t>（四）政府信息公开平台建设</w:t>
      </w:r>
    </w:p>
    <w:p w14:paraId="6986549B">
      <w:pPr>
        <w:spacing w:line="560" w:lineRule="exact"/>
        <w:rPr>
          <w:rFonts w:eastAsia="仿宋_GB2312"/>
        </w:rPr>
      </w:pPr>
      <w:r>
        <w:rPr>
          <w:rFonts w:eastAsia="仿宋_GB2312"/>
        </w:rPr>
        <w:t>优化县政府门户网站政务公开栏目设置，完善“市场监管”专栏，根据规定定期更新。推进新媒体平台建设，根据政务新媒体“瘦身体质”要求，将微信公众号注销。重视线下途径信息公开，设置信息公开栏，重点信息线上线下同步公示，确保信息公开工作在各渠道顺利开展。</w:t>
      </w:r>
    </w:p>
    <w:p w14:paraId="4D5E855D">
      <w:pPr>
        <w:spacing w:line="560" w:lineRule="exact"/>
        <w:rPr>
          <w:rFonts w:eastAsia="楷体_GB2312"/>
        </w:rPr>
      </w:pPr>
      <w:r>
        <w:rPr>
          <w:rFonts w:eastAsia="楷体_GB2312"/>
        </w:rPr>
        <w:t>（五）监督保障</w:t>
      </w:r>
    </w:p>
    <w:p w14:paraId="3583CF2F">
      <w:pPr>
        <w:spacing w:line="560" w:lineRule="exact"/>
        <w:ind w:firstLine="640" w:firstLineChars="200"/>
        <w:rPr>
          <w:rFonts w:eastAsia="仿宋_GB2312"/>
        </w:rPr>
      </w:pPr>
      <w:bookmarkStart w:id="0" w:name="OLE_LINK6"/>
      <w:bookmarkStart w:id="1" w:name="OLE_LINK3"/>
      <w:r>
        <w:rPr>
          <w:rFonts w:eastAsia="仿宋_GB2312"/>
        </w:rPr>
        <w:t>根据《2024年高青县市场监督管理局政务公开重点工作任务分工表》建立考核机制，阶段性调度政务公开工作，按月对各分工科室完成情况进行督查并发布考核通报，对未完成相应工作导致工作被动的人员进行约谈。由分管负责同志调度政务公开工作，局办公室统筹，各业务科室配合，确保履行政府信息公开职责。全年共进行培训3次，累计参与培训人数30余人次。</w:t>
      </w:r>
    </w:p>
    <w:bookmarkEnd w:id="0"/>
    <w:bookmarkEnd w:id="1"/>
    <w:p w14:paraId="18677923">
      <w:pPr>
        <w:spacing w:after="156" w:afterLines="50" w:line="240" w:lineRule="auto"/>
        <w:ind w:firstLine="640" w:firstLineChars="200"/>
        <w:rPr>
          <w:rFonts w:eastAsia="黑体"/>
          <w:szCs w:val="32"/>
        </w:rPr>
      </w:pPr>
    </w:p>
    <w:p w14:paraId="65874695">
      <w:pPr>
        <w:spacing w:after="156" w:afterLines="50" w:line="240" w:lineRule="auto"/>
        <w:ind w:firstLine="640" w:firstLineChars="200"/>
        <w:rPr>
          <w:rFonts w:eastAsia="黑体"/>
          <w:szCs w:val="32"/>
        </w:rPr>
      </w:pPr>
      <w:r>
        <w:rPr>
          <w:rFonts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3347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4186C7A">
            <w:pPr>
              <w:spacing w:line="240" w:lineRule="auto"/>
              <w:ind w:firstLine="0"/>
              <w:jc w:val="center"/>
              <w:rPr>
                <w:rFonts w:eastAsia="黑体"/>
                <w:sz w:val="20"/>
              </w:rPr>
            </w:pPr>
            <w:r>
              <w:rPr>
                <w:rFonts w:eastAsia="宋体"/>
                <w:snapToGrid/>
                <w:color w:val="000000"/>
                <w:sz w:val="20"/>
              </w:rPr>
              <w:t>第二十条第（一）项</w:t>
            </w:r>
          </w:p>
        </w:tc>
      </w:tr>
      <w:tr w14:paraId="57EA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C981225">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3B06AED4">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63DD13CD">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14:paraId="262D7894">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76F5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17B9F3B">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14:paraId="004F8199">
            <w:pPr>
              <w:spacing w:line="240" w:lineRule="auto"/>
              <w:ind w:firstLine="0"/>
              <w:jc w:val="center"/>
              <w:rPr>
                <w:rFonts w:eastAsia="黑体"/>
                <w:sz w:val="20"/>
              </w:rPr>
            </w:pPr>
            <w:r>
              <w:rPr>
                <w:rFonts w:eastAsia="黑体"/>
                <w:sz w:val="20"/>
              </w:rPr>
              <w:t>0</w:t>
            </w:r>
          </w:p>
        </w:tc>
        <w:tc>
          <w:tcPr>
            <w:tcW w:w="2131" w:type="dxa"/>
            <w:vAlign w:val="center"/>
          </w:tcPr>
          <w:p w14:paraId="6CC964A6">
            <w:pPr>
              <w:spacing w:line="240" w:lineRule="auto"/>
              <w:ind w:firstLine="0"/>
              <w:jc w:val="center"/>
              <w:rPr>
                <w:rFonts w:eastAsia="黑体"/>
                <w:sz w:val="20"/>
              </w:rPr>
            </w:pPr>
            <w:r>
              <w:rPr>
                <w:rFonts w:eastAsia="黑体"/>
                <w:sz w:val="20"/>
              </w:rPr>
              <w:t>0</w:t>
            </w:r>
          </w:p>
        </w:tc>
        <w:tc>
          <w:tcPr>
            <w:tcW w:w="2131" w:type="dxa"/>
            <w:vAlign w:val="center"/>
          </w:tcPr>
          <w:p w14:paraId="1E78F050">
            <w:pPr>
              <w:spacing w:line="240" w:lineRule="auto"/>
              <w:ind w:firstLine="0"/>
              <w:jc w:val="center"/>
              <w:rPr>
                <w:rFonts w:eastAsia="黑体"/>
                <w:sz w:val="20"/>
              </w:rPr>
            </w:pPr>
            <w:r>
              <w:rPr>
                <w:rFonts w:eastAsia="黑体"/>
                <w:sz w:val="20"/>
              </w:rPr>
              <w:t>0</w:t>
            </w:r>
          </w:p>
        </w:tc>
      </w:tr>
      <w:tr w14:paraId="4314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0B29B86">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569ED067">
            <w:pPr>
              <w:spacing w:line="240" w:lineRule="auto"/>
              <w:ind w:firstLine="0"/>
              <w:jc w:val="center"/>
              <w:rPr>
                <w:rFonts w:eastAsia="黑体"/>
                <w:sz w:val="20"/>
              </w:rPr>
            </w:pPr>
            <w:r>
              <w:rPr>
                <w:rFonts w:eastAsia="黑体"/>
                <w:sz w:val="20"/>
              </w:rPr>
              <w:t>0</w:t>
            </w:r>
          </w:p>
        </w:tc>
        <w:tc>
          <w:tcPr>
            <w:tcW w:w="2131" w:type="dxa"/>
            <w:vAlign w:val="center"/>
          </w:tcPr>
          <w:p w14:paraId="6EB27865">
            <w:pPr>
              <w:spacing w:line="240" w:lineRule="auto"/>
              <w:ind w:firstLine="0"/>
              <w:jc w:val="center"/>
              <w:rPr>
                <w:rFonts w:eastAsia="黑体"/>
                <w:sz w:val="20"/>
              </w:rPr>
            </w:pPr>
            <w:r>
              <w:rPr>
                <w:rFonts w:eastAsia="黑体"/>
                <w:sz w:val="20"/>
              </w:rPr>
              <w:t>0</w:t>
            </w:r>
          </w:p>
        </w:tc>
        <w:tc>
          <w:tcPr>
            <w:tcW w:w="2131" w:type="dxa"/>
            <w:vAlign w:val="center"/>
          </w:tcPr>
          <w:p w14:paraId="7BC17DB3">
            <w:pPr>
              <w:spacing w:line="240" w:lineRule="auto"/>
              <w:ind w:firstLine="0"/>
              <w:jc w:val="center"/>
              <w:rPr>
                <w:rFonts w:eastAsia="黑体"/>
                <w:sz w:val="20"/>
              </w:rPr>
            </w:pPr>
            <w:r>
              <w:rPr>
                <w:rFonts w:eastAsia="黑体"/>
                <w:sz w:val="20"/>
              </w:rPr>
              <w:t>0</w:t>
            </w:r>
          </w:p>
        </w:tc>
      </w:tr>
      <w:tr w14:paraId="1322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F6DA1A9">
            <w:pPr>
              <w:spacing w:line="240" w:lineRule="auto"/>
              <w:ind w:firstLine="0"/>
              <w:jc w:val="center"/>
              <w:rPr>
                <w:rFonts w:eastAsia="宋体"/>
                <w:snapToGrid/>
                <w:color w:val="000000"/>
                <w:sz w:val="20"/>
              </w:rPr>
            </w:pPr>
            <w:r>
              <w:rPr>
                <w:rFonts w:eastAsia="宋体"/>
                <w:snapToGrid/>
                <w:color w:val="000000"/>
                <w:sz w:val="20"/>
              </w:rPr>
              <w:t>第二十条第（五）项</w:t>
            </w:r>
          </w:p>
        </w:tc>
      </w:tr>
      <w:tr w14:paraId="5134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038DB9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69085286">
            <w:pPr>
              <w:spacing w:line="240" w:lineRule="auto"/>
              <w:ind w:firstLine="0"/>
              <w:jc w:val="center"/>
              <w:rPr>
                <w:rFonts w:eastAsia="黑体"/>
                <w:sz w:val="20"/>
              </w:rPr>
            </w:pPr>
            <w:r>
              <w:rPr>
                <w:rFonts w:eastAsia="宋体"/>
                <w:snapToGrid/>
                <w:color w:val="000000"/>
                <w:sz w:val="20"/>
              </w:rPr>
              <w:t>本年处理决定数量</w:t>
            </w:r>
          </w:p>
        </w:tc>
      </w:tr>
      <w:tr w14:paraId="0C95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7DA0D2E">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0ABFFB90">
            <w:pPr>
              <w:spacing w:line="240" w:lineRule="auto"/>
              <w:ind w:firstLine="0"/>
              <w:jc w:val="center"/>
              <w:rPr>
                <w:rFonts w:eastAsia="黑体"/>
                <w:sz w:val="20"/>
              </w:rPr>
            </w:pPr>
            <w:r>
              <w:rPr>
                <w:rFonts w:eastAsia="黑体"/>
                <w:sz w:val="20"/>
              </w:rPr>
              <w:t>1358</w:t>
            </w:r>
          </w:p>
        </w:tc>
      </w:tr>
      <w:tr w14:paraId="79DA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A7CCED2">
            <w:pPr>
              <w:spacing w:line="240" w:lineRule="auto"/>
              <w:ind w:firstLine="0"/>
              <w:jc w:val="center"/>
              <w:rPr>
                <w:rFonts w:eastAsia="宋体"/>
                <w:snapToGrid/>
                <w:color w:val="000000"/>
                <w:sz w:val="20"/>
              </w:rPr>
            </w:pPr>
            <w:r>
              <w:rPr>
                <w:rFonts w:eastAsia="宋体"/>
                <w:snapToGrid/>
                <w:color w:val="000000"/>
                <w:sz w:val="20"/>
              </w:rPr>
              <w:t>第二十条第（六）项</w:t>
            </w:r>
          </w:p>
        </w:tc>
      </w:tr>
      <w:tr w14:paraId="0822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025EB99">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0A412A07">
            <w:pPr>
              <w:spacing w:line="240" w:lineRule="auto"/>
              <w:ind w:firstLine="0"/>
              <w:jc w:val="center"/>
              <w:rPr>
                <w:rFonts w:eastAsia="黑体"/>
                <w:sz w:val="20"/>
              </w:rPr>
            </w:pPr>
            <w:r>
              <w:rPr>
                <w:rFonts w:eastAsia="宋体"/>
                <w:snapToGrid/>
                <w:color w:val="000000"/>
                <w:sz w:val="20"/>
              </w:rPr>
              <w:t>本年处理决定数量</w:t>
            </w:r>
          </w:p>
        </w:tc>
      </w:tr>
      <w:tr w14:paraId="003B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589" w:type="dxa"/>
            <w:vAlign w:val="center"/>
          </w:tcPr>
          <w:p w14:paraId="710A539E">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4792FA01">
            <w:pPr>
              <w:spacing w:line="240" w:lineRule="auto"/>
              <w:ind w:firstLine="0"/>
              <w:jc w:val="center"/>
              <w:rPr>
                <w:rFonts w:eastAsia="黑体"/>
                <w:sz w:val="20"/>
              </w:rPr>
            </w:pPr>
            <w:r>
              <w:rPr>
                <w:rFonts w:hint="eastAsia" w:eastAsia="黑体"/>
                <w:sz w:val="20"/>
              </w:rPr>
              <w:t>899</w:t>
            </w:r>
          </w:p>
        </w:tc>
      </w:tr>
      <w:tr w14:paraId="0D9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252C020">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30822DF2">
            <w:pPr>
              <w:spacing w:line="240" w:lineRule="auto"/>
              <w:ind w:firstLine="0"/>
              <w:jc w:val="center"/>
              <w:rPr>
                <w:rFonts w:eastAsia="黑体"/>
                <w:sz w:val="20"/>
              </w:rPr>
            </w:pPr>
            <w:r>
              <w:rPr>
                <w:rFonts w:hint="eastAsia" w:eastAsia="黑体"/>
                <w:sz w:val="20"/>
              </w:rPr>
              <w:t>96</w:t>
            </w:r>
          </w:p>
        </w:tc>
      </w:tr>
      <w:tr w14:paraId="6403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0C2F7BF">
            <w:pPr>
              <w:spacing w:line="240" w:lineRule="auto"/>
              <w:ind w:firstLine="0"/>
              <w:jc w:val="center"/>
              <w:rPr>
                <w:rFonts w:eastAsia="宋体"/>
                <w:snapToGrid/>
                <w:color w:val="000000"/>
                <w:sz w:val="20"/>
              </w:rPr>
            </w:pPr>
            <w:r>
              <w:rPr>
                <w:rFonts w:eastAsia="宋体"/>
                <w:snapToGrid/>
                <w:color w:val="000000"/>
                <w:sz w:val="20"/>
              </w:rPr>
              <w:t>第二十条第（八）项</w:t>
            </w:r>
          </w:p>
        </w:tc>
      </w:tr>
      <w:tr w14:paraId="024D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AD17A7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22ED0983">
            <w:pPr>
              <w:spacing w:line="240" w:lineRule="auto"/>
              <w:ind w:firstLine="0"/>
              <w:jc w:val="center"/>
              <w:rPr>
                <w:rFonts w:eastAsia="黑体"/>
                <w:sz w:val="20"/>
              </w:rPr>
            </w:pPr>
            <w:r>
              <w:rPr>
                <w:rFonts w:eastAsia="宋体"/>
                <w:snapToGrid/>
                <w:color w:val="000000"/>
                <w:sz w:val="20"/>
              </w:rPr>
              <w:t>本年收费金额（单位：万元）</w:t>
            </w:r>
          </w:p>
        </w:tc>
      </w:tr>
      <w:tr w14:paraId="39B3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26C6937">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092CCC06">
            <w:pPr>
              <w:spacing w:line="240" w:lineRule="auto"/>
              <w:ind w:firstLine="0"/>
              <w:jc w:val="center"/>
              <w:rPr>
                <w:rFonts w:eastAsia="黑体"/>
                <w:sz w:val="20"/>
              </w:rPr>
            </w:pPr>
            <w:r>
              <w:rPr>
                <w:rFonts w:eastAsia="黑体"/>
                <w:sz w:val="20"/>
              </w:rPr>
              <w:t>0</w:t>
            </w:r>
          </w:p>
        </w:tc>
      </w:tr>
    </w:tbl>
    <w:p w14:paraId="344A2BDB">
      <w:pPr>
        <w:spacing w:line="240" w:lineRule="auto"/>
        <w:ind w:firstLine="0"/>
        <w:rPr>
          <w:rFonts w:eastAsia="黑体"/>
          <w:sz w:val="30"/>
          <w:szCs w:val="30"/>
        </w:rPr>
      </w:pPr>
    </w:p>
    <w:p w14:paraId="7016F7D4">
      <w:pPr>
        <w:spacing w:line="240" w:lineRule="auto"/>
        <w:ind w:firstLine="0"/>
        <w:rPr>
          <w:rFonts w:eastAsia="黑体"/>
          <w:sz w:val="30"/>
          <w:szCs w:val="30"/>
        </w:rPr>
      </w:pPr>
    </w:p>
    <w:p w14:paraId="2F37E6C5">
      <w:pPr>
        <w:spacing w:line="240" w:lineRule="auto"/>
        <w:ind w:firstLine="0"/>
        <w:rPr>
          <w:rFonts w:eastAsia="黑体"/>
          <w:sz w:val="30"/>
          <w:szCs w:val="30"/>
        </w:rPr>
      </w:pPr>
    </w:p>
    <w:p w14:paraId="1BBE2072">
      <w:pPr>
        <w:spacing w:line="240" w:lineRule="auto"/>
        <w:ind w:firstLine="0"/>
        <w:rPr>
          <w:rFonts w:eastAsia="黑体"/>
          <w:sz w:val="30"/>
          <w:szCs w:val="30"/>
        </w:rPr>
      </w:pPr>
    </w:p>
    <w:p w14:paraId="5F163FC1">
      <w:pPr>
        <w:spacing w:line="240" w:lineRule="auto"/>
        <w:ind w:firstLine="0"/>
        <w:rPr>
          <w:rFonts w:eastAsia="黑体"/>
          <w:sz w:val="30"/>
          <w:szCs w:val="30"/>
        </w:rPr>
      </w:pPr>
    </w:p>
    <w:p w14:paraId="32713839">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4C1F361A">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EDC9D52">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B22C9BC">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4663FD9E">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4C8E3E1">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543E1A0">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DE66176">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73646C40">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75E5EFAB">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47269D3">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02A9B6C2">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EEDB0F">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733A93B7">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A1B2B5">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4BEA5174">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99872F2">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7820FF6">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319F82">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2E0011A">
            <w:pPr>
              <w:widowControl/>
              <w:autoSpaceDE/>
              <w:autoSpaceDN/>
              <w:snapToGrid/>
              <w:spacing w:line="240" w:lineRule="auto"/>
              <w:ind w:firstLine="0"/>
              <w:jc w:val="left"/>
              <w:rPr>
                <w:rFonts w:eastAsia="宋体"/>
                <w:snapToGrid/>
                <w:sz w:val="24"/>
                <w:szCs w:val="24"/>
              </w:rPr>
            </w:pPr>
          </w:p>
        </w:tc>
      </w:tr>
      <w:tr w14:paraId="0B8FF37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6F2AD9F">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35644A8">
            <w:pPr>
              <w:widowControl/>
              <w:autoSpaceDE/>
              <w:autoSpaceDN/>
              <w:snapToGrid/>
              <w:spacing w:line="240" w:lineRule="auto"/>
              <w:ind w:firstLine="0"/>
              <w:jc w:val="center"/>
              <w:rPr>
                <w:rFonts w:eastAsia="宋体"/>
                <w:snapToGrid/>
                <w:sz w:val="24"/>
                <w:szCs w:val="24"/>
              </w:rPr>
            </w:pPr>
            <w:r>
              <w:rPr>
                <w:rFonts w:eastAsia="宋体"/>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B81D4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F650D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C3F735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8E9891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9C63B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F9A0FCB">
            <w:pPr>
              <w:widowControl/>
              <w:autoSpaceDE/>
              <w:autoSpaceDN/>
              <w:snapToGrid/>
              <w:spacing w:line="240" w:lineRule="auto"/>
              <w:ind w:firstLine="0"/>
              <w:jc w:val="center"/>
              <w:rPr>
                <w:rFonts w:eastAsia="宋体"/>
                <w:snapToGrid/>
                <w:sz w:val="24"/>
                <w:szCs w:val="24"/>
              </w:rPr>
            </w:pPr>
            <w:r>
              <w:rPr>
                <w:rFonts w:eastAsia="宋体"/>
                <w:snapToGrid/>
                <w:sz w:val="20"/>
              </w:rPr>
              <w:t>2</w:t>
            </w:r>
          </w:p>
        </w:tc>
      </w:tr>
      <w:tr w14:paraId="6AAED3F9">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7C21B45">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C660A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F2E35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2D88E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A46B0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261EB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3E4F9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F609929">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1EA73198">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7595A807">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C0676A7">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DA4F3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A3AC1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EB290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3896DF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F5B5E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69E6A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25E2D1E">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38174C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44B161">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9B4B085">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ACFF4F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DC7AE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8F822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3477D3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80339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F8282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F20E41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0B1205F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DBC181">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9300E45">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45AE6C8">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CB5F51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CA89A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6A030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910CC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C8FD8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B6F5D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498121D">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3E414B3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05455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49A856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1CDDC74">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15CB7F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21392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A2ED5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84D999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585BDB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19A58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B8E5F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5C4D1CF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46A22A4">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FAE627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A9E09DF">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F58D8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375E5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464F4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6891E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14CB4A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D4FE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09D3DDD">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4286013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ACAAF07">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9A4096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EA52170">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31D980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DFE26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22DD8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0B6EC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748C9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99551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CD278BF">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512C94A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C4AC7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A3028F4">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2D6CAD3">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6BF9D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AC745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90518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5C1BB7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9ADAD0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07750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787D8D4">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153C7DF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5162618">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C703EA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7FD8B6">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659D01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B9C94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5503B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C6BC5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E8BF9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84755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255D38">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669D8CA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23DA081">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A2D9E3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C3EC100">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3B2BC3">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43B57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7D237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71B74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13F533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F45A6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342DAB1">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14:paraId="08E998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37FE2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D761C9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E4FD63">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EB554F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C501F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4D5C3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53936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BAC76F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C5C3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E751136">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1892F66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8058E4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5513428">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A867E50">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F8D74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6406D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7A916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3A9E57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251E9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413F5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73F8C98">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3C974DC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2E2C92">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A500FD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E911D56">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8C4B3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A167D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1A911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A31AC5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22B979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72283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ABEAFE">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22E9806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A66DE9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A4437A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A3E7B8E">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BC273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F4ACD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C4102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7C7031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4590B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28F5D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DC8FD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256A36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7CB31B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62DD98A">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825536D">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826FF2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F8121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2588E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F3740C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34D065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2C681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08D73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607AA48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363D2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DE41B1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30C3A45">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B27B47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6CC36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544AF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4BAF8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B0AF2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CCC13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40A0ECD">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10EB90A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CF3F08">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3B329E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DCCB83E">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0A8F3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7A751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CDE4E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C847D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18F94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D8280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108F36">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022283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FAD1877">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68A1A0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866E446">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D336CF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9C726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830B3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0C8C0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463733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D81A4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38599B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2A3BCA9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17FE3BAB">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7E8C72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6F2339C7">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3781F4B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D22811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6353EA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5E80E35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4FD2410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F3361D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2A689F4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467D8E5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4E42B9C">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2403C90E">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2519329">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E7FED3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C48B5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9C882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AEC617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FB7DA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E3E1C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F6628C3">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551F2B0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B5D3E4">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7EE7E6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482CCFE">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84C1A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0FE50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03BFF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A6252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0A34B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382E8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EADFDD">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2CDC328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CAF3F6">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69E3513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B6585E5">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64EEC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801F7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A01C3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D3724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A9FA53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D9E44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1957AED">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77DF56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FB79CDB">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82EB258">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5FFCF9">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9CA89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13B56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241CB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57BCE8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7DF99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B026EC">
            <w:pPr>
              <w:widowControl/>
              <w:autoSpaceDE/>
              <w:autoSpaceDN/>
              <w:snapToGrid/>
              <w:spacing w:line="240" w:lineRule="auto"/>
              <w:ind w:firstLine="0"/>
              <w:jc w:val="center"/>
              <w:rPr>
                <w:rFonts w:eastAsia="宋体"/>
                <w:snapToGrid/>
                <w:sz w:val="24"/>
                <w:szCs w:val="24"/>
              </w:rPr>
            </w:pPr>
            <w:r>
              <w:rPr>
                <w:rFonts w:eastAsia="宋体"/>
                <w:snapToGrid/>
                <w:sz w:val="20"/>
              </w:rPr>
              <w:t>1</w:t>
            </w:r>
          </w:p>
        </w:tc>
      </w:tr>
      <w:tr w14:paraId="53BB3E3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DBBD4AD">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7B2B15">
            <w:pPr>
              <w:widowControl/>
              <w:autoSpaceDE/>
              <w:autoSpaceDN/>
              <w:snapToGrid/>
              <w:spacing w:line="240" w:lineRule="auto"/>
              <w:ind w:firstLine="0"/>
              <w:jc w:val="center"/>
              <w:rPr>
                <w:rFonts w:eastAsia="宋体"/>
                <w:snapToGrid/>
                <w:sz w:val="24"/>
                <w:szCs w:val="24"/>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EC4FD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407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84321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348D7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C430D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E424054">
            <w:pPr>
              <w:widowControl/>
              <w:autoSpaceDE/>
              <w:autoSpaceDN/>
              <w:snapToGrid/>
              <w:spacing w:line="240" w:lineRule="auto"/>
              <w:ind w:firstLine="0"/>
              <w:jc w:val="center"/>
              <w:rPr>
                <w:rFonts w:eastAsia="宋体"/>
                <w:snapToGrid/>
                <w:sz w:val="24"/>
                <w:szCs w:val="24"/>
              </w:rPr>
            </w:pPr>
            <w:r>
              <w:rPr>
                <w:rFonts w:eastAsia="宋体"/>
                <w:snapToGrid/>
                <w:sz w:val="20"/>
              </w:rPr>
              <w:t>1</w:t>
            </w:r>
          </w:p>
        </w:tc>
      </w:tr>
    </w:tbl>
    <w:p w14:paraId="18F0A18B">
      <w:pPr>
        <w:spacing w:line="240" w:lineRule="auto"/>
        <w:ind w:firstLine="600" w:firstLineChars="200"/>
        <w:rPr>
          <w:rFonts w:eastAsia="黑体"/>
          <w:sz w:val="30"/>
          <w:szCs w:val="30"/>
        </w:rPr>
      </w:pPr>
    </w:p>
    <w:p w14:paraId="46E29C53">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26C6B46">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4C12B">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6D2029">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57244EAF">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2D5A3A">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99416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0562A3">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1D5F44">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DF6886">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F9C840">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D49F4">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4F0CB89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7731961">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5170E385">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484A44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8508831">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47656B3">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270F0D">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8753F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DAACC8">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308407">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104A5C">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3E2EB">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B093C9">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4138A8">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2A5A37">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117959">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14:paraId="7332FCB5">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D6656B">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DBCA10">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19591B">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A9B243">
            <w:pPr>
              <w:widowControl/>
              <w:autoSpaceDE/>
              <w:autoSpaceDN/>
              <w:snapToGrid/>
              <w:spacing w:line="240" w:lineRule="auto"/>
              <w:ind w:firstLine="0"/>
              <w:jc w:val="center"/>
              <w:rPr>
                <w:rFonts w:eastAsia="宋体"/>
                <w:snapToGrid/>
                <w:sz w:val="20"/>
              </w:rPr>
            </w:pPr>
            <w:r>
              <w:rPr>
                <w:rFonts w:eastAsia="宋体"/>
                <w:snapToGrid/>
                <w:sz w:val="20"/>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DEC13E">
            <w:pPr>
              <w:widowControl/>
              <w:autoSpaceDE/>
              <w:autoSpaceDN/>
              <w:snapToGrid/>
              <w:spacing w:line="240" w:lineRule="auto"/>
              <w:ind w:firstLine="0"/>
              <w:jc w:val="center"/>
              <w:rPr>
                <w:rFonts w:eastAsia="宋体"/>
                <w:snapToGrid/>
                <w:sz w:val="20"/>
              </w:rPr>
            </w:pPr>
            <w:r>
              <w:rPr>
                <w:rFonts w:eastAsia="宋体"/>
                <w:snapToGrid/>
                <w:sz w:val="20"/>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1E316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62E5BF">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585CAD">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A6A4A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C2ECC3">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E57EFE">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51CF8B">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8E7A72">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FAFDD6">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4F6707">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486644AA">
      <w:pPr>
        <w:spacing w:line="560" w:lineRule="exact"/>
        <w:ind w:firstLine="640" w:firstLineChars="200"/>
        <w:rPr>
          <w:rFonts w:eastAsia="黑体"/>
          <w:szCs w:val="32"/>
        </w:rPr>
      </w:pPr>
      <w:r>
        <w:rPr>
          <w:rFonts w:eastAsia="黑体"/>
          <w:szCs w:val="32"/>
        </w:rPr>
        <w:t>五、存在的主要问题及改进情况</w:t>
      </w:r>
    </w:p>
    <w:p w14:paraId="0691AF1A">
      <w:pPr>
        <w:spacing w:line="560" w:lineRule="exact"/>
        <w:ind w:firstLine="640" w:firstLineChars="200"/>
        <w:rPr>
          <w:rFonts w:eastAsia="楷体_GB2312"/>
          <w:szCs w:val="32"/>
        </w:rPr>
      </w:pPr>
      <w:r>
        <w:rPr>
          <w:rFonts w:eastAsia="楷体_GB2312"/>
          <w:szCs w:val="32"/>
        </w:rPr>
        <w:t>（一）存在问题</w:t>
      </w:r>
    </w:p>
    <w:p w14:paraId="57F3A2B9">
      <w:pPr>
        <w:spacing w:line="560" w:lineRule="exact"/>
        <w:ind w:firstLine="640" w:firstLineChars="200"/>
        <w:rPr>
          <w:rFonts w:eastAsia="仿宋_GB2312"/>
          <w:szCs w:val="32"/>
        </w:rPr>
      </w:pPr>
      <w:r>
        <w:rPr>
          <w:rFonts w:eastAsia="仿宋_GB2312"/>
          <w:szCs w:val="32"/>
        </w:rPr>
        <w:t>一是信息公开前审查力度不够，虽未出现泄密事件，但在已公开信息中存在错别字、敏感词的问题。</w:t>
      </w:r>
    </w:p>
    <w:p w14:paraId="18D5D11D">
      <w:pPr>
        <w:spacing w:line="560" w:lineRule="exact"/>
        <w:ind w:firstLine="640" w:firstLineChars="200"/>
        <w:rPr>
          <w:rFonts w:eastAsia="仿宋_GB2312"/>
          <w:szCs w:val="32"/>
        </w:rPr>
      </w:pPr>
      <w:r>
        <w:rPr>
          <w:rFonts w:eastAsia="仿宋_GB2312"/>
          <w:szCs w:val="32"/>
        </w:rPr>
        <w:t>二是食品药品监管投诉举报信息还需进一步公开，存在投诉举报途径公开不到位的情况。</w:t>
      </w:r>
    </w:p>
    <w:p w14:paraId="1A7E6366">
      <w:pPr>
        <w:spacing w:line="560" w:lineRule="exact"/>
        <w:ind w:firstLine="640" w:firstLineChars="200"/>
        <w:rPr>
          <w:rFonts w:eastAsia="楷体_GB2312"/>
          <w:szCs w:val="32"/>
        </w:rPr>
      </w:pPr>
      <w:r>
        <w:rPr>
          <w:rFonts w:eastAsia="楷体_GB2312"/>
          <w:szCs w:val="32"/>
        </w:rPr>
        <w:t>（二）改进情况</w:t>
      </w:r>
    </w:p>
    <w:p w14:paraId="0E8809AB">
      <w:pPr>
        <w:spacing w:line="560" w:lineRule="exact"/>
        <w:ind w:firstLine="640" w:firstLineChars="200"/>
        <w:rPr>
          <w:rFonts w:eastAsia="仿宋_GB2312"/>
          <w:szCs w:val="32"/>
        </w:rPr>
      </w:pPr>
      <w:r>
        <w:rPr>
          <w:rFonts w:eastAsia="仿宋_GB2312"/>
          <w:szCs w:val="32"/>
        </w:rPr>
        <w:t>一是进一步落实信息公开前审查机制，细化审核内容，重点做好个人隐私、敏感词汇以及其他不适合公开的内容的审查把关，同时加强拟稿人员培训工作，从源头减少错敏词出现情况。年对累计整改错别字问题20余处，提高了信息公开质量。</w:t>
      </w:r>
    </w:p>
    <w:p w14:paraId="6CCA2371">
      <w:pPr>
        <w:spacing w:line="560" w:lineRule="exact"/>
        <w:ind w:firstLine="640" w:firstLineChars="200"/>
        <w:rPr>
          <w:rFonts w:eastAsia="楷体_GB2312"/>
          <w:szCs w:val="32"/>
        </w:rPr>
      </w:pPr>
      <w:r>
        <w:rPr>
          <w:rFonts w:eastAsia="仿宋_GB2312"/>
          <w:szCs w:val="32"/>
        </w:rPr>
        <w:t>二是加大食品药品监管投诉举报信息公开力度，发布《食品药品投诉举报指南》，优化投诉举报受理途径信息，年内对现场受理、信函受理、网络受理等渠道进行了优化，增加了流程图等内容，提高了信息公开的规范化水平。</w:t>
      </w:r>
    </w:p>
    <w:p w14:paraId="15EE4CB2">
      <w:pPr>
        <w:spacing w:line="560" w:lineRule="exact"/>
        <w:ind w:firstLine="640" w:firstLineChars="200"/>
        <w:rPr>
          <w:rFonts w:eastAsia="黑体"/>
          <w:szCs w:val="32"/>
        </w:rPr>
      </w:pPr>
      <w:r>
        <w:rPr>
          <w:rFonts w:eastAsia="黑体"/>
          <w:szCs w:val="32"/>
        </w:rPr>
        <w:t>六、其他需要报告的事项</w:t>
      </w:r>
    </w:p>
    <w:p w14:paraId="20EDA7FD">
      <w:pPr>
        <w:spacing w:line="560" w:lineRule="exact"/>
        <w:ind w:firstLine="640" w:firstLineChars="200"/>
        <w:jc w:val="left"/>
        <w:rPr>
          <w:rFonts w:eastAsia="楷体_GB2312"/>
          <w:szCs w:val="32"/>
        </w:rPr>
      </w:pPr>
      <w:r>
        <w:rPr>
          <w:rFonts w:eastAsia="楷体_GB2312"/>
          <w:szCs w:val="32"/>
        </w:rPr>
        <w:t>（一）政府信息公开信息处理费收取情况</w:t>
      </w:r>
    </w:p>
    <w:p w14:paraId="018DB99A">
      <w:pPr>
        <w:spacing w:line="560" w:lineRule="exact"/>
        <w:ind w:firstLine="640" w:firstLineChars="200"/>
        <w:rPr>
          <w:rFonts w:eastAsia="仿宋_GB2312"/>
          <w:szCs w:val="32"/>
        </w:rPr>
      </w:pPr>
      <w:bookmarkStart w:id="2" w:name="OLE_LINK4"/>
      <w:bookmarkStart w:id="3" w:name="OLE_LINK5"/>
      <w:r>
        <w:rPr>
          <w:rFonts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2024年本机关在办理政府信息公开申请过程中未收取信息处理费。</w:t>
      </w:r>
    </w:p>
    <w:bookmarkEnd w:id="2"/>
    <w:bookmarkEnd w:id="3"/>
    <w:p w14:paraId="73423DE6">
      <w:pPr>
        <w:spacing w:line="560" w:lineRule="exact"/>
        <w:ind w:firstLine="640" w:firstLineChars="200"/>
        <w:jc w:val="left"/>
        <w:rPr>
          <w:rFonts w:eastAsia="楷体_GB2312"/>
          <w:szCs w:val="32"/>
        </w:rPr>
      </w:pPr>
      <w:r>
        <w:rPr>
          <w:rFonts w:eastAsia="楷体_GB2312"/>
          <w:szCs w:val="32"/>
        </w:rPr>
        <w:t>（二）落实上级年度政务公开工作要点情况</w:t>
      </w:r>
    </w:p>
    <w:p w14:paraId="11E8009F">
      <w:pPr>
        <w:spacing w:line="560" w:lineRule="exact"/>
        <w:ind w:firstLine="640" w:firstLineChars="200"/>
        <w:rPr>
          <w:rFonts w:eastAsia="仿宋_GB2312"/>
          <w:szCs w:val="32"/>
        </w:rPr>
      </w:pPr>
      <w:r>
        <w:rPr>
          <w:rFonts w:eastAsia="仿宋_GB2312"/>
          <w:szCs w:val="32"/>
        </w:rPr>
        <w:t>根据《2024年高青县政务公开工作方案》（高政办字〔2024〕11号）要求，制定了《2024年高青县市场监督管理局政务公开工作方案》》，重点围绕以公开助推重点工作落实、夯实政务公开基础等方面深化政务公开。</w:t>
      </w:r>
      <w:r>
        <w:rPr>
          <w:rFonts w:eastAsia="仿宋_GB2312"/>
        </w:rPr>
        <w:t>一是积极回应社会关切问题，利用微信公众号开展“你点我检”活动并及时向社会公开结果。对照《食品药品监管领域基层政务公开标准指引》，主动公开食品领域抽检信息、日常监督检查情况、投诉维权途径等信息。加强产品质量领域信息公示力度，促进产品质量提升</w:t>
      </w:r>
      <w:r>
        <w:rPr>
          <w:rFonts w:eastAsia="仿宋_GB2312"/>
          <w:szCs w:val="32"/>
        </w:rPr>
        <w:t>。二是开展形式多样的政府信息公开宣传活动，本年度进行了食品安全宣传周、公平竞争政策进企业、涉外企业知识产权保护专题讲座等形式多样的政府信息公开宣传活动，对优化营商环境，助力企业创新发展产生积极影响。三是平台建设方面充分利用新媒体增加社会宣教影响力度，借助微信、最高青等线上平台发布消费提示警示、经营者告诫函，积极维护市场秩序，增强经营者知法守法意识和合法合规理念。</w:t>
      </w:r>
    </w:p>
    <w:p w14:paraId="1B5F682D">
      <w:pPr>
        <w:spacing w:line="560" w:lineRule="exact"/>
        <w:ind w:firstLine="640" w:firstLineChars="200"/>
        <w:jc w:val="left"/>
        <w:rPr>
          <w:rFonts w:eastAsia="楷体_GB2312"/>
          <w:szCs w:val="32"/>
        </w:rPr>
      </w:pPr>
      <w:r>
        <w:rPr>
          <w:rFonts w:eastAsia="楷体_GB2312"/>
          <w:szCs w:val="32"/>
        </w:rPr>
        <w:t>（三）人大代表建议和政协委员提案办理结果公开情况</w:t>
      </w:r>
    </w:p>
    <w:p w14:paraId="71756CA4">
      <w:pPr>
        <w:spacing w:line="560" w:lineRule="exact"/>
        <w:ind w:firstLine="640" w:firstLineChars="200"/>
        <w:rPr>
          <w:rFonts w:eastAsia="仿宋_GB2312"/>
          <w:szCs w:val="32"/>
        </w:rPr>
      </w:pPr>
      <w:r>
        <w:rPr>
          <w:rFonts w:eastAsia="仿宋_GB2312"/>
          <w:szCs w:val="32"/>
        </w:rPr>
        <w:t>2024年共承办县十八届人大三次会议建议1件，承办县政协十五届三次会议提案7件，办复率均为100%。除涉及国家秘密、工作秘密的，所有建议提案办理复文或摘要以及办理总体情况均在县政府门户网站建议提案办理专题中予以公开。</w:t>
      </w:r>
    </w:p>
    <w:p w14:paraId="69BFDF6A">
      <w:pPr>
        <w:spacing w:line="560" w:lineRule="exact"/>
        <w:ind w:firstLine="640" w:firstLineChars="200"/>
        <w:jc w:val="left"/>
        <w:rPr>
          <w:rFonts w:eastAsia="楷体_GB2312"/>
          <w:szCs w:val="32"/>
        </w:rPr>
      </w:pPr>
      <w:r>
        <w:rPr>
          <w:rFonts w:eastAsia="楷体_GB2312"/>
          <w:szCs w:val="32"/>
        </w:rPr>
        <w:t>（四）政务公开工作创新情况</w:t>
      </w:r>
    </w:p>
    <w:p w14:paraId="72B415AC">
      <w:pPr>
        <w:spacing w:line="560" w:lineRule="exact"/>
        <w:ind w:firstLine="640" w:firstLineChars="200"/>
        <w:jc w:val="left"/>
        <w:rPr>
          <w:rFonts w:eastAsia="仿宋_GB2312"/>
          <w:szCs w:val="32"/>
        </w:rPr>
      </w:pPr>
      <w:r>
        <w:rPr>
          <w:rFonts w:eastAsia="仿宋_GB2312"/>
          <w:szCs w:val="32"/>
        </w:rPr>
        <w:t>加强与电视、报刊等新闻媒体的联系沟通，积极通过主流渠道发出市场监管声音，落实新闻发布会制度全面推进政务公开，通过现场问答的方式，让群众能够更加直观的了解相关工作的开展落实情况。</w:t>
      </w:r>
    </w:p>
    <w:p w14:paraId="2B5F6EA4">
      <w:pPr>
        <w:spacing w:line="560" w:lineRule="exact"/>
        <w:ind w:firstLine="640" w:firstLineChars="200"/>
        <w:jc w:val="left"/>
        <w:rPr>
          <w:rFonts w:eastAsia="楷体_GB2312"/>
          <w:szCs w:val="32"/>
        </w:rPr>
      </w:pPr>
      <w:r>
        <w:rPr>
          <w:rFonts w:eastAsia="楷体_GB2312"/>
          <w:szCs w:val="32"/>
        </w:rPr>
        <w:t>（五）有关数据统计说明</w:t>
      </w:r>
    </w:p>
    <w:p w14:paraId="1B29A705">
      <w:pPr>
        <w:spacing w:line="560" w:lineRule="exact"/>
        <w:ind w:firstLine="640" w:firstLineChars="200"/>
        <w:rPr>
          <w:rFonts w:eastAsia="仿宋_GB2312"/>
          <w:szCs w:val="32"/>
        </w:rPr>
      </w:pPr>
      <w:r>
        <w:rPr>
          <w:rFonts w:eastAsia="仿宋_GB2312"/>
          <w:szCs w:val="32"/>
        </w:rPr>
        <w:t>1. 报告中所列数据可能因四舍五入原因与数据直接相加之和存在尾数差异。</w:t>
      </w:r>
    </w:p>
    <w:p w14:paraId="572BB6C4">
      <w:pPr>
        <w:spacing w:line="560" w:lineRule="exact"/>
        <w:ind w:firstLine="640" w:firstLineChars="200"/>
        <w:rPr>
          <w:rFonts w:eastAsia="仿宋_GB2312"/>
          <w:szCs w:val="32"/>
        </w:rPr>
      </w:pPr>
      <w:r>
        <w:rPr>
          <w:rFonts w:eastAsia="仿宋_GB2312"/>
          <w:szCs w:val="32"/>
        </w:rPr>
        <w:t>2. 行政许可数量、行政处罚和行政强制数量，包括已公开和依法未公开的全部处理决定。</w:t>
      </w:r>
    </w:p>
    <w:p w14:paraId="765538FF">
      <w:pPr>
        <w:spacing w:line="560" w:lineRule="exact"/>
        <w:ind w:firstLine="640" w:firstLineChars="200"/>
        <w:rPr>
          <w:rFonts w:eastAsia="仿宋_GB2312"/>
          <w:szCs w:val="32"/>
        </w:rPr>
      </w:pPr>
      <w:r>
        <w:rPr>
          <w:rFonts w:eastAsia="仿宋_GB2312"/>
          <w:szCs w:val="32"/>
        </w:rPr>
        <w:t>3. 行政复议机关作为共同被告的行政诉讼案件，只计算原行为主体的案件数量，不计算行政复议机关的案件数量。</w:t>
      </w:r>
    </w:p>
    <w:p w14:paraId="5A1B8AA4">
      <w:pPr>
        <w:ind w:firstLine="640" w:firstLineChars="200"/>
        <w:jc w:val="left"/>
        <w:rPr>
          <w:rFonts w:eastAsia="仿宋_GB2312"/>
        </w:rPr>
      </w:pPr>
    </w:p>
    <w:p w14:paraId="6DB96516">
      <w:pPr>
        <w:ind w:firstLine="600" w:firstLineChars="200"/>
        <w:jc w:val="left"/>
        <w:rPr>
          <w:rFonts w:eastAsia="楷体_GB2312"/>
          <w:sz w:val="30"/>
          <w:szCs w:val="30"/>
        </w:rPr>
      </w:pPr>
    </w:p>
    <w:p w14:paraId="7EC2F6C6">
      <w:pPr>
        <w:spacing w:line="560" w:lineRule="exact"/>
        <w:ind w:firstLine="600" w:firstLineChars="200"/>
        <w:rPr>
          <w:rFonts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1B1792"/>
    <w:rsid w:val="00210F4D"/>
    <w:rsid w:val="00211942"/>
    <w:rsid w:val="002133C7"/>
    <w:rsid w:val="00263565"/>
    <w:rsid w:val="002961F2"/>
    <w:rsid w:val="002A2C35"/>
    <w:rsid w:val="002E3543"/>
    <w:rsid w:val="00310293"/>
    <w:rsid w:val="003B5255"/>
    <w:rsid w:val="003D6FCB"/>
    <w:rsid w:val="003E75A6"/>
    <w:rsid w:val="003F3279"/>
    <w:rsid w:val="00415AB1"/>
    <w:rsid w:val="004622F8"/>
    <w:rsid w:val="00471AD1"/>
    <w:rsid w:val="004C1750"/>
    <w:rsid w:val="004D241E"/>
    <w:rsid w:val="00515DB1"/>
    <w:rsid w:val="00523855"/>
    <w:rsid w:val="005422B3"/>
    <w:rsid w:val="00591E5D"/>
    <w:rsid w:val="005B13CD"/>
    <w:rsid w:val="005C0F41"/>
    <w:rsid w:val="00640E7D"/>
    <w:rsid w:val="0065765D"/>
    <w:rsid w:val="00673AC7"/>
    <w:rsid w:val="006947A5"/>
    <w:rsid w:val="00697E38"/>
    <w:rsid w:val="00704FCD"/>
    <w:rsid w:val="008C4ED2"/>
    <w:rsid w:val="008F36B3"/>
    <w:rsid w:val="00915D0B"/>
    <w:rsid w:val="009B028C"/>
    <w:rsid w:val="00BE5274"/>
    <w:rsid w:val="00C542CC"/>
    <w:rsid w:val="00C67940"/>
    <w:rsid w:val="00C73BD0"/>
    <w:rsid w:val="00CC2BE7"/>
    <w:rsid w:val="00CC521B"/>
    <w:rsid w:val="00CD1D00"/>
    <w:rsid w:val="00D234BA"/>
    <w:rsid w:val="00E50639"/>
    <w:rsid w:val="00E60B5D"/>
    <w:rsid w:val="00EA0721"/>
    <w:rsid w:val="00ED2963"/>
    <w:rsid w:val="00EF5607"/>
    <w:rsid w:val="00F65C5D"/>
    <w:rsid w:val="00FA216A"/>
    <w:rsid w:val="00FD5381"/>
    <w:rsid w:val="05D50F88"/>
    <w:rsid w:val="113A0476"/>
    <w:rsid w:val="118A0E3F"/>
    <w:rsid w:val="144F7614"/>
    <w:rsid w:val="18D413A8"/>
    <w:rsid w:val="236A73C1"/>
    <w:rsid w:val="23FC1198"/>
    <w:rsid w:val="24B219EB"/>
    <w:rsid w:val="31DFCC7D"/>
    <w:rsid w:val="39184260"/>
    <w:rsid w:val="46C07956"/>
    <w:rsid w:val="4E192EE4"/>
    <w:rsid w:val="5D5E3EEA"/>
    <w:rsid w:val="631D7DBE"/>
    <w:rsid w:val="643F7FFF"/>
    <w:rsid w:val="66B47843"/>
    <w:rsid w:val="6775B57E"/>
    <w:rsid w:val="76533029"/>
    <w:rsid w:val="76D45116"/>
    <w:rsid w:val="77B04585"/>
    <w:rsid w:val="7ADF551C"/>
    <w:rsid w:val="7BCA5416"/>
    <w:rsid w:val="7C9D4E61"/>
    <w:rsid w:val="ECFBC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lang="zh-CN" altLang="en-US"/>
              <a:t>年高青县市场监管局政府信息公开数量</a:t>
            </a:r>
            <a:endParaRPr lang="zh-CN" altLang="en-US"/>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工作表.xlsx]Sheet1'!$A$2:$A$5</c:f>
              <c:strCache>
                <c:ptCount val="4"/>
                <c:pt idx="0">
                  <c:v>市场监管信息</c:v>
                </c:pt>
                <c:pt idx="1">
                  <c:v>行政执法信息</c:v>
                </c:pt>
                <c:pt idx="2">
                  <c:v>“双随机、一公开”信息</c:v>
                </c:pt>
                <c:pt idx="3">
                  <c:v>重要部署执行</c:v>
                </c:pt>
              </c:strCache>
            </c:strRef>
          </c:cat>
          <c:val>
            <c:numRef>
              <c:f>'[新建 XLSX 工作表.xlsx]Sheet1'!$B$2:$B$5</c:f>
              <c:numCache>
                <c:formatCode>General</c:formatCode>
                <c:ptCount val="4"/>
                <c:pt idx="0">
                  <c:v>180</c:v>
                </c:pt>
                <c:pt idx="1">
                  <c:v>33</c:v>
                </c:pt>
                <c:pt idx="2">
                  <c:v>6</c:v>
                </c:pt>
                <c:pt idx="3">
                  <c:v>12</c:v>
                </c:pt>
              </c:numCache>
            </c:numRef>
          </c:val>
        </c:ser>
        <c:dLbls>
          <c:showLegendKey val="0"/>
          <c:showVal val="1"/>
          <c:showCatName val="0"/>
          <c:showSerName val="0"/>
          <c:showPercent val="0"/>
          <c:showBubbleSize val="0"/>
        </c:dLbls>
        <c:gapWidth val="140"/>
        <c:overlap val="-40"/>
        <c:axId val="216269184"/>
        <c:axId val="216272256"/>
      </c:barChart>
      <c:catAx>
        <c:axId val="21626918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272256"/>
        <c:crosses val="autoZero"/>
        <c:auto val="1"/>
        <c:lblAlgn val="ctr"/>
        <c:lblOffset val="100"/>
        <c:noMultiLvlLbl val="0"/>
      </c:catAx>
      <c:valAx>
        <c:axId val="216272256"/>
        <c:scaling>
          <c:orientation val="minMax"/>
        </c:scaling>
        <c:delete val="0"/>
        <c:axPos val="b"/>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269184"/>
        <c:crosses val="autoZero"/>
        <c:crossBetween val="between"/>
      </c:valAx>
      <c:spPr>
        <a:noFill/>
        <a:ln>
          <a:noFill/>
        </a:ln>
        <a:effectLst/>
      </c:spPr>
    </c:plotArea>
    <c:plotVisOnly val="1"/>
    <c:dispBlanksAs val="gap"/>
    <c:showDLblsOverMax val="0"/>
    <c:extLst>
      <c:ext uri="{0b15fc19-7d7d-44ad-8c2d-2c3a37ce22c3}">
        <chartProps xmlns="https://web.wps.cn/et/2018/main" chartId="{ff9b0f1b-74ee-4e29-b148-478c91f3d45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1587</Words>
  <Characters>1708</Characters>
  <Lines>29</Lines>
  <Paragraphs>8</Paragraphs>
  <TotalTime>46</TotalTime>
  <ScaleCrop>false</ScaleCrop>
  <LinksUpToDate>false</LinksUpToDate>
  <CharactersWithSpaces>1708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2022-01-03T01:04:00Z</dcterms:created>
  <dc:creator>lb</dc:creator>
  <cp:lastModifiedBy>玖</cp:lastModifiedBy>
  <dcterms:modified xsi:type="dcterms:W3CDTF">2025-01-22T06:34:30Z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F916B0C2D25643F7A746B3B3DE82ADC0_13</vt:lpwstr>
  </property>
  <property fmtid="{D5CDD505-2E9C-101B-9397-08002B2CF9AE}" pid="4" name="KSOTemplateDocerSaveRecord">
    <vt:lpwstr>eyJoZGlkIjoiZGRhMzVhNzk5MjU2NTEyNmQxODZkZTM1ZDQwZjQyNWUiLCJ1c2VySWQiOiIxMDI0ODcifQ==</vt:lpwstr>
  </property>
</Properties>
</file>