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高青县市场监督管理局政府信息公开指南</w:t>
      </w:r>
    </w:p>
    <w:p>
      <w:pPr>
        <w:spacing w:line="540" w:lineRule="exact"/>
        <w:jc w:val="center"/>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市场监督管理局政府信息公开指南》（以下简称《指南》）由高青县市场监督管理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（一）信息分类和编排体系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本机关在职责范围内，负责主动或依申请公开下列各类政府信息：</w:t>
      </w:r>
    </w:p>
    <w:p>
      <w:pPr>
        <w:tabs>
          <w:tab w:val="left" w:pos="312"/>
        </w:tabs>
        <w:spacing w:line="540" w:lineRule="exact"/>
        <w:ind w:left="640"/>
        <w:rPr>
          <w:rFonts w:ascii="仿宋_GB2312" w:eastAsia="仿宋_GB2312"/>
          <w:sz w:val="32"/>
          <w:szCs w:val="32"/>
        </w:rPr>
      </w:pPr>
      <w:r>
        <w:rPr>
          <w:rFonts w:hint="eastAsia" w:ascii="仿宋_GB2312" w:eastAsia="仿宋_GB2312"/>
          <w:sz w:val="32"/>
          <w:szCs w:val="32"/>
        </w:rPr>
        <w:t>1.机构职能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主要包括：本机关机构设置及主要职能情况；机构领导及分工情况；内设机构设置及职能情况；下属单位设置及职能情况等。办公地址、办公时间、联系方式、负责人姓名、邮政编码等。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主要包括：年度工作计划；本机关阶段性工作计划、工作重点安排等。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主要包括：行政权力清单、责任清单及其动态调整；实施行政处罚、行政强制的依据、条件、程序以及行政处罚决定；产品质量、食品药品安全以及知识产权监管；“双随机、一公开”年度抽查工作计划、随机抽查事项清单、抽查情况和查处结果；重大决策的意见征集、结果反馈、执行效果评估情况；政府工作报告、年度重点工作、民生实事项目等重要部署执行情况；建议提案办理结果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主要包括：财政预算、决算报告及市场监督管理相关数据。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主要包括：本机关人事任免信息；公务员及事业单位工作人员招考的职位、名额、报考条件等事项以及录用结果。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1.高青县人民政府网站（www.gaoqing.gov.cn）。</w:t>
      </w:r>
    </w:p>
    <w:p>
      <w:pPr>
        <w:spacing w:line="540" w:lineRule="exact"/>
        <w:ind w:firstLine="640" w:firstLineChars="200"/>
        <w:jc w:val="left"/>
        <w:rPr>
          <w:rFonts w:ascii="仿宋_GB2312" w:eastAsia="仿宋_GB2312"/>
          <w:sz w:val="32"/>
          <w:szCs w:val="32"/>
        </w:rPr>
      </w:pPr>
      <w:r>
        <w:rPr>
          <w:rFonts w:hint="eastAsia" w:ascii="仿宋_GB2312" w:eastAsia="仿宋_GB2312"/>
          <w:sz w:val="32"/>
          <w:szCs w:val="32"/>
        </w:rPr>
        <w:t>2.《高青县人民政府公报》（http://www.gaoqing.gov.cn/gongkai/channel_c10671/）。</w:t>
      </w:r>
    </w:p>
    <w:p>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pPr>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kern w:val="0"/>
          <w:sz w:val="32"/>
          <w:szCs w:val="32"/>
          <w:highlight w:val="none"/>
          <w14:textFill>
            <w14:solidFill>
              <w14:schemeClr w14:val="tx1"/>
            </w14:solidFill>
          </w14:textFill>
        </w:rPr>
        <w:t>其他：报刊、广播、电视等。</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申请人可到高青县市场监督管理局办公室现场当面提交申请。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地址：</w:t>
      </w:r>
      <w:r>
        <w:rPr>
          <w:rFonts w:ascii="仿宋_GB2312" w:eastAsia="仿宋_GB2312"/>
          <w:sz w:val="32"/>
          <w:szCs w:val="32"/>
        </w:rPr>
        <w:t>山东省淄博市</w:t>
      </w:r>
      <w:r>
        <w:rPr>
          <w:rFonts w:hint="eastAsia" w:ascii="仿宋_GB2312" w:eastAsia="仿宋_GB2312"/>
          <w:sz w:val="32"/>
          <w:szCs w:val="32"/>
        </w:rPr>
        <w:t>高青县高苑路16号。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联系电话：0533-6961467。</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来信请寄：山东省淄博市高青县高苑路16号，高青县市场监督管理局办公室（收），同时须在信封左下角注明“政府信息公开申请”字样；邮政编码：256300。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申请人可通过政府网站提交申请。高青县人民政府网站（www.gaoqing.gov.cn)开通有政府信息公开申请网上提交渠道，受理向本机关提交的政府信息公开申请。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1.申请获取政府信息，应当填写《高青县政府信息公开申请表》，申请表可以从高青县人民政府网站（www.gaoqing.gov.cn)下载、打印，复制有效。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高青县市场监督管理局政府信息公开工作机构和申请受理机构为：高青县市场监督管理局办公室。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办公地址：山东省淄博市高青县高苑路16号。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ascii="仿宋_GB2312" w:eastAsia="仿宋_GB2312"/>
          <w:sz w:val="32"/>
          <w:szCs w:val="32"/>
          <w:u w:val="single"/>
        </w:rPr>
      </w:pPr>
      <w:r>
        <w:rPr>
          <w:rFonts w:hint="eastAsia" w:ascii="仿宋_GB2312" w:eastAsia="仿宋_GB2312"/>
          <w:sz w:val="32"/>
          <w:szCs w:val="32"/>
        </w:rPr>
        <w:t>联系电话：0533-6961467</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传真：0533-6961467 </w:t>
      </w:r>
    </w:p>
    <w:p>
      <w:pPr>
        <w:spacing w:line="540" w:lineRule="exact"/>
        <w:ind w:firstLine="640" w:firstLineChars="200"/>
        <w:rPr>
          <w:rFonts w:ascii="仿宋_GB2312" w:eastAsia="仿宋_GB2312"/>
          <w:color w:val="FF0000"/>
          <w:sz w:val="32"/>
          <w:szCs w:val="32"/>
          <w:u w:val="single"/>
        </w:rPr>
      </w:pPr>
      <w:r>
        <w:rPr>
          <w:rFonts w:hint="eastAsia" w:ascii="仿宋_GB2312" w:eastAsia="仿宋_GB2312"/>
          <w:sz w:val="32"/>
          <w:szCs w:val="32"/>
        </w:rPr>
        <w:t>电子邮箱：gqscjgj@zb.shandong.cn。</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sz w:val="32"/>
          <w:szCs w:val="32"/>
        </w:rPr>
        <w:t>投诉、举报受理机构：</w:t>
      </w:r>
      <w:r>
        <w:rPr>
          <w:rFonts w:hint="eastAsia" w:ascii="仿宋_GB2312" w:eastAsia="仿宋_GB2312"/>
          <w:sz w:val="32"/>
          <w:szCs w:val="32"/>
          <w:highlight w:val="none"/>
        </w:rPr>
        <w:t>高青县人民政府办公室</w:t>
      </w:r>
      <w:r>
        <w:rPr>
          <w:rFonts w:hint="eastAsia" w:ascii="仿宋_GB2312" w:eastAsia="仿宋_GB2312"/>
          <w:color w:val="000000" w:themeColor="text1"/>
          <w:sz w:val="32"/>
          <w:szCs w:val="32"/>
          <w:highlight w:val="none"/>
          <w14:textFill>
            <w14:solidFill>
              <w14:schemeClr w14:val="tx1"/>
            </w14:solidFill>
          </w14:textFill>
        </w:rPr>
        <w:t>政务公开科</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办公地址：</w:t>
      </w:r>
      <w:r>
        <w:rPr>
          <w:rFonts w:hint="eastAsia" w:ascii="仿宋_GB2312" w:eastAsia="仿宋_GB2312"/>
          <w:color w:val="000000" w:themeColor="text1"/>
          <w:kern w:val="0"/>
          <w:sz w:val="32"/>
          <w:szCs w:val="32"/>
          <w:highlight w:val="none"/>
          <w14:textFill>
            <w14:solidFill>
              <w14:schemeClr w14:val="tx1"/>
            </w14:solidFill>
          </w14:textFill>
        </w:rPr>
        <w:t>山东省淄博市</w:t>
      </w:r>
      <w:r>
        <w:rPr>
          <w:rFonts w:hint="eastAsia" w:ascii="仿宋_GB2312" w:eastAsia="仿宋_GB2312"/>
          <w:sz w:val="32"/>
          <w:szCs w:val="32"/>
          <w:highlight w:val="none"/>
        </w:rPr>
        <w:t>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pPr>
        <w:spacing w:line="540" w:lineRule="exact"/>
        <w:ind w:firstLine="640" w:firstLineChars="200"/>
        <w:rPr>
          <w:rStyle w:val="9"/>
          <w:rFonts w:ascii="仿宋_GB2312" w:eastAsia="仿宋_GB2312"/>
          <w:sz w:val="32"/>
          <w:szCs w:val="32"/>
        </w:rPr>
      </w:pPr>
      <w:r>
        <w:rPr>
          <w:rFonts w:hint="eastAsia" w:ascii="仿宋_GB2312" w:eastAsia="仿宋_GB2312"/>
          <w:sz w:val="32"/>
          <w:szCs w:val="32"/>
        </w:rPr>
        <w:t>电子信箱：gqxzfbgsxxzx@zb.shandong.cn</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行政复议机关：高青县人民政府</w:t>
      </w:r>
    </w:p>
    <w:p>
      <w:pPr>
        <w:spacing w:line="54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受理机构：高青县人民政府行政复议办公室</w:t>
      </w:r>
    </w:p>
    <w:p>
      <w:pPr>
        <w:spacing w:line="540" w:lineRule="exact"/>
        <w:ind w:firstLine="640" w:firstLineChars="200"/>
        <w:rPr>
          <w:rFonts w:hint="eastAsia" w:ascii="仿宋_GB2312" w:eastAsia="仿宋_GB2312"/>
          <w:sz w:val="32"/>
          <w:szCs w:val="32"/>
          <w:highlight w:val="none"/>
        </w:rPr>
      </w:pPr>
      <w:r>
        <w:rPr>
          <w:rFonts w:hint="eastAsia" w:ascii="仿宋_GB2312" w:eastAsia="仿宋_GB2312"/>
          <w:color w:val="000000" w:themeColor="text1"/>
          <w:sz w:val="32"/>
          <w:szCs w:val="32"/>
          <w:highlight w:val="none"/>
          <w14:textFill>
            <w14:solidFill>
              <w14:schemeClr w14:val="tx1"/>
            </w14:solidFill>
          </w14:textFill>
        </w:rPr>
        <w:t>办公地址:</w:t>
      </w:r>
      <w:r>
        <w:rPr>
          <w:rFonts w:hint="eastAsia"/>
          <w:color w:val="000000" w:themeColor="text1"/>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山东省淄博市高青县清河路9号县机关综合办公楼916室</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联系电话</w:t>
      </w:r>
      <w:r>
        <w:rPr>
          <w:rFonts w:hint="eastAsia" w:ascii="仿宋_GB2312" w:eastAsia="仿宋_GB2312"/>
          <w:sz w:val="32"/>
          <w:szCs w:val="32"/>
          <w:lang w:eastAsia="zh-CN"/>
        </w:rPr>
        <w:t>：</w:t>
      </w:r>
      <w:r>
        <w:rPr>
          <w:rFonts w:hint="eastAsia" w:ascii="仿宋_GB2312" w:eastAsia="仿宋_GB2312"/>
          <w:sz w:val="32"/>
          <w:szCs w:val="32"/>
        </w:rPr>
        <w:t>0533-6981239</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行政诉讼受理机构：高青县人民法院</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办公地址：山东省淄博市高青县芦湖路以东、长江路以北</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联系电话：0533-6965760</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pPr>
        <w:spacing w:line="540" w:lineRule="exact"/>
        <w:ind w:right="160"/>
        <w:jc w:val="right"/>
        <w:rPr>
          <w:rFonts w:ascii="仿宋_GB2312" w:eastAsia="仿宋_GB2312"/>
          <w:color w:val="FF0000"/>
          <w:sz w:val="32"/>
          <w:szCs w:val="32"/>
        </w:rPr>
      </w:pPr>
    </w:p>
    <w:p>
      <w:pPr>
        <w:spacing w:line="540" w:lineRule="exact"/>
        <w:ind w:right="160"/>
        <w:jc w:val="right"/>
        <w:rPr>
          <w:rFonts w:ascii="仿宋_GB2312" w:eastAsia="仿宋_GB2312"/>
          <w:color w:val="FF0000"/>
          <w:sz w:val="32"/>
          <w:szCs w:val="32"/>
        </w:rPr>
      </w:pPr>
    </w:p>
    <w:p>
      <w:pPr>
        <w:spacing w:line="540" w:lineRule="exact"/>
        <w:ind w:right="160"/>
        <w:jc w:val="right"/>
        <w:rPr>
          <w:rFonts w:ascii="仿宋_GB2312" w:eastAsia="仿宋_GB2312"/>
          <w:color w:val="FF0000"/>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bookmarkStart w:id="0" w:name="_GoBack"/>
      <w:bookmarkEnd w:id="0"/>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MGM1ZjIyYjVhNDYyZTcwZmVlNTc0MTNjN2Q2NTk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34706"/>
    <w:rsid w:val="00A6239C"/>
    <w:rsid w:val="00A749EF"/>
    <w:rsid w:val="00A83F85"/>
    <w:rsid w:val="00A942B6"/>
    <w:rsid w:val="00AB1AC2"/>
    <w:rsid w:val="00AC42F4"/>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09271A88"/>
    <w:rsid w:val="376022A4"/>
    <w:rsid w:val="38C57F7B"/>
    <w:rsid w:val="3F861681"/>
    <w:rsid w:val="4B38649D"/>
    <w:rsid w:val="55DD79A6"/>
    <w:rsid w:val="5CBA524F"/>
    <w:rsid w:val="5E345B18"/>
    <w:rsid w:val="72E033AD"/>
    <w:rsid w:val="748B5FEC"/>
    <w:rsid w:val="76002B96"/>
    <w:rsid w:val="7ED9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FollowedHyperlink"/>
    <w:basedOn w:val="7"/>
    <w:semiHidden/>
    <w:unhideWhenUsed/>
    <w:qFormat/>
    <w:uiPriority w:val="99"/>
    <w:rPr>
      <w:color w:val="800080"/>
      <w:u w:val="none"/>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styleId="10">
    <w:name w:val="HTML Code"/>
    <w:basedOn w:val="7"/>
    <w:semiHidden/>
    <w:unhideWhenUsed/>
    <w:qFormat/>
    <w:uiPriority w:val="99"/>
    <w:rPr>
      <w:rFonts w:ascii="Courier New" w:hAnsi="Courier New"/>
      <w:sz w:val="20"/>
      <w:shd w:val="clear" w:fill="E8E8E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10</Pages>
  <Words>3519</Words>
  <Characters>3943</Characters>
  <Lines>30</Lines>
  <Paragraphs>8</Paragraphs>
  <TotalTime>0</TotalTime>
  <ScaleCrop>false</ScaleCrop>
  <LinksUpToDate>false</LinksUpToDate>
  <CharactersWithSpaces>3994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86156</cp:lastModifiedBy>
  <dcterms:modified xsi:type="dcterms:W3CDTF">2024-11-28T02:55:13Z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211C3993A2B44A478DD308D1F61E74C0</vt:lpwstr>
  </property>
</Properties>
</file>