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高青县市场监督管理局</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2021年政府信息公开工作年度报告</w:t>
      </w:r>
    </w:p>
    <w:p>
      <w:pPr>
        <w:spacing w:line="560" w:lineRule="exact"/>
        <w:jc w:val="center"/>
        <w:rPr>
          <w:rFonts w:ascii="方正小标宋简体" w:hAnsi="方正小标宋简体" w:eastAsia="方正小标宋简体" w:cs="方正小标宋简体"/>
          <w:sz w:val="44"/>
          <w:szCs w:val="44"/>
        </w:rPr>
      </w:pP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报告根据《中华人民共和国政府信息公开条例》（国务院令第711号，以下简称《条例》）要求编制。报告全文分总体情况、主动公开政府信息情况、收到和处理政府信息公开申请情况、政府信息公开行政复议行政诉讼情况、存在的主要问题及改进情况、其他需要报告的事项6个部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告中所列数据统计期限自2021年1月1日始，至2021年12月31日止。报告电子版可在高青县人民政府门户网站（www.gaoqing.gov.cn）查阅和下载。如对报告内容有疑问，请与高青县市场监管局办公室联系（地址：山东省淄博市高青县高苑路16号；邮编：256300；电话：0533-6961467；传真：0533-6961467）。</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一、总体情况</w:t>
      </w:r>
    </w:p>
    <w:p>
      <w:pPr>
        <w:spacing w:line="560" w:lineRule="exact"/>
        <w:ind w:left="630"/>
        <w:rPr>
          <w:rFonts w:ascii="楷体_GB2312" w:hAnsi="楷体_GB2312" w:eastAsia="楷体_GB2312" w:cs="楷体_GB2312"/>
          <w:sz w:val="32"/>
          <w:szCs w:val="32"/>
        </w:rPr>
      </w:pPr>
      <w:r>
        <w:rPr>
          <w:rFonts w:hint="eastAsia" w:ascii="楷体_GB2312" w:hAnsi="楷体_GB2312" w:eastAsia="楷体_GB2312" w:cs="楷体_GB2312"/>
          <w:sz w:val="32"/>
          <w:szCs w:val="32"/>
        </w:rPr>
        <w:t>（一）主动公开</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严格落实《中华人民共和国政府信息公开条例》规定，全力推进政务公开工作开展。2021年，在县政府网站发布高青县食品安全监督抽检信息通告13期。机构职能1条、部门文件8条、政府信息公开指南1条，重大部署执行9条、财政预决算信息3条、“双随机、一公开”信息10条、行政执法信息10条、市场监管20条、人大建议和政协提案办理情况说明3条、其他30条。发布了解读材料1份，针对</w:t>
      </w:r>
      <w:r>
        <w:rPr>
          <w:rFonts w:ascii="仿宋_GB2312" w:hAnsi="仿宋_GB2312" w:eastAsia="仿宋_GB2312" w:cs="仿宋_GB2312"/>
          <w:sz w:val="32"/>
          <w:szCs w:val="32"/>
        </w:rPr>
        <w:t>“双随机、一公开”监管与传统监管方式</w:t>
      </w:r>
      <w:r>
        <w:rPr>
          <w:rFonts w:hint="eastAsia" w:ascii="仿宋_GB2312" w:hAnsi="仿宋_GB2312" w:eastAsia="仿宋_GB2312" w:cs="仿宋_GB2312"/>
          <w:sz w:val="32"/>
          <w:szCs w:val="32"/>
        </w:rPr>
        <w:t>、监管目的和方向，价值取向等进行了详细解读，2021年，我局共收到政协提案2件，人大建议1件，已全部办结，并公开办理结果。</w:t>
      </w:r>
      <w:r>
        <w:rPr>
          <w:rFonts w:ascii="仿宋_GB2312" w:hAnsi="仿宋_GB2312" w:eastAsia="仿宋_GB2312" w:cs="仿宋_GB2312"/>
          <w:sz w:val="32"/>
          <w:szCs w:val="32"/>
        </w:rPr>
        <w:br w:type="textWrapping"/>
      </w:r>
      <w:r>
        <w:rPr>
          <w:rFonts w:hint="eastAsia" w:ascii="仿宋_GB2312" w:eastAsia="仿宋_GB2312" w:cs="仿宋_GB2312"/>
          <w:sz w:val="32"/>
          <w:szCs w:val="32"/>
        </w:rPr>
        <w:drawing>
          <wp:inline distT="0" distB="0" distL="114300" distR="114300">
            <wp:extent cx="5048250" cy="2828925"/>
            <wp:effectExtent l="0" t="0" r="0" b="9525"/>
            <wp:docPr id="4" name="图片 4" descr="具体类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具体类型"/>
                    <pic:cNvPicPr>
                      <a:picLocks noChangeAspect="1"/>
                    </pic:cNvPicPr>
                  </pic:nvPicPr>
                  <pic:blipFill>
                    <a:blip r:embed="rId4"/>
                    <a:stretch>
                      <a:fillRect/>
                    </a:stretch>
                  </pic:blipFill>
                  <pic:spPr>
                    <a:xfrm>
                      <a:off x="0" y="0"/>
                      <a:ext cx="5048250" cy="2828925"/>
                    </a:xfrm>
                    <a:prstGeom prst="rect">
                      <a:avLst/>
                    </a:prstGeom>
                  </pic:spPr>
                </pic:pic>
              </a:graphicData>
            </a:graphic>
          </wp:inline>
        </w:drawing>
      </w:r>
    </w:p>
    <w:p>
      <w:pPr>
        <w:rPr>
          <w:rFonts w:ascii="仿宋_GB2312" w:hAnsi="仿宋_GB2312" w:eastAsia="仿宋_GB2312" w:cs="仿宋_GB2312"/>
          <w:sz w:val="32"/>
          <w:szCs w:val="32"/>
        </w:rPr>
      </w:pPr>
      <w:r>
        <w:rPr>
          <w:rFonts w:hint="eastAsia" w:ascii="仿宋_GB2312" w:eastAsia="仿宋_GB2312" w:cs="仿宋_GB2312"/>
          <w:sz w:val="32"/>
          <w:szCs w:val="32"/>
        </w:rPr>
        <w:drawing>
          <wp:inline distT="0" distB="0" distL="114300" distR="114300">
            <wp:extent cx="5124450" cy="2876550"/>
            <wp:effectExtent l="0" t="0" r="0" b="0"/>
            <wp:docPr id="3" name="图片 3" descr="人大总体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人大总体情况"/>
                    <pic:cNvPicPr>
                      <a:picLocks noChangeAspect="1"/>
                    </pic:cNvPicPr>
                  </pic:nvPicPr>
                  <pic:blipFill>
                    <a:blip r:embed="rId5"/>
                    <a:stretch>
                      <a:fillRect/>
                    </a:stretch>
                  </pic:blipFill>
                  <pic:spPr>
                    <a:xfrm>
                      <a:off x="0" y="0"/>
                      <a:ext cx="5124450" cy="2876550"/>
                    </a:xfrm>
                    <a:prstGeom prst="rect">
                      <a:avLst/>
                    </a:prstGeom>
                  </pic:spPr>
                </pic:pic>
              </a:graphicData>
            </a:graphic>
          </wp:inline>
        </w:drawing>
      </w:r>
    </w:p>
    <w:p>
      <w:pPr>
        <w:spacing w:line="560" w:lineRule="exact"/>
        <w:ind w:left="630"/>
        <w:rPr>
          <w:rFonts w:ascii="楷体_GB2312" w:hAnsi="楷体_GB2312" w:eastAsia="楷体_GB2312" w:cs="楷体_GB2312"/>
          <w:sz w:val="32"/>
          <w:szCs w:val="32"/>
        </w:rPr>
      </w:pPr>
      <w:r>
        <w:rPr>
          <w:rFonts w:hint="eastAsia" w:ascii="楷体_GB2312" w:hAnsi="楷体_GB2312" w:eastAsia="楷体_GB2312" w:cs="楷体_GB2312"/>
          <w:sz w:val="32"/>
          <w:szCs w:val="32"/>
        </w:rPr>
        <w:t>（二）依申请公开</w:t>
      </w:r>
    </w:p>
    <w:p>
      <w:pPr>
        <w:spacing w:line="560" w:lineRule="exact"/>
        <w:ind w:firstLine="640" w:firstLineChars="200"/>
      </w:pPr>
      <w:r>
        <w:rPr>
          <w:rFonts w:hint="eastAsia" w:ascii="仿宋_GB2312" w:eastAsia="仿宋_GB2312"/>
          <w:sz w:val="32"/>
          <w:szCs w:val="32"/>
        </w:rPr>
        <w:t>2021年未收到政府信息公开申请，上年度未结转政府信息公开申请，未因政府信息公开被申请行政复议、提起行政诉讼。</w:t>
      </w:r>
    </w:p>
    <w:p>
      <w:pPr>
        <w:spacing w:line="560" w:lineRule="exact"/>
        <w:ind w:left="630"/>
        <w:rPr>
          <w:rFonts w:ascii="楷体_GB2312" w:hAnsi="楷体_GB2312" w:eastAsia="楷体_GB2312" w:cs="楷体_GB2312"/>
          <w:sz w:val="32"/>
          <w:szCs w:val="32"/>
        </w:rPr>
      </w:pPr>
      <w:r>
        <w:rPr>
          <w:rFonts w:hint="eastAsia" w:ascii="楷体_GB2312" w:hAnsi="楷体_GB2312" w:eastAsia="楷体_GB2312" w:cs="楷体_GB2312"/>
          <w:sz w:val="32"/>
          <w:szCs w:val="32"/>
        </w:rPr>
        <w:t>（三）政府信息管理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制定完善《高青县市场监督管理局政务公开保密审查制度》《政务公开事项标准目录》，严格控制公开事项范围，准确把握信息公开的内容、范围、形式和时限等。制定政府信息动态调整制度，对本单位出台的文件梳理，对已发布的信息及时进行调整。</w:t>
      </w:r>
    </w:p>
    <w:p>
      <w:pPr>
        <w:spacing w:line="560" w:lineRule="exact"/>
        <w:ind w:left="630"/>
        <w:rPr>
          <w:rFonts w:ascii="楷体_GB2312" w:hAnsi="楷体_GB2312" w:eastAsia="楷体_GB2312" w:cs="楷体_GB2312"/>
          <w:sz w:val="32"/>
          <w:szCs w:val="32"/>
        </w:rPr>
      </w:pPr>
      <w:r>
        <w:rPr>
          <w:rFonts w:hint="eastAsia" w:ascii="楷体_GB2312" w:hAnsi="楷体_GB2312" w:eastAsia="楷体_GB2312" w:cs="楷体_GB2312"/>
          <w:sz w:val="32"/>
          <w:szCs w:val="32"/>
        </w:rPr>
        <w:t>（四）政府信息公开平台建设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设立政府信息公开专栏，主动公布信息公开目录和信息公开指南等内容，设置了“市场监管”“政策解读”“社会信用体系”等栏目，按要求对外公开政府信息，做到及时维护和更新。</w:t>
      </w:r>
    </w:p>
    <w:p>
      <w:pPr>
        <w:spacing w:line="560" w:lineRule="exact"/>
        <w:ind w:left="630"/>
        <w:rPr>
          <w:rFonts w:ascii="楷体_GB2312" w:hAnsi="楷体_GB2312" w:eastAsia="楷体_GB2312" w:cs="楷体_GB2312"/>
          <w:sz w:val="32"/>
          <w:szCs w:val="32"/>
        </w:rPr>
      </w:pPr>
      <w:r>
        <w:rPr>
          <w:rFonts w:hint="eastAsia" w:ascii="楷体_GB2312" w:hAnsi="楷体_GB2312" w:eastAsia="楷体_GB2312" w:cs="楷体_GB2312"/>
          <w:sz w:val="32"/>
          <w:szCs w:val="32"/>
        </w:rPr>
        <w:t>（五）监督保障</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整高青县市场监督管理局政务公开工作领导小组，健全完善领导体制和工作机制。明确办公室作为政务公开的牵头部门，开展业务培训，加强对各科室、事业单位、市场监管所政务信息公开工作的督促指导强化重点领域信息公开工作，保障和维护群众的知情权，切实保障群众的合法权益。进一步加大政务公开工作培训力度，以考核促落实，形成了科学合理的考评机制。</w:t>
      </w: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cs="黑体"/>
          <w:sz w:val="32"/>
          <w:szCs w:val="32"/>
        </w:rPr>
        <w:t>二、主动公开政府信息情况</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3"/>
        <w:gridCol w:w="2022"/>
        <w:gridCol w:w="2023"/>
        <w:gridCol w:w="2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jc w:val="center"/>
              <w:rPr>
                <w:rFonts w:ascii="黑体" w:hAnsi="黑体" w:eastAsia="黑体"/>
                <w:sz w:val="20"/>
              </w:rPr>
            </w:pPr>
            <w:r>
              <w:rPr>
                <w:rFonts w:hint="eastAsia" w:ascii="宋体" w:hAnsi="宋体" w:cs="宋体"/>
                <w:color w:val="000000"/>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jc w:val="center"/>
              <w:rPr>
                <w:rFonts w:ascii="宋体" w:hAnsi="宋体" w:cs="宋体"/>
                <w:color w:val="000000"/>
                <w:sz w:val="20"/>
              </w:rPr>
            </w:pPr>
            <w:r>
              <w:rPr>
                <w:rFonts w:hint="eastAsia" w:ascii="宋体" w:hAnsi="宋体" w:cs="宋体"/>
                <w:color w:val="000000"/>
                <w:sz w:val="20"/>
              </w:rPr>
              <w:t>信息内容</w:t>
            </w:r>
          </w:p>
        </w:tc>
        <w:tc>
          <w:tcPr>
            <w:tcW w:w="2130" w:type="dxa"/>
            <w:vAlign w:val="center"/>
          </w:tcPr>
          <w:p>
            <w:pPr>
              <w:widowControl/>
              <w:jc w:val="center"/>
              <w:rPr>
                <w:rFonts w:ascii="宋体" w:hAnsi="宋体" w:cs="宋体"/>
                <w:sz w:val="20"/>
              </w:rPr>
            </w:pPr>
            <w:r>
              <w:rPr>
                <w:rFonts w:hint="eastAsia" w:ascii="宋体" w:hAnsi="宋体" w:cs="宋体"/>
                <w:color w:val="000000"/>
                <w:sz w:val="20"/>
              </w:rPr>
              <w:t>本年</w:t>
            </w:r>
            <w:r>
              <w:rPr>
                <w:rFonts w:ascii="宋体" w:hAnsi="宋体" w:cs="Calibri"/>
                <w:sz w:val="20"/>
              </w:rPr>
              <w:t>制</w:t>
            </w:r>
            <w:r>
              <w:rPr>
                <w:rFonts w:hint="eastAsia" w:ascii="宋体" w:hAnsi="宋体" w:cs="宋体"/>
                <w:sz w:val="20"/>
              </w:rPr>
              <w:t>发件</w:t>
            </w:r>
            <w:r>
              <w:rPr>
                <w:rFonts w:ascii="宋体" w:hAnsi="宋体" w:cs="Calibri"/>
                <w:sz w:val="20"/>
              </w:rPr>
              <w:t>数</w:t>
            </w:r>
          </w:p>
        </w:tc>
        <w:tc>
          <w:tcPr>
            <w:tcW w:w="2131" w:type="dxa"/>
            <w:vAlign w:val="center"/>
          </w:tcPr>
          <w:p>
            <w:pPr>
              <w:widowControl/>
              <w:jc w:val="center"/>
              <w:rPr>
                <w:rFonts w:ascii="宋体" w:hAnsi="宋体" w:cs="宋体"/>
                <w:sz w:val="20"/>
              </w:rPr>
            </w:pPr>
            <w:r>
              <w:rPr>
                <w:rFonts w:hint="eastAsia" w:ascii="宋体" w:hAnsi="宋体" w:cs="宋体"/>
                <w:color w:val="000000"/>
                <w:sz w:val="20"/>
              </w:rPr>
              <w:t>本年废止件数</w:t>
            </w:r>
          </w:p>
        </w:tc>
        <w:tc>
          <w:tcPr>
            <w:tcW w:w="2131" w:type="dxa"/>
            <w:vAlign w:val="center"/>
          </w:tcPr>
          <w:p>
            <w:pPr>
              <w:widowControl/>
              <w:jc w:val="center"/>
              <w:rPr>
                <w:rFonts w:ascii="宋体" w:hAnsi="宋体" w:cs="宋体"/>
                <w:sz w:val="20"/>
              </w:rPr>
            </w:pPr>
            <w:r>
              <w:rPr>
                <w:rFonts w:hint="eastAsia" w:ascii="宋体" w:hAnsi="宋体" w:cs="宋体"/>
                <w:color w:val="000000"/>
                <w:sz w:val="20"/>
              </w:rPr>
              <w:t>现行有效件</w:t>
            </w:r>
            <w:r>
              <w:rPr>
                <w:rFonts w:ascii="宋体" w:hAnsi="宋体" w:cs="Calibri"/>
                <w:sz w:val="20"/>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jc w:val="center"/>
              <w:rPr>
                <w:rFonts w:ascii="宋体" w:hAnsi="宋体" w:cs="宋体"/>
                <w:color w:val="000000"/>
                <w:sz w:val="20"/>
              </w:rPr>
            </w:pPr>
            <w:r>
              <w:rPr>
                <w:rFonts w:hint="eastAsia" w:ascii="宋体" w:hAnsi="宋体" w:cs="宋体"/>
                <w:color w:val="000000"/>
                <w:sz w:val="20"/>
              </w:rPr>
              <w:t>规章</w:t>
            </w:r>
          </w:p>
        </w:tc>
        <w:tc>
          <w:tcPr>
            <w:tcW w:w="2130" w:type="dxa"/>
            <w:vAlign w:val="center"/>
          </w:tcPr>
          <w:p>
            <w:pPr>
              <w:jc w:val="center"/>
              <w:rPr>
                <w:rFonts w:ascii="黑体" w:hAnsi="黑体" w:eastAsia="黑体"/>
                <w:sz w:val="20"/>
              </w:rPr>
            </w:pPr>
            <w:r>
              <w:rPr>
                <w:rFonts w:hint="eastAsia" w:ascii="黑体" w:hAnsi="黑体" w:eastAsia="黑体"/>
                <w:sz w:val="20"/>
              </w:rPr>
              <w:t>0</w:t>
            </w:r>
          </w:p>
        </w:tc>
        <w:tc>
          <w:tcPr>
            <w:tcW w:w="2131" w:type="dxa"/>
            <w:vAlign w:val="center"/>
          </w:tcPr>
          <w:p>
            <w:pPr>
              <w:jc w:val="center"/>
              <w:rPr>
                <w:rFonts w:ascii="黑体" w:hAnsi="黑体" w:eastAsia="黑体"/>
                <w:sz w:val="20"/>
              </w:rPr>
            </w:pPr>
            <w:r>
              <w:rPr>
                <w:rFonts w:hint="eastAsia" w:ascii="黑体" w:hAnsi="黑体" w:eastAsia="黑体"/>
                <w:sz w:val="20"/>
              </w:rPr>
              <w:t>0</w:t>
            </w:r>
          </w:p>
        </w:tc>
        <w:tc>
          <w:tcPr>
            <w:tcW w:w="2131" w:type="dxa"/>
            <w:vAlign w:val="center"/>
          </w:tcPr>
          <w:p>
            <w:pPr>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jc w:val="center"/>
              <w:rPr>
                <w:rFonts w:ascii="宋体" w:hAnsi="宋体" w:cs="宋体"/>
                <w:color w:val="000000"/>
                <w:sz w:val="20"/>
              </w:rPr>
            </w:pPr>
            <w:r>
              <w:rPr>
                <w:rFonts w:hint="eastAsia" w:ascii="宋体" w:hAnsi="宋体" w:cs="宋体"/>
                <w:color w:val="000000"/>
                <w:sz w:val="20"/>
              </w:rPr>
              <w:t>行政规范性文件</w:t>
            </w:r>
          </w:p>
        </w:tc>
        <w:tc>
          <w:tcPr>
            <w:tcW w:w="2130" w:type="dxa"/>
            <w:vAlign w:val="center"/>
          </w:tcPr>
          <w:p>
            <w:pPr>
              <w:jc w:val="center"/>
              <w:rPr>
                <w:rFonts w:ascii="黑体" w:hAnsi="黑体" w:eastAsia="黑体"/>
                <w:sz w:val="20"/>
              </w:rPr>
            </w:pPr>
            <w:r>
              <w:rPr>
                <w:rFonts w:hint="eastAsia" w:ascii="黑体" w:hAnsi="黑体" w:eastAsia="黑体"/>
                <w:sz w:val="20"/>
              </w:rPr>
              <w:t>0</w:t>
            </w:r>
          </w:p>
        </w:tc>
        <w:tc>
          <w:tcPr>
            <w:tcW w:w="2131" w:type="dxa"/>
            <w:vAlign w:val="center"/>
          </w:tcPr>
          <w:p>
            <w:pPr>
              <w:jc w:val="center"/>
              <w:rPr>
                <w:rFonts w:ascii="黑体" w:hAnsi="黑体" w:eastAsia="黑体"/>
                <w:sz w:val="20"/>
              </w:rPr>
            </w:pPr>
            <w:r>
              <w:rPr>
                <w:rFonts w:hint="eastAsia" w:ascii="黑体" w:hAnsi="黑体" w:eastAsia="黑体"/>
                <w:sz w:val="20"/>
              </w:rPr>
              <w:t>0</w:t>
            </w:r>
          </w:p>
        </w:tc>
        <w:tc>
          <w:tcPr>
            <w:tcW w:w="2131" w:type="dxa"/>
            <w:vAlign w:val="center"/>
          </w:tcPr>
          <w:p>
            <w:pPr>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jc w:val="center"/>
              <w:rPr>
                <w:rFonts w:ascii="宋体" w:hAnsi="宋体" w:cs="宋体"/>
                <w:color w:val="000000"/>
                <w:sz w:val="20"/>
              </w:rPr>
            </w:pPr>
            <w:r>
              <w:rPr>
                <w:rFonts w:hint="eastAsia" w:ascii="宋体" w:hAnsi="宋体" w:cs="宋体"/>
                <w:color w:val="000000"/>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jc w:val="center"/>
              <w:rPr>
                <w:rFonts w:ascii="宋体" w:hAnsi="宋体" w:cs="宋体"/>
                <w:color w:val="000000"/>
                <w:sz w:val="20"/>
              </w:rPr>
            </w:pPr>
            <w:r>
              <w:rPr>
                <w:rFonts w:hint="eastAsia" w:ascii="宋体" w:hAnsi="宋体" w:cs="宋体"/>
                <w:color w:val="000000"/>
                <w:sz w:val="20"/>
              </w:rPr>
              <w:t>信息内容</w:t>
            </w:r>
          </w:p>
        </w:tc>
        <w:tc>
          <w:tcPr>
            <w:tcW w:w="6392" w:type="dxa"/>
            <w:gridSpan w:val="3"/>
            <w:vAlign w:val="center"/>
          </w:tcPr>
          <w:p>
            <w:pPr>
              <w:jc w:val="center"/>
              <w:rPr>
                <w:rFonts w:ascii="黑体" w:hAnsi="黑体" w:eastAsia="黑体"/>
                <w:sz w:val="20"/>
              </w:rPr>
            </w:pPr>
            <w:r>
              <w:rPr>
                <w:rFonts w:hint="eastAsia" w:ascii="宋体" w:hAnsi="宋体" w:cs="宋体"/>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jc w:val="center"/>
              <w:rPr>
                <w:rFonts w:ascii="宋体" w:hAnsi="宋体" w:cs="宋体"/>
                <w:color w:val="000000"/>
                <w:sz w:val="20"/>
              </w:rPr>
            </w:pPr>
            <w:r>
              <w:rPr>
                <w:rFonts w:hint="eastAsia" w:ascii="宋体" w:hAnsi="宋体" w:cs="宋体"/>
                <w:color w:val="000000"/>
                <w:sz w:val="20"/>
              </w:rPr>
              <w:t>行政许可</w:t>
            </w:r>
          </w:p>
        </w:tc>
        <w:tc>
          <w:tcPr>
            <w:tcW w:w="6392" w:type="dxa"/>
            <w:gridSpan w:val="3"/>
            <w:vAlign w:val="center"/>
          </w:tcPr>
          <w:p>
            <w:pPr>
              <w:jc w:val="center"/>
              <w:rPr>
                <w:rFonts w:hint="eastAsia" w:ascii="黑体" w:hAnsi="黑体" w:eastAsia="黑体"/>
                <w:sz w:val="20"/>
                <w:lang w:eastAsia="zh-CN"/>
              </w:rPr>
            </w:pPr>
            <w:r>
              <w:rPr>
                <w:rFonts w:hint="eastAsia" w:ascii="黑体" w:hAnsi="黑体" w:eastAsia="黑体"/>
                <w:sz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jc w:val="center"/>
              <w:rPr>
                <w:rFonts w:ascii="宋体" w:hAnsi="宋体" w:cs="宋体"/>
                <w:color w:val="000000"/>
                <w:sz w:val="20"/>
              </w:rPr>
            </w:pPr>
            <w:r>
              <w:rPr>
                <w:rFonts w:hint="eastAsia" w:ascii="宋体" w:hAnsi="宋体" w:cs="宋体"/>
                <w:color w:val="000000"/>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jc w:val="center"/>
              <w:rPr>
                <w:rFonts w:ascii="宋体" w:hAnsi="宋体" w:cs="宋体"/>
                <w:color w:val="000000"/>
                <w:sz w:val="20"/>
              </w:rPr>
            </w:pPr>
            <w:r>
              <w:rPr>
                <w:rFonts w:hint="eastAsia" w:ascii="宋体" w:hAnsi="宋体" w:cs="宋体"/>
                <w:color w:val="000000"/>
                <w:sz w:val="20"/>
              </w:rPr>
              <w:t>信息内容</w:t>
            </w:r>
          </w:p>
        </w:tc>
        <w:tc>
          <w:tcPr>
            <w:tcW w:w="6392" w:type="dxa"/>
            <w:gridSpan w:val="3"/>
            <w:vAlign w:val="center"/>
          </w:tcPr>
          <w:p>
            <w:pPr>
              <w:jc w:val="center"/>
              <w:rPr>
                <w:rFonts w:ascii="黑体" w:hAnsi="黑体" w:eastAsia="黑体"/>
                <w:sz w:val="20"/>
              </w:rPr>
            </w:pPr>
            <w:r>
              <w:rPr>
                <w:rFonts w:hint="eastAsia" w:ascii="宋体" w:hAnsi="宋体" w:cs="宋体"/>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jc w:val="center"/>
              <w:rPr>
                <w:rFonts w:ascii="宋体" w:hAnsi="宋体" w:cs="宋体"/>
                <w:color w:val="000000"/>
                <w:sz w:val="20"/>
              </w:rPr>
            </w:pPr>
            <w:r>
              <w:rPr>
                <w:rFonts w:hint="eastAsia" w:ascii="宋体" w:hAnsi="宋体" w:cs="宋体"/>
                <w:color w:val="000000"/>
                <w:sz w:val="20"/>
              </w:rPr>
              <w:t>行政处罚</w:t>
            </w:r>
          </w:p>
        </w:tc>
        <w:tc>
          <w:tcPr>
            <w:tcW w:w="6392" w:type="dxa"/>
            <w:gridSpan w:val="3"/>
            <w:vAlign w:val="center"/>
          </w:tcPr>
          <w:p>
            <w:pPr>
              <w:jc w:val="center"/>
              <w:rPr>
                <w:rFonts w:hint="default" w:ascii="黑体" w:hAnsi="黑体" w:eastAsia="黑体"/>
                <w:sz w:val="20"/>
                <w:lang w:val="en-US" w:eastAsia="zh-CN"/>
              </w:rPr>
            </w:pPr>
            <w:r>
              <w:rPr>
                <w:rFonts w:hint="eastAsia" w:ascii="黑体" w:hAnsi="黑体" w:eastAsia="黑体"/>
                <w:sz w:val="20"/>
                <w:lang w:val="en-US" w:eastAsia="zh-CN"/>
              </w:rPr>
              <w:t>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jc w:val="center"/>
              <w:rPr>
                <w:rFonts w:ascii="宋体" w:hAnsi="宋体" w:cs="宋体"/>
                <w:color w:val="000000"/>
                <w:sz w:val="20"/>
              </w:rPr>
            </w:pPr>
            <w:r>
              <w:rPr>
                <w:rFonts w:hint="eastAsia" w:ascii="宋体" w:hAnsi="宋体" w:cs="宋体"/>
                <w:color w:val="000000"/>
                <w:sz w:val="20"/>
              </w:rPr>
              <w:t>行政强制</w:t>
            </w:r>
          </w:p>
        </w:tc>
        <w:tc>
          <w:tcPr>
            <w:tcW w:w="6392" w:type="dxa"/>
            <w:gridSpan w:val="3"/>
            <w:vAlign w:val="center"/>
          </w:tcPr>
          <w:p>
            <w:pPr>
              <w:jc w:val="center"/>
              <w:rPr>
                <w:rFonts w:hint="default" w:ascii="黑体" w:hAnsi="黑体" w:eastAsia="黑体"/>
                <w:sz w:val="20"/>
                <w:lang w:val="en-US" w:eastAsia="zh-CN"/>
              </w:rPr>
            </w:pPr>
            <w:r>
              <w:rPr>
                <w:rFonts w:hint="eastAsia" w:ascii="黑体" w:hAnsi="黑体" w:eastAsia="黑体"/>
                <w:sz w:val="20"/>
                <w:lang w:val="en-US" w:eastAsia="zh-CN"/>
              </w:rPr>
              <w:t>84</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jc w:val="center"/>
              <w:rPr>
                <w:rFonts w:ascii="宋体" w:hAnsi="宋体" w:cs="宋体"/>
                <w:color w:val="000000"/>
                <w:sz w:val="20"/>
              </w:rPr>
            </w:pPr>
            <w:r>
              <w:rPr>
                <w:rFonts w:hint="eastAsia" w:ascii="宋体" w:hAnsi="宋体" w:cs="宋体"/>
                <w:color w:val="000000"/>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jc w:val="center"/>
              <w:rPr>
                <w:rFonts w:ascii="宋体" w:hAnsi="宋体" w:cs="宋体"/>
                <w:color w:val="000000"/>
                <w:sz w:val="20"/>
              </w:rPr>
            </w:pPr>
            <w:r>
              <w:rPr>
                <w:rFonts w:hint="eastAsia" w:ascii="宋体" w:hAnsi="宋体" w:cs="宋体"/>
                <w:color w:val="000000"/>
                <w:sz w:val="20"/>
              </w:rPr>
              <w:t>信息内容</w:t>
            </w:r>
          </w:p>
        </w:tc>
        <w:tc>
          <w:tcPr>
            <w:tcW w:w="6392" w:type="dxa"/>
            <w:gridSpan w:val="3"/>
            <w:vAlign w:val="center"/>
          </w:tcPr>
          <w:p>
            <w:pPr>
              <w:jc w:val="center"/>
              <w:rPr>
                <w:rFonts w:ascii="黑体" w:hAnsi="黑体" w:eastAsia="黑体"/>
                <w:sz w:val="20"/>
              </w:rPr>
            </w:pPr>
            <w:r>
              <w:rPr>
                <w:rFonts w:hint="eastAsia" w:ascii="宋体" w:hAnsi="宋体" w:cs="宋体"/>
                <w:color w:val="000000"/>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jc w:val="center"/>
              <w:rPr>
                <w:rFonts w:ascii="宋体" w:hAnsi="宋体" w:cs="宋体"/>
                <w:color w:val="000000"/>
                <w:sz w:val="20"/>
              </w:rPr>
            </w:pPr>
            <w:r>
              <w:rPr>
                <w:rFonts w:hint="eastAsia" w:ascii="宋体" w:hAnsi="宋体" w:cs="宋体"/>
                <w:color w:val="000000"/>
                <w:sz w:val="20"/>
              </w:rPr>
              <w:t>行政事业性收费</w:t>
            </w:r>
          </w:p>
        </w:tc>
        <w:tc>
          <w:tcPr>
            <w:tcW w:w="6392" w:type="dxa"/>
            <w:gridSpan w:val="3"/>
            <w:vAlign w:val="center"/>
          </w:tcPr>
          <w:p>
            <w:pPr>
              <w:jc w:val="center"/>
              <w:rPr>
                <w:rFonts w:ascii="黑体" w:hAnsi="黑体" w:eastAsia="黑体"/>
                <w:sz w:val="20"/>
              </w:rPr>
            </w:pPr>
            <w:r>
              <w:rPr>
                <w:rFonts w:hint="eastAsia" w:ascii="黑体" w:hAnsi="黑体" w:eastAsia="黑体"/>
                <w:sz w:val="20"/>
              </w:rPr>
              <w:t>202.29</w:t>
            </w:r>
          </w:p>
        </w:tc>
      </w:tr>
    </w:tbl>
    <w:p>
      <w:pPr>
        <w:spacing w:line="560" w:lineRule="exact"/>
        <w:ind w:firstLine="640" w:firstLineChars="200"/>
        <w:rPr>
          <w:rFonts w:ascii="仿宋_GB2312" w:eastAsia="仿宋_GB2312"/>
          <w:sz w:val="32"/>
          <w:szCs w:val="32"/>
        </w:rPr>
      </w:pPr>
    </w:p>
    <w:p>
      <w:pPr>
        <w:spacing w:line="560" w:lineRule="exact"/>
        <w:ind w:firstLine="640" w:firstLineChars="200"/>
        <w:rPr>
          <w:rFonts w:ascii="黑体" w:hAnsi="黑体" w:eastAsia="黑体"/>
          <w:sz w:val="32"/>
          <w:szCs w:val="32"/>
        </w:rPr>
        <w:sectPr>
          <w:pgSz w:w="11906" w:h="16838"/>
          <w:pgMar w:top="1440" w:right="1800" w:bottom="1440" w:left="1800" w:header="851" w:footer="992" w:gutter="0"/>
          <w:cols w:space="720" w:num="1"/>
          <w:docGrid w:type="lines" w:linePitch="312" w:charSpace="0"/>
        </w:sectPr>
      </w:pPr>
    </w:p>
    <w:p>
      <w:pPr>
        <w:ind w:firstLine="640" w:firstLineChars="200"/>
        <w:rPr>
          <w:rFonts w:ascii="黑体" w:hAnsi="黑体" w:eastAsia="黑体"/>
          <w:sz w:val="32"/>
          <w:szCs w:val="32"/>
        </w:rPr>
      </w:pPr>
      <w:r>
        <w:rPr>
          <w:rFonts w:hint="eastAsia" w:ascii="黑体" w:hAnsi="黑体" w:eastAsia="黑体" w:cs="黑体"/>
          <w:sz w:val="32"/>
          <w:szCs w:val="32"/>
        </w:rPr>
        <w:t>三、收到和处理政府信息公开申请情况</w:t>
      </w:r>
    </w:p>
    <w:tbl>
      <w:tblPr>
        <w:tblStyle w:val="8"/>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sz w:val="24"/>
              </w:rPr>
            </w:pPr>
            <w:r>
              <w:rPr>
                <w:rFonts w:hint="eastAsia" w:ascii="楷体" w:hAnsi="楷体" w:eastAsia="楷体" w:cs="宋体"/>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ascii="宋体" w:hAnsi="宋体" w:cs="宋体"/>
                <w:sz w:val="20"/>
              </w:rPr>
              <w:t>申请人情况</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ascii="宋体" w:hAnsi="宋体" w:cs="宋体"/>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ascii="宋体" w:hAnsi="宋体" w:cs="宋体"/>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ascii="宋体" w:hAnsi="宋体" w:cs="宋体"/>
                <w:sz w:val="20"/>
              </w:rPr>
              <w:t>总计</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850" w:type="dxa"/>
            <w:vMerge w:val="continue"/>
            <w:tcBorders>
              <w:top w:val="nil"/>
              <w:left w:val="nil"/>
              <w:bottom w:val="single" w:color="auto" w:sz="8" w:space="0"/>
              <w:right w:val="single" w:color="auto" w:sz="8" w:space="0"/>
            </w:tcBorders>
            <w:vAlign w:val="center"/>
          </w:tcPr>
          <w:p>
            <w:pPr>
              <w:widowControl/>
              <w:jc w:val="left"/>
              <w:rPr>
                <w:rFonts w:ascii="宋体" w:hAnsi="宋体" w:cs="宋体"/>
                <w:sz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ascii="宋体" w:hAnsi="宋体" w:cs="宋体"/>
                <w:sz w:val="20"/>
              </w:rPr>
              <w:t>商业</w:t>
            </w:r>
          </w:p>
          <w:p>
            <w:pPr>
              <w:widowControl/>
              <w:jc w:val="center"/>
              <w:rPr>
                <w:rFonts w:ascii="宋体" w:hAnsi="宋体" w:cs="宋体"/>
                <w:sz w:val="24"/>
              </w:rPr>
            </w:pPr>
            <w:r>
              <w:rPr>
                <w:rFonts w:hint="eastAsia" w:ascii="宋体" w:hAnsi="宋体" w:cs="宋体"/>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ascii="宋体" w:hAnsi="宋体" w:cs="宋体"/>
                <w:sz w:val="20"/>
              </w:rPr>
              <w:t>科研</w:t>
            </w:r>
          </w:p>
          <w:p>
            <w:pPr>
              <w:widowControl/>
              <w:jc w:val="center"/>
              <w:rPr>
                <w:rFonts w:ascii="宋体" w:hAnsi="宋体" w:cs="宋体"/>
                <w:sz w:val="24"/>
              </w:rPr>
            </w:pPr>
            <w:r>
              <w:rPr>
                <w:rFonts w:hint="eastAsia" w:ascii="宋体" w:hAnsi="宋体" w:cs="宋体"/>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ascii="宋体" w:hAnsi="宋体" w:cs="宋体"/>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ascii="宋体" w:hAnsi="宋体" w:cs="宋体"/>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ascii="宋体" w:hAnsi="宋体" w:cs="宋体"/>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jc w:val="left"/>
              <w:rPr>
                <w:rFonts w:ascii="宋体" w:hAnsi="宋体" w:cs="宋体"/>
                <w:sz w:val="24"/>
              </w:rPr>
            </w:pP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（二）部分公开</w:t>
            </w:r>
            <w:r>
              <w:rPr>
                <w:rFonts w:hint="eastAsia" w:ascii="楷体" w:hAnsi="楷体" w:eastAsia="楷体" w:cs="宋体"/>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rPr>
                <w:rFonts w:ascii="宋体" w:hAnsi="宋体" w:cs="宋体"/>
                <w:sz w:val="24"/>
              </w:rPr>
            </w:pPr>
            <w:r>
              <w:rPr>
                <w:rFonts w:hint="eastAsia" w:ascii="宋体" w:hAnsi="宋体" w:cs="宋体"/>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rPr>
                <w:rFonts w:ascii="宋体" w:hAnsi="宋体" w:cs="宋体"/>
                <w:sz w:val="24"/>
              </w:rPr>
            </w:pPr>
            <w:r>
              <w:rPr>
                <w:rFonts w:hint="eastAsia" w:ascii="宋体" w:hAnsi="宋体" w:cs="宋体"/>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rPr>
                <w:rFonts w:ascii="宋体" w:hAnsi="宋体" w:cs="宋体"/>
                <w:sz w:val="24"/>
              </w:rPr>
            </w:pPr>
            <w:r>
              <w:rPr>
                <w:rFonts w:hint="eastAsia" w:ascii="宋体" w:hAnsi="宋体" w:cs="宋体"/>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bl>
    <w:p>
      <w:pPr>
        <w:spacing w:line="560" w:lineRule="exact"/>
        <w:ind w:firstLine="640" w:firstLineChars="200"/>
        <w:rPr>
          <w:rFonts w:ascii="黑体" w:hAnsi="黑体" w:eastAsia="黑体"/>
          <w:sz w:val="32"/>
          <w:szCs w:val="32"/>
        </w:rPr>
        <w:sectPr>
          <w:pgSz w:w="11906" w:h="16838"/>
          <w:pgMar w:top="1134" w:right="1797" w:bottom="1134" w:left="1797" w:header="851" w:footer="992" w:gutter="0"/>
          <w:cols w:space="720" w:num="1"/>
          <w:docGrid w:type="linesAndChars" w:linePitch="312" w:charSpace="0"/>
        </w:sectPr>
      </w:pPr>
    </w:p>
    <w:p>
      <w:pPr>
        <w:ind w:firstLine="640" w:firstLineChars="200"/>
        <w:rPr>
          <w:rFonts w:ascii="黑体" w:hAnsi="黑体" w:eastAsia="黑体" w:cs="黑体"/>
          <w:sz w:val="32"/>
          <w:szCs w:val="32"/>
        </w:rPr>
      </w:pPr>
      <w:r>
        <w:rPr>
          <w:rFonts w:hint="eastAsia" w:ascii="黑体" w:hAnsi="黑体" w:eastAsia="黑体" w:cs="黑体"/>
          <w:sz w:val="32"/>
          <w:szCs w:val="32"/>
        </w:rPr>
        <w:t>四、政府信息公开行政复议、行政诉讼情况</w:t>
      </w:r>
    </w:p>
    <w:tbl>
      <w:tblPr>
        <w:tblStyle w:val="8"/>
        <w:tblW w:w="9748" w:type="dxa"/>
        <w:jc w:val="center"/>
        <w:tblLayout w:type="autofit"/>
        <w:tblCellMar>
          <w:top w:w="0" w:type="dxa"/>
          <w:left w:w="0" w:type="dxa"/>
          <w:bottom w:w="0" w:type="dxa"/>
          <w:right w:w="0" w:type="dxa"/>
        </w:tblCellMar>
      </w:tblPr>
      <w:tblGrid>
        <w:gridCol w:w="650"/>
        <w:gridCol w:w="650"/>
        <w:gridCol w:w="650"/>
        <w:gridCol w:w="650"/>
        <w:gridCol w:w="650"/>
        <w:gridCol w:w="649"/>
        <w:gridCol w:w="649"/>
        <w:gridCol w:w="650"/>
        <w:gridCol w:w="650"/>
        <w:gridCol w:w="650"/>
        <w:gridCol w:w="650"/>
        <w:gridCol w:w="650"/>
        <w:gridCol w:w="650"/>
        <w:gridCol w:w="650"/>
        <w:gridCol w:w="650"/>
      </w:tblGrid>
      <w:tr>
        <w:tblPrEx>
          <w:tblCellMar>
            <w:top w:w="0" w:type="dxa"/>
            <w:left w:w="0" w:type="dxa"/>
            <w:bottom w:w="0" w:type="dxa"/>
            <w:right w:w="0" w:type="dxa"/>
          </w:tblCellMar>
        </w:tblPrEx>
        <w:trPr>
          <w:jc w:val="center"/>
        </w:trPr>
        <w:tc>
          <w:tcPr>
            <w:tcW w:w="325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行政复议</w:t>
            </w:r>
          </w:p>
        </w:tc>
        <w:tc>
          <w:tcPr>
            <w:tcW w:w="649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行政诉讼</w:t>
            </w:r>
          </w:p>
        </w:tc>
      </w:tr>
      <w:tr>
        <w:tblPrEx>
          <w:tblCellMar>
            <w:top w:w="0" w:type="dxa"/>
            <w:left w:w="0" w:type="dxa"/>
            <w:bottom w:w="0" w:type="dxa"/>
            <w:right w:w="0" w:type="dxa"/>
          </w:tblCellMar>
        </w:tblPrEx>
        <w:trPr>
          <w:jc w:val="center"/>
        </w:trPr>
        <w:tc>
          <w:tcPr>
            <w:tcW w:w="65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结果维持</w:t>
            </w:r>
          </w:p>
        </w:tc>
        <w:tc>
          <w:tcPr>
            <w:tcW w:w="65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结果</w:t>
            </w:r>
            <w:r>
              <w:rPr>
                <w:rFonts w:hint="eastAsia" w:ascii="宋体" w:hAnsi="宋体" w:cs="宋体"/>
                <w:sz w:val="20"/>
              </w:rPr>
              <w:br w:type="textWrapping"/>
            </w:r>
            <w:r>
              <w:rPr>
                <w:rFonts w:hint="eastAsia" w:ascii="宋体" w:hAnsi="宋体" w:cs="宋体"/>
                <w:sz w:val="20"/>
              </w:rPr>
              <w:t>纠正</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其他</w:t>
            </w:r>
            <w:r>
              <w:rPr>
                <w:rFonts w:hint="eastAsia" w:ascii="宋体" w:hAnsi="宋体" w:cs="宋体"/>
                <w:sz w:val="20"/>
              </w:rPr>
              <w:br w:type="textWrapping"/>
            </w:r>
            <w:r>
              <w:rPr>
                <w:rFonts w:hint="eastAsia" w:ascii="宋体" w:hAnsi="宋体" w:cs="宋体"/>
                <w:sz w:val="20"/>
              </w:rPr>
              <w:t>结果</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尚未</w:t>
            </w:r>
            <w:r>
              <w:rPr>
                <w:rFonts w:hint="eastAsia" w:ascii="宋体" w:hAnsi="宋体" w:cs="宋体"/>
                <w:sz w:val="20"/>
              </w:rPr>
              <w:br w:type="textWrapping"/>
            </w:r>
            <w:r>
              <w:rPr>
                <w:rFonts w:hint="eastAsia" w:ascii="宋体" w:hAnsi="宋体" w:cs="宋体"/>
                <w:sz w:val="20"/>
              </w:rPr>
              <w:t>审结</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未经复议直接起诉</w:t>
            </w:r>
          </w:p>
        </w:tc>
        <w:tc>
          <w:tcPr>
            <w:tcW w:w="325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sz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结果</w:t>
            </w:r>
            <w:r>
              <w:rPr>
                <w:rFonts w:hint="eastAsia" w:ascii="宋体" w:hAnsi="宋体" w:cs="宋体"/>
                <w:sz w:val="20"/>
              </w:rPr>
              <w:br w:type="textWrapping"/>
            </w:r>
            <w:r>
              <w:rPr>
                <w:rFonts w:hint="eastAsia" w:ascii="宋体" w:hAnsi="宋体" w:cs="宋体"/>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结果</w:t>
            </w:r>
            <w:r>
              <w:rPr>
                <w:rFonts w:hint="eastAsia" w:ascii="宋体" w:hAnsi="宋体" w:cs="宋体"/>
                <w:sz w:val="20"/>
              </w:rPr>
              <w:br w:type="textWrapping"/>
            </w:r>
            <w:r>
              <w:rPr>
                <w:rFonts w:hint="eastAsia" w:ascii="宋体" w:hAnsi="宋体" w:cs="宋体"/>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其他</w:t>
            </w:r>
            <w:r>
              <w:rPr>
                <w:rFonts w:hint="eastAsia" w:ascii="宋体" w:hAnsi="宋体" w:cs="宋体"/>
                <w:sz w:val="20"/>
              </w:rPr>
              <w:br w:type="textWrapping"/>
            </w:r>
            <w:r>
              <w:rPr>
                <w:rFonts w:hint="eastAsia" w:ascii="宋体" w:hAnsi="宋体" w:cs="宋体"/>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尚未</w:t>
            </w:r>
            <w:r>
              <w:rPr>
                <w:rFonts w:hint="eastAsia" w:ascii="宋体" w:hAnsi="宋体" w:cs="宋体"/>
                <w:sz w:val="20"/>
              </w:rPr>
              <w:br w:type="textWrapping"/>
            </w:r>
            <w:r>
              <w:rPr>
                <w:rFonts w:hint="eastAsia" w:ascii="宋体" w:hAnsi="宋体" w:cs="宋体"/>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color w:val="000000"/>
                <w:sz w:val="20"/>
              </w:rPr>
              <w:t>总计</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结果</w:t>
            </w:r>
            <w:r>
              <w:rPr>
                <w:rFonts w:hint="eastAsia" w:ascii="宋体" w:hAnsi="宋体" w:cs="宋体"/>
                <w:sz w:val="20"/>
              </w:rPr>
              <w:br w:type="textWrapping"/>
            </w:r>
            <w:r>
              <w:rPr>
                <w:rFonts w:hint="eastAsia" w:ascii="宋体" w:hAnsi="宋体" w:cs="宋体"/>
                <w:sz w:val="20"/>
              </w:rPr>
              <w:t>维持</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结果</w:t>
            </w:r>
            <w:r>
              <w:rPr>
                <w:rFonts w:hint="eastAsia" w:ascii="宋体" w:hAnsi="宋体" w:cs="宋体"/>
                <w:sz w:val="20"/>
              </w:rPr>
              <w:br w:type="textWrapping"/>
            </w:r>
            <w:r>
              <w:rPr>
                <w:rFonts w:hint="eastAsia" w:ascii="宋体" w:hAnsi="宋体" w:cs="宋体"/>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color w:val="000000"/>
                <w:sz w:val="20"/>
              </w:rPr>
              <w:t>其他</w:t>
            </w:r>
            <w:r>
              <w:rPr>
                <w:rFonts w:hint="eastAsia" w:ascii="宋体" w:hAnsi="宋体" w:cs="宋体"/>
                <w:color w:val="000000"/>
                <w:sz w:val="20"/>
              </w:rPr>
              <w:br w:type="textWrapping"/>
            </w:r>
            <w:r>
              <w:rPr>
                <w:rFonts w:hint="eastAsia" w:ascii="宋体" w:hAnsi="宋体" w:cs="宋体"/>
                <w:color w:val="000000"/>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尚未</w:t>
            </w:r>
            <w:r>
              <w:rPr>
                <w:rFonts w:hint="eastAsia" w:ascii="宋体" w:hAnsi="宋体" w:cs="宋体"/>
                <w:sz w:val="20"/>
              </w:rPr>
              <w:br w:type="textWrapping"/>
            </w:r>
            <w:r>
              <w:rPr>
                <w:rFonts w:hint="eastAsia" w:ascii="宋体" w:hAnsi="宋体" w:cs="宋体"/>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color w:val="000000"/>
                <w:sz w:val="20"/>
              </w:rPr>
              <w:t>总计</w:t>
            </w:r>
          </w:p>
        </w:tc>
      </w:tr>
      <w:tr>
        <w:tblPrEx>
          <w:tblCellMar>
            <w:top w:w="0" w:type="dxa"/>
            <w:left w:w="0" w:type="dxa"/>
            <w:bottom w:w="0" w:type="dxa"/>
            <w:right w:w="0" w:type="dxa"/>
          </w:tblCellMar>
        </w:tblPrEx>
        <w:trPr>
          <w:trHeight w:val="672" w:hRule="atLeast"/>
          <w:jc w:val="center"/>
        </w:trPr>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pPr>
            <w:r>
              <w:rPr>
                <w:rFonts w:hint="eastAsia" w:ascii="宋体" w:hAnsi="宋体" w:cs="宋体"/>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pPr>
            <w:r>
              <w:rPr>
                <w:rFonts w:hint="eastAsia" w:ascii="宋体" w:hAnsi="宋体" w:cs="宋体"/>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pPr>
            <w:r>
              <w:rPr>
                <w:rFonts w:hint="eastAsia" w:ascii="宋体" w:hAnsi="宋体" w:cs="宋体"/>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pPr>
            <w:r>
              <w:rPr>
                <w:rFonts w:hint="eastAsia" w:ascii="宋体" w:hAnsi="宋体" w:cs="宋体"/>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pPr>
            <w:r>
              <w:rPr>
                <w:rFonts w:hint="eastAsia" w:ascii="宋体" w:hAnsi="宋体" w:cs="宋体"/>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pPr>
            <w:r>
              <w:rPr>
                <w:rFonts w:hint="eastAsia" w:ascii="宋体" w:hAnsi="宋体" w:cs="宋体"/>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pPr>
            <w:r>
              <w:rPr>
                <w:rFonts w:hint="eastAsia" w:ascii="宋体" w:hAnsi="宋体" w:cs="宋体"/>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pPr>
            <w:r>
              <w:rPr>
                <w:rFonts w:hint="eastAsia" w:ascii="宋体" w:hAnsi="宋体" w:cs="宋体"/>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pPr>
            <w:r>
              <w:rPr>
                <w:rFonts w:hint="eastAsia" w:ascii="宋体" w:hAnsi="宋体" w:cs="宋体"/>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pPr>
            <w:r>
              <w:rPr>
                <w:rFonts w:hint="eastAsia" w:ascii="宋体" w:hAnsi="宋体" w:cs="宋体"/>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pPr>
            <w:r>
              <w:rPr>
                <w:rFonts w:hint="eastAsia" w:ascii="宋体" w:hAnsi="宋体" w:cs="宋体"/>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pPr>
            <w:r>
              <w:rPr>
                <w:rFonts w:hint="eastAsia" w:ascii="宋体" w:hAnsi="宋体" w:cs="宋体"/>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pPr>
            <w:r>
              <w:rPr>
                <w:rFonts w:hint="eastAsia" w:ascii="宋体" w:hAnsi="宋体" w:cs="宋体"/>
                <w:sz w:val="20"/>
              </w:rPr>
              <w:t>0</w:t>
            </w:r>
          </w:p>
        </w:tc>
      </w:tr>
    </w:tbl>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五、存在的主要问题及改进情况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（一）存在问题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总的来看，2021年政府信息公开工作取得一定成效，但仍存在一些不足。一是政务公开工作培训力度仍有待加强，对各科室、监管所、直属单位政务公开联络员的培训，仍需要经常开展，形成常态；二是在政务公开工作创新方面还存在短板，公开的途径和方式需向先进地市和先进单位学习，进一步扩展公开途径和公开方式。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（二）改进措施</w:t>
      </w:r>
    </w:p>
    <w:p>
      <w:pPr>
        <w:spacing w:line="560" w:lineRule="exact"/>
        <w:ind w:firstLine="640" w:firstLineChars="200"/>
        <w:rPr>
          <w:rFonts w:ascii="黑体" w:hAnsi="黑体" w:eastAsia="黑体" w:cs="黑体"/>
          <w:sz w:val="32"/>
          <w:szCs w:val="32"/>
        </w:rPr>
      </w:pPr>
      <w:r>
        <w:rPr>
          <w:rFonts w:hint="eastAsia" w:ascii="仿宋_GB2312" w:hAnsi="仿宋_GB2312" w:eastAsia="仿宋_GB2312" w:cs="仿宋_GB2312"/>
          <w:sz w:val="32"/>
          <w:szCs w:val="32"/>
        </w:rPr>
        <w:t>一是强化责任意识，加强对科室、监管所、直属单位的政务公开工作培训，开展经常性的交流，形成业务工作与政务公开同步谋划、同步推进的工作氛围。二是完善公开内容，加强对公开信息的审核管理，做到对外发布信息及时准确。三是着力对标先进，及时了解和掌握最新政策，分析研究先进地区及其他单位的工作经验，对标跟进，助推政务公开工作再上新台阶。</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六、其他需要报告的事项</w:t>
      </w:r>
    </w:p>
    <w:p>
      <w:pPr>
        <w:pStyle w:val="7"/>
        <w:widowControl/>
        <w:shd w:val="clear" w:color="auto" w:fill="FFFFFF"/>
        <w:spacing w:before="0" w:beforeAutospacing="0" w:after="0" w:afterAutospacing="0" w:line="560" w:lineRule="exact"/>
        <w:ind w:firstLine="420"/>
        <w:rPr>
          <w:rFonts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（一）收取信息处理费情况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2021年，本机关依申请公开政府信息未收取任何费用。</w:t>
      </w:r>
    </w:p>
    <w:p>
      <w:pPr>
        <w:pStyle w:val="7"/>
        <w:widowControl/>
        <w:shd w:val="clear" w:color="auto" w:fill="FFFFFF"/>
        <w:spacing w:before="0" w:beforeAutospacing="0" w:after="0" w:afterAutospacing="0" w:line="560" w:lineRule="exact"/>
        <w:ind w:firstLine="420"/>
        <w:rPr>
          <w:rFonts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（二）落实上级年度政务公开工作要点情况</w:t>
      </w:r>
    </w:p>
    <w:p>
      <w:pPr>
        <w:pStyle w:val="7"/>
        <w:widowControl/>
        <w:spacing w:before="0" w:beforeAutospacing="0" w:after="0" w:afterAutospacing="0" w:line="560" w:lineRule="exact"/>
        <w:ind w:firstLine="420"/>
        <w:rPr>
          <w:rFonts w:ascii="仿宋_GB2312" w:eastAsia="仿宋_GB2312"/>
          <w:sz w:val="32"/>
          <w:szCs w:val="32"/>
        </w:rPr>
      </w:pPr>
      <w:r>
        <w:rPr>
          <w:rFonts w:hint="eastAsia" w:ascii="仿宋_GB2312" w:hAnsi="仿宋_GB2312" w:eastAsia="仿宋_GB2312" w:cs="仿宋_GB2312"/>
          <w:kern w:val="2"/>
          <w:sz w:val="32"/>
          <w:szCs w:val="32"/>
        </w:rPr>
        <w:t xml:space="preserve">制定了《高青县市场监督管理局2021年政务公开工作实施方案》，一是做好重点领域信息公开。注重通过主流媒体、微信等平台及时作出有理有据的回应，防止风险预期自我实现。二是落实关于市场监管的政策性文件与解读方案、解读材料同步组织、同步审签、同步部署，按照“谁起草、谁解读”的原则，在门户网站公开和在主流媒体推广。三是及时办理依申请公开。维护依申请公开受理渠道的畅通，答复时限、答复格式、答复内容规范，依申请公开协助调查任务及时有效办理。 </w:t>
      </w:r>
      <w:r>
        <w:rPr>
          <w:rFonts w:hint="eastAsia" w:ascii="仿宋_GB2312" w:eastAsia="仿宋_GB2312"/>
          <w:sz w:val="32"/>
          <w:szCs w:val="32"/>
        </w:rPr>
        <w:t>    </w:t>
      </w:r>
    </w:p>
    <w:p>
      <w:pPr>
        <w:pStyle w:val="7"/>
        <w:widowControl/>
        <w:shd w:val="clear" w:color="auto" w:fill="FFFFFF"/>
        <w:spacing w:before="0" w:beforeAutospacing="0" w:after="0" w:afterAutospacing="0" w:line="560" w:lineRule="exact"/>
        <w:ind w:firstLine="420"/>
        <w:rPr>
          <w:rFonts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（三）人大代表建议和政协委员提案办理结果公开情况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2021年，本机关共承办县十七届人大五次会议建议1件，承办县政协十四届五次会议提案2件，均在县政府网站建议提案专题集中公开建议提案人、建议提案原文、建议提案办理结果等信息。</w:t>
      </w:r>
    </w:p>
    <w:p>
      <w:pPr>
        <w:pStyle w:val="7"/>
        <w:widowControl/>
        <w:shd w:val="clear" w:color="auto" w:fill="FFFFFF"/>
        <w:spacing w:before="0" w:beforeAutospacing="0" w:after="0" w:afterAutospacing="0" w:line="560" w:lineRule="exact"/>
        <w:ind w:firstLine="420"/>
        <w:rPr>
          <w:rFonts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（四）政务公开工作创新情况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多措并举创新工作方式方法。一是在公开的领导体制和工作机制上，确定了政务公开信息发布员，定期发布工作情况，逐步建立了局党组书记、局长负总责、亲自抓，分管领导协调、具体抓，各部门上下联动、整体推进、一级抓一级、层层抓落实的政务公开工作机制，为深化政务公开提供了坚强有力的组织保证。二是在公开的内容上，突出重点、热点和难点问题。群众最关心、反应最强烈的事是政务公开的热点；容易引发矛盾和滋生腐败现象的事项是政务公开的重点；敢不敢将自己的行为置于群众的监督之下，是政务公开的难点。在政务公开的内容上坚持面向群众，贴近群众，重点公开财务装备、食品药品、特种设备、消费维权、产品质量等重要工作的内容。</w:t>
      </w:r>
    </w:p>
    <w:p>
      <w:pPr>
        <w:pStyle w:val="7"/>
        <w:widowControl/>
        <w:shd w:val="clear" w:color="auto" w:fill="FFFFFF"/>
        <w:spacing w:before="0" w:beforeAutospacing="0" w:after="0" w:afterAutospacing="0" w:line="560" w:lineRule="exact"/>
        <w:ind w:firstLine="420"/>
        <w:rPr>
          <w:rFonts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（五）有关数据统计说明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报告中所列数据可能因四舍五入原因与数据直接相加之和存在尾数差异。</w:t>
      </w:r>
    </w:p>
    <w:p>
      <w:pPr>
        <w:spacing w:line="560" w:lineRule="exact"/>
        <w:ind w:firstLine="640" w:firstLineChars="200"/>
        <w:rPr>
          <w:rFonts w:ascii="仿宋_GB2312" w:hAnsi="仿宋_GB2312"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35F"/>
    <w:rsid w:val="00095EB4"/>
    <w:rsid w:val="0033730D"/>
    <w:rsid w:val="007542BA"/>
    <w:rsid w:val="00944B7F"/>
    <w:rsid w:val="0096235F"/>
    <w:rsid w:val="00CF27E9"/>
    <w:rsid w:val="0409052E"/>
    <w:rsid w:val="042F78F5"/>
    <w:rsid w:val="08347B14"/>
    <w:rsid w:val="08C017C2"/>
    <w:rsid w:val="0A640C44"/>
    <w:rsid w:val="0C4C6370"/>
    <w:rsid w:val="0CE93750"/>
    <w:rsid w:val="0DAC1CBF"/>
    <w:rsid w:val="0F615B83"/>
    <w:rsid w:val="0F810703"/>
    <w:rsid w:val="13E17453"/>
    <w:rsid w:val="140E03D2"/>
    <w:rsid w:val="15AA2330"/>
    <w:rsid w:val="17C75FE2"/>
    <w:rsid w:val="17C95975"/>
    <w:rsid w:val="18A35874"/>
    <w:rsid w:val="19D674A8"/>
    <w:rsid w:val="1A0A77FC"/>
    <w:rsid w:val="1D4D6B76"/>
    <w:rsid w:val="201577D9"/>
    <w:rsid w:val="26662541"/>
    <w:rsid w:val="37602C2E"/>
    <w:rsid w:val="3DAB1B48"/>
    <w:rsid w:val="3DC87439"/>
    <w:rsid w:val="3EB23790"/>
    <w:rsid w:val="3F3A1068"/>
    <w:rsid w:val="40B458A4"/>
    <w:rsid w:val="4ED74597"/>
    <w:rsid w:val="509605A9"/>
    <w:rsid w:val="50D1080A"/>
    <w:rsid w:val="51713037"/>
    <w:rsid w:val="55BD600D"/>
    <w:rsid w:val="5998521D"/>
    <w:rsid w:val="5E835B42"/>
    <w:rsid w:val="5F0E4208"/>
    <w:rsid w:val="64126BC0"/>
    <w:rsid w:val="64191369"/>
    <w:rsid w:val="647A1FD5"/>
    <w:rsid w:val="686C626E"/>
    <w:rsid w:val="6D233C27"/>
    <w:rsid w:val="6FE42114"/>
    <w:rsid w:val="732C1B6F"/>
    <w:rsid w:val="735F0AE9"/>
    <w:rsid w:val="76C66B99"/>
    <w:rsid w:val="79C2383C"/>
    <w:rsid w:val="7FA748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pPr>
      <w:jc w:val="left"/>
    </w:pPr>
    <w:rPr>
      <w:b/>
      <w:color w:val="FF0000"/>
    </w:rPr>
  </w:style>
  <w:style w:type="paragraph" w:styleId="4">
    <w:name w:val="Balloon Text"/>
    <w:basedOn w:val="1"/>
    <w:link w:val="13"/>
    <w:uiPriority w:val="0"/>
    <w:rPr>
      <w:sz w:val="18"/>
      <w:szCs w:val="18"/>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kern w:val="0"/>
      <w:sz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annotation reference"/>
    <w:basedOn w:val="10"/>
    <w:uiPriority w:val="0"/>
    <w:rPr>
      <w:sz w:val="21"/>
      <w:szCs w:val="21"/>
    </w:rPr>
  </w:style>
  <w:style w:type="character" w:customStyle="1" w:styleId="13">
    <w:name w:val="批注框文本 Char"/>
    <w:basedOn w:val="10"/>
    <w:link w:val="4"/>
    <w:uiPriority w:val="0"/>
    <w:rPr>
      <w:rFonts w:ascii="Calibri" w:hAnsi="Calibri"/>
      <w:kern w:val="2"/>
      <w:sz w:val="18"/>
      <w:szCs w:val="18"/>
    </w:rPr>
  </w:style>
  <w:style w:type="character" w:customStyle="1" w:styleId="14">
    <w:name w:val="页眉 Char"/>
    <w:basedOn w:val="10"/>
    <w:link w:val="6"/>
    <w:qFormat/>
    <w:uiPriority w:val="0"/>
    <w:rPr>
      <w:rFonts w:ascii="Calibri" w:hAnsi="Calibri"/>
      <w:kern w:val="2"/>
      <w:sz w:val="18"/>
      <w:szCs w:val="18"/>
    </w:rPr>
  </w:style>
  <w:style w:type="character" w:customStyle="1" w:styleId="15">
    <w:name w:val="页脚 Char"/>
    <w:basedOn w:val="10"/>
    <w:link w:val="5"/>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8</Pages>
  <Words>563</Words>
  <Characters>3214</Characters>
  <Lines>26</Lines>
  <Paragraphs>7</Paragraphs>
  <TotalTime>22</TotalTime>
  <ScaleCrop>false</ScaleCrop>
  <LinksUpToDate>false</LinksUpToDate>
  <CharactersWithSpaces>3770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2022-01-30T06:16:27Z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85518AB46AA04CFA888C4AB77F45AD60</vt:lpwstr>
  </property>
</Properties>
</file>