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市监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发</w:t>
      </w:r>
      <w:r>
        <w:rPr>
          <w:rFonts w:hint="eastAsia" w:ascii="宋体" w:hAnsi="宋体" w:eastAsia="宋体" w:cs="宋体"/>
          <w:sz w:val="32"/>
          <w:szCs w:val="32"/>
          <w:u w:val="none" w:color="auto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2020</w:t>
      </w:r>
      <w:r>
        <w:rPr>
          <w:rFonts w:hint="eastAsia" w:ascii="宋体" w:hAnsi="宋体" w:eastAsia="宋体" w:cs="宋体"/>
          <w:sz w:val="32"/>
          <w:szCs w:val="32"/>
          <w:u w:val="none" w:color="auto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号</w:t>
      </w:r>
    </w:p>
    <w:p>
      <w:pPr>
        <w:rPr>
          <w:rFonts w:hint="eastAsia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高青县市场监督管理局关于贯彻落实市委依法治市委员会《关于严格依法办事 优化法治营商环境的实施意见》的通知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科室、监管所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执法中队、计量所：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为全面贯彻落实市委依法治市委员会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关于严格依法办事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优化法治营商环境的实施意见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法委发〔</w:t>
      </w:r>
      <w:r>
        <w:rPr>
          <w:rFonts w:hint="eastAsia" w:ascii="仿宋_GB2312" w:hAnsi="仿宋_GB2312" w:eastAsia="仿宋_GB2312" w:cs="仿宋_GB2312"/>
          <w:sz w:val="32"/>
          <w:szCs w:val="32"/>
        </w:rPr>
        <w:t>2020〕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，助力全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法治营商环境建设，现就有关事宜通知如下: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一、重点任务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加强优化营商环境法规政策学习宣传，为高质量发展营造良好法治氛围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提高运用法治思维和法治方式的能力。将优化营商环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境相关法律法规学习列入县</w:t>
      </w:r>
      <w:r>
        <w:rPr>
          <w:rFonts w:hint="eastAsia" w:ascii="仿宋_GB2312" w:hAnsi="仿宋_GB2312" w:eastAsia="仿宋_GB2312" w:cs="仿宋_GB2312"/>
          <w:sz w:val="32"/>
          <w:szCs w:val="32"/>
        </w:rPr>
        <w:t>局党组理论学习中心组学习内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容，</w:t>
      </w:r>
      <w:r>
        <w:rPr>
          <w:rFonts w:hint="eastAsia" w:ascii="仿宋_GB2312" w:hAnsi="仿宋_GB2312" w:eastAsia="仿宋_GB2312" w:cs="仿宋_GB2312"/>
          <w:sz w:val="32"/>
          <w:szCs w:val="32"/>
        </w:rPr>
        <w:t>大力提升领导干部运用法治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思维</w:t>
      </w:r>
      <w:r>
        <w:rPr>
          <w:rFonts w:hint="eastAsia" w:ascii="仿宋_GB2312" w:hAnsi="仿宋_GB2312" w:eastAsia="仿宋_GB2312" w:cs="仿宋_GB2312"/>
          <w:sz w:val="32"/>
          <w:szCs w:val="32"/>
        </w:rPr>
        <w:t>和法治方式优化营商环境的意识和能力。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（综合规划科负责）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根据相关部署，组织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县局</w:t>
      </w:r>
      <w:r>
        <w:rPr>
          <w:rFonts w:hint="eastAsia" w:ascii="仿宋_GB2312" w:hAnsi="仿宋_GB2312" w:eastAsia="仿宋_GB2312" w:cs="仿宋_GB2312"/>
          <w:sz w:val="32"/>
          <w:szCs w:val="32"/>
        </w:rPr>
        <w:t>“七五”普法成员开展“菜单化、订单式”精准法治宣读活动。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(政策法规科负责)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强化普法宣传。推进落实“谁执法、谁普法”责任制，根据年度普法计划要求，组织开展各类普法宣传活动，为企业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、公民</w:t>
      </w:r>
      <w:r>
        <w:rPr>
          <w:rFonts w:hint="eastAsia" w:ascii="仿宋_GB2312" w:hAnsi="仿宋_GB2312" w:eastAsia="仿宋_GB2312" w:cs="仿宋_GB2312"/>
          <w:sz w:val="32"/>
          <w:szCs w:val="32"/>
        </w:rPr>
        <w:t>解疑释惑。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(政策法规科、相关科室、监管所、执法中队负责)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（二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)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着力打造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诚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信法治政务环境，引导企业依法诚信经营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按照上级统一部署，集中清理不利于营商环境和公平竞争的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法规规</w:t>
      </w:r>
      <w:r>
        <w:rPr>
          <w:rFonts w:hint="eastAsia" w:ascii="仿宋_GB2312" w:hAnsi="仿宋_GB2312" w:eastAsia="仿宋_GB2312" w:cs="仿宋_GB2312"/>
          <w:sz w:val="32"/>
          <w:szCs w:val="32"/>
        </w:rPr>
        <w:t>章和规范性文件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(价监科、相关科室）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全面推行证明事项告知承诺制，进一步明确保留的证明事项清单。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(标准计量科负责)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建立诚信优劣奖惩</w:t>
      </w:r>
      <w:r>
        <w:rPr>
          <w:rFonts w:hint="eastAsia" w:ascii="仿宋_GB2312" w:hAnsi="仿宋_GB2312" w:eastAsia="仿宋_GB2312" w:cs="仿宋_GB2312"/>
          <w:sz w:val="32"/>
          <w:szCs w:val="32"/>
        </w:rPr>
        <w:t>机制。配合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发展改革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做好市场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主体信用评价分级工作，做好市场主体信用评价分级工作，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落实诚信企业、诚信企业家优先享受市场监管奖励性政策。健全失信联合惩戒对象“黑名单”制度，认真贯彻落实国家有关部委联合签署的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系列失信联合惩戒备忘录，推动联合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惩戒</w:t>
      </w:r>
      <w:r>
        <w:rPr>
          <w:rFonts w:hint="eastAsia" w:ascii="仿宋_GB2312" w:hAnsi="仿宋_GB2312" w:eastAsia="仿宋_GB2312" w:cs="仿宋_GB2312"/>
          <w:sz w:val="32"/>
          <w:szCs w:val="32"/>
        </w:rPr>
        <w:t>措施落地落实。依法适用行政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性约束</w:t>
      </w:r>
      <w:r>
        <w:rPr>
          <w:rFonts w:hint="eastAsia" w:ascii="仿宋_GB2312" w:hAnsi="仿宋_GB2312" w:eastAsia="仿宋_GB2312" w:cs="仿宋_GB2312"/>
          <w:sz w:val="32"/>
          <w:szCs w:val="32"/>
        </w:rPr>
        <w:t>和惩戒，营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造</w:t>
      </w:r>
      <w:r>
        <w:rPr>
          <w:rFonts w:hint="eastAsia" w:ascii="仿宋_GB2312" w:hAnsi="仿宋_GB2312" w:eastAsia="仿宋_GB2312" w:cs="仿宋_GB2312"/>
          <w:sz w:val="32"/>
          <w:szCs w:val="32"/>
        </w:rPr>
        <w:t>守信者受益、失信者受限的社会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氛围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(信用科、相关科室、监管所、执法中队负责)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(三)加大平等保护力度，依法保障企业和企业家合法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权益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保障市场主体公平参与市场竞争。组织开展清理和废除妨碍市场和公平竞争政策措施工作。完善公平竞争联席会议制度，适时召开公平竞争审查工作调度会。做好新制定政策把关工作，防止妨碍统一市场和公平竞争的规定出台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(价监科牵头，相关科室配合)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>慎用行政强制措施，最大程度减少对企业正常生产经营活动的影响。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(政策法规科牵头，相关科室、监管所、执法中队负责)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7、配合省市局开展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对滥用市场支配地位、达成反垄断协议、滥用行政权力排除限制竞争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等反垄断违法行为，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以及不正当竞争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，坚决依法调查处理，维护市场公平竞争秩序，保障企业合法权益。优化投诉举报渠道，对社会关注、群众关切的重点领域、重点行业存在的不正当竞争行为，组织开展专项执法行动，加大监管力度。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(反不正当竞争科、价监科、监管所、执法中队负责)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（四）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畅通诉求表达“绿色通道”，依法化解涉企矛盾纠纷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sz w:val="32"/>
          <w:szCs w:val="32"/>
        </w:rPr>
        <w:t>畅通企业诉求处理渠道，完善工作流程，及时回应、处理企业诉求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健全非诉纠纷解决机制。整合市场监管领域行政调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解</w:t>
      </w:r>
      <w:r>
        <w:rPr>
          <w:rFonts w:hint="eastAsia" w:ascii="仿宋_GB2312" w:hAnsi="仿宋_GB2312" w:eastAsia="仿宋_GB2312" w:cs="仿宋_GB2312"/>
          <w:sz w:val="32"/>
          <w:szCs w:val="32"/>
        </w:rPr>
        <w:t>职能，成立行政调解委员会，明确委员组成人员、职责，健全行政调解制度，规范提升行政调解效能。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（消保科、相关科室、监管所、执法中队负责）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（五）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进一步规范自由裁量行为，推进严格规范公正文明执法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落实行政执法“三项制度”。全面实现行政处罚、行政强制等权利事项网上运行，实现执法公示、全过程记录、重大执法决定法制审核全覆盖。完善落实行政处罚自由裁量基准，合理确定裁量范围、种类和幅度，防止执法随意、标准不一等现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（政策法规科、相关科室、监管所、执法中队负责）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落实容错包容审慎监管机制。推进《淄博市市场监管领域免检查、轻微违法行为免强制、免处罚清单》执行，对规定的十三类违法行为实行首次免罚，对三十类违法行为实行改正后不罚。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（政策法规科、相关科室、监管所、执法中队负责）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11、</w:t>
      </w:r>
      <w:r>
        <w:rPr>
          <w:rFonts w:hint="eastAsia" w:ascii="仿宋_GB2312" w:hAnsi="仿宋_GB2312" w:eastAsia="仿宋_GB2312" w:cs="仿宋_GB2312"/>
          <w:sz w:val="32"/>
          <w:szCs w:val="32"/>
        </w:rPr>
        <w:t>推行按市场主体信用等级实行差异化监管模式。扎实落实“企业免检免扰制度”、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涉企检查口登记备案制度”。根据企业守法诚信情况，实行差异化检查。将执法随机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抽查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比例频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</w:rPr>
        <w:t>抽查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概率</w:t>
      </w:r>
      <w:r>
        <w:rPr>
          <w:rFonts w:hint="eastAsia" w:ascii="仿宋_GB2312" w:hAnsi="仿宋_GB2312" w:eastAsia="仿宋_GB2312" w:cs="仿宋_GB2312"/>
          <w:sz w:val="32"/>
          <w:szCs w:val="32"/>
        </w:rPr>
        <w:t>与抽查对象的信用等级，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风险</w:t>
      </w:r>
      <w:r>
        <w:rPr>
          <w:rFonts w:hint="eastAsia" w:ascii="仿宋_GB2312" w:hAnsi="仿宋_GB2312" w:eastAsia="仿宋_GB2312" w:cs="仿宋_GB2312"/>
          <w:sz w:val="32"/>
          <w:szCs w:val="32"/>
        </w:rPr>
        <w:t>程度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挂钩</w:t>
      </w:r>
      <w:r>
        <w:rPr>
          <w:rFonts w:hint="eastAsia" w:ascii="仿宋_GB2312" w:hAnsi="仿宋_GB2312" w:eastAsia="仿宋_GB2312" w:cs="仿宋_GB2312"/>
          <w:sz w:val="32"/>
          <w:szCs w:val="32"/>
        </w:rPr>
        <w:t>。全面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梳理</w:t>
      </w:r>
      <w:r>
        <w:rPr>
          <w:rFonts w:hint="eastAsia" w:ascii="仿宋_GB2312" w:hAnsi="仿宋_GB2312" w:eastAsia="仿宋_GB2312" w:cs="仿宋_GB2312"/>
          <w:sz w:val="32"/>
          <w:szCs w:val="32"/>
        </w:rPr>
        <w:t>现有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涉</w:t>
      </w:r>
      <w:r>
        <w:rPr>
          <w:rFonts w:hint="eastAsia" w:ascii="仿宋_GB2312" w:hAnsi="仿宋_GB2312" w:eastAsia="仿宋_GB2312" w:cs="仿宋_GB2312"/>
          <w:sz w:val="32"/>
          <w:szCs w:val="32"/>
        </w:rPr>
        <w:t>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</w:t>
      </w:r>
      <w:r>
        <w:rPr>
          <w:rFonts w:hint="eastAsia" w:ascii="仿宋_GB2312" w:hAnsi="仿宋_GB2312" w:eastAsia="仿宋_GB2312" w:cs="仿宋_GB2312"/>
          <w:sz w:val="32"/>
          <w:szCs w:val="32"/>
        </w:rPr>
        <w:t>查事项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，压减</w:t>
      </w:r>
      <w:r>
        <w:rPr>
          <w:rFonts w:hint="eastAsia" w:ascii="仿宋_GB2312" w:hAnsi="仿宋_GB2312" w:eastAsia="仿宋_GB2312" w:cs="仿宋_GB2312"/>
          <w:sz w:val="32"/>
          <w:szCs w:val="32"/>
        </w:rPr>
        <w:t>重复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或不必</w:t>
      </w:r>
      <w:r>
        <w:rPr>
          <w:rFonts w:hint="eastAsia" w:ascii="仿宋_GB2312" w:hAnsi="仿宋_GB2312" w:eastAsia="仿宋_GB2312" w:cs="仿宋_GB2312"/>
          <w:sz w:val="32"/>
          <w:szCs w:val="32"/>
        </w:rPr>
        <w:t>要的检查事项。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（信用监管科、政策法规科、相关科室、监管所、执法中队负责）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各单位要认真学习市委依法治市委员会《关于严格依法办事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优化法治营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环境的实施意见》以及本通知内容，切实提高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思想</w:t>
      </w:r>
      <w:r>
        <w:rPr>
          <w:rFonts w:hint="eastAsia" w:ascii="仿宋_GB2312" w:hAnsi="仿宋_GB2312" w:eastAsia="仿宋_GB2312" w:cs="仿宋_GB2312"/>
          <w:sz w:val="32"/>
          <w:szCs w:val="32"/>
        </w:rPr>
        <w:t>认识，明确任务，细化措施，严格按时限、要求推进工作。牵头单位要发挥好牵头作用，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工作部署、调度和指导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结合工作实际</w:t>
      </w:r>
      <w:r>
        <w:rPr>
          <w:rFonts w:hint="eastAsia" w:ascii="仿宋_GB2312" w:hAnsi="仿宋_GB2312" w:eastAsia="仿宋_GB2312" w:cs="仿宋_GB2312"/>
          <w:sz w:val="32"/>
          <w:szCs w:val="32"/>
        </w:rPr>
        <w:t>，全面谋划、统筹推进，确保各项工作落实、落地，取得实效。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委依法治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年底将对相关工作完成情况进行调度、考核，相关部门也将开展督导检查，各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牵头和责任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单位要引起足够重视，在确保工作扎实推进的同时，注重加强工作资料收集、整理，做到工作有实绩，过程有痕迹。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高青县市</w:t>
      </w:r>
      <w:r>
        <w:rPr>
          <w:rFonts w:hint="eastAsia" w:ascii="仿宋_GB2312" w:hAnsi="仿宋_GB2312" w:eastAsia="仿宋_GB2312" w:cs="仿宋_GB2312"/>
          <w:sz w:val="32"/>
          <w:szCs w:val="32"/>
        </w:rPr>
        <w:t>场督监督管局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年6月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YzNhNjUzNDBiY2Q4MDI5NGI2NjNmY2JlMGIyNjMifQ=="/>
  </w:docVars>
  <w:rsids>
    <w:rsidRoot w:val="06C25072"/>
    <w:rsid w:val="06C25072"/>
    <w:rsid w:val="0C517A61"/>
    <w:rsid w:val="0F47759C"/>
    <w:rsid w:val="13885602"/>
    <w:rsid w:val="14817310"/>
    <w:rsid w:val="18D72D97"/>
    <w:rsid w:val="1986653F"/>
    <w:rsid w:val="1E834606"/>
    <w:rsid w:val="253B2786"/>
    <w:rsid w:val="2734429F"/>
    <w:rsid w:val="2B0B1F51"/>
    <w:rsid w:val="2B884B76"/>
    <w:rsid w:val="345D2848"/>
    <w:rsid w:val="3ADB67D2"/>
    <w:rsid w:val="43D84E80"/>
    <w:rsid w:val="45833C35"/>
    <w:rsid w:val="46EC34F2"/>
    <w:rsid w:val="470D10DE"/>
    <w:rsid w:val="493E4242"/>
    <w:rsid w:val="49E4099E"/>
    <w:rsid w:val="4D2622B2"/>
    <w:rsid w:val="559F31B9"/>
    <w:rsid w:val="57AB608E"/>
    <w:rsid w:val="63A40F36"/>
    <w:rsid w:val="6B800251"/>
    <w:rsid w:val="6F5A27B5"/>
    <w:rsid w:val="719028DB"/>
    <w:rsid w:val="71F11E00"/>
    <w:rsid w:val="75870E87"/>
    <w:rsid w:val="7A22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1983</Words>
  <Characters>1998</Characters>
  <Lines>0</Lines>
  <Paragraphs>0</Paragraphs>
  <TotalTime>19</TotalTime>
  <ScaleCrop>false</ScaleCrop>
  <LinksUpToDate>false</LinksUpToDate>
  <CharactersWithSpaces>2003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2020-06-10T02:40:00Z</dcterms:created>
  <dc:creator>岁月静好</dc:creator>
  <cp:lastModifiedBy>兮</cp:lastModifiedBy>
  <cp:lastPrinted>2020-06-16T08:20:00Z</cp:lastPrinted>
  <dcterms:modified xsi:type="dcterms:W3CDTF">2022-11-04T02:36:29Z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56434E7A214E4250B0EDDAFDFA76BE79</vt:lpwstr>
  </property>
</Properties>
</file>