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7C" w:rsidRDefault="00E2707C">
      <w:pPr>
        <w:adjustRightInd w:val="0"/>
        <w:snapToGrid w:val="0"/>
        <w:spacing w:line="580" w:lineRule="exact"/>
        <w:jc w:val="center"/>
        <w:rPr>
          <w:rFonts w:ascii="Times New Roman" w:eastAsia="仿宋" w:hAnsi="Times New Roman" w:cs="Times New Roman" w:hint="eastAsia"/>
          <w:color w:val="000000" w:themeColor="text1"/>
          <w:sz w:val="32"/>
          <w:szCs w:val="32"/>
        </w:rPr>
      </w:pPr>
    </w:p>
    <w:p w:rsidR="00E2707C" w:rsidRDefault="00E2707C">
      <w:pPr>
        <w:adjustRightInd w:val="0"/>
        <w:snapToGrid w:val="0"/>
        <w:spacing w:line="580" w:lineRule="exact"/>
        <w:jc w:val="center"/>
        <w:rPr>
          <w:rFonts w:ascii="Times New Roman" w:eastAsia="仿宋" w:hAnsi="Times New Roman" w:cs="Times New Roman" w:hint="eastAsia"/>
          <w:color w:val="000000" w:themeColor="text1"/>
          <w:sz w:val="32"/>
          <w:szCs w:val="32"/>
        </w:rPr>
      </w:pPr>
    </w:p>
    <w:p w:rsidR="00E2707C" w:rsidRDefault="00E2707C">
      <w:pPr>
        <w:adjustRightInd w:val="0"/>
        <w:snapToGrid w:val="0"/>
        <w:spacing w:line="580" w:lineRule="exact"/>
        <w:jc w:val="center"/>
        <w:rPr>
          <w:rFonts w:ascii="Times New Roman" w:eastAsia="仿宋" w:hAnsi="Times New Roman" w:cs="Times New Roman" w:hint="eastAsia"/>
          <w:color w:val="000000" w:themeColor="text1"/>
          <w:sz w:val="32"/>
          <w:szCs w:val="32"/>
        </w:rPr>
      </w:pPr>
    </w:p>
    <w:p w:rsidR="00E2707C" w:rsidRDefault="00E2707C">
      <w:pPr>
        <w:adjustRightInd w:val="0"/>
        <w:snapToGrid w:val="0"/>
        <w:spacing w:line="580" w:lineRule="exact"/>
        <w:jc w:val="center"/>
        <w:rPr>
          <w:rFonts w:ascii="Times New Roman" w:eastAsia="仿宋" w:hAnsi="Times New Roman" w:cs="Times New Roman" w:hint="eastAsia"/>
          <w:color w:val="000000" w:themeColor="text1"/>
          <w:sz w:val="32"/>
          <w:szCs w:val="32"/>
        </w:rPr>
      </w:pPr>
    </w:p>
    <w:p w:rsidR="00E2707C" w:rsidRDefault="00E2707C">
      <w:pPr>
        <w:adjustRightInd w:val="0"/>
        <w:snapToGrid w:val="0"/>
        <w:spacing w:line="580" w:lineRule="exact"/>
        <w:jc w:val="center"/>
        <w:rPr>
          <w:rFonts w:ascii="Times New Roman" w:eastAsia="仿宋" w:hAnsi="Times New Roman" w:cs="Times New Roman" w:hint="eastAsia"/>
          <w:color w:val="000000" w:themeColor="text1"/>
          <w:sz w:val="32"/>
          <w:szCs w:val="32"/>
        </w:rPr>
      </w:pPr>
    </w:p>
    <w:p w:rsidR="008544B3" w:rsidRDefault="003511AC">
      <w:pPr>
        <w:adjustRightInd w:val="0"/>
        <w:snapToGrid w:val="0"/>
        <w:spacing w:line="580" w:lineRule="exact"/>
        <w:jc w:val="center"/>
        <w:rPr>
          <w:rFonts w:ascii="Times New Roman" w:eastAsia="仿宋" w:hAnsi="Times New Roman" w:cs="Times New Roman"/>
          <w:color w:val="000000" w:themeColor="text1"/>
          <w:sz w:val="32"/>
          <w:szCs w:val="32"/>
        </w:rPr>
      </w:pP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simplePos x="0" y="0"/>
                <wp:positionH relativeFrom="page">
                  <wp:posOffset>1069975</wp:posOffset>
                </wp:positionH>
                <wp:positionV relativeFrom="paragraph">
                  <wp:posOffset>353695</wp:posOffset>
                </wp:positionV>
                <wp:extent cx="5616575" cy="0"/>
                <wp:effectExtent l="0" t="0" r="0" b="0"/>
                <wp:wrapNone/>
                <wp:docPr id="4" name="直线 2"/>
                <wp:cNvGraphicFramePr/>
                <a:graphic xmlns:a="http://schemas.openxmlformats.org/drawingml/2006/main">
                  <a:graphicData uri="http://schemas.microsoft.com/office/word/2010/wordprocessingShape">
                    <wps:wsp>
                      <wps:cNvCnPr/>
                      <wps:spPr>
                        <a:xfrm>
                          <a:off x="0" y="0"/>
                          <a:ext cx="5616575" cy="0"/>
                        </a:xfrm>
                        <a:prstGeom prst="line">
                          <a:avLst/>
                        </a:prstGeom>
                        <a:ln w="22860" cap="flat" cmpd="sng">
                          <a:no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84.25pt;margin-top:27.85pt;height:0pt;width:442.25pt;mso-position-horizontal-relative:page;z-index:251661312;mso-width-relative:page;mso-height-relative:page;" filled="f" stroked="f" coordsize="21600,21600" o:gfxdata="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QIpd3XAAAACgEAAA8AAAAAAAAA&#10;AQAgAAAAIgAAAGRycy9kb3ducmV2LnhtbFBLAQIUABQAAAAIAIdO4kC34cJW2QEAALMDAAAOAAAA&#10;AAAAAAEAIAAAACYBAABkcnMvZTJvRG9jLnhtbFBLBQYAAAAABgAGAFkBAABxBQAAAAA=&#10;">
                <v:fill on="f" focussize="0,0"/>
                <v:stroke on="f" weight="1.8pt"/>
                <v:imagedata o:title=""/>
                <o:lock v:ext="edit" aspectratio="f"/>
              </v:line>
            </w:pict>
          </mc:Fallback>
        </mc:AlternateContent>
      </w:r>
      <w:r>
        <w:rPr>
          <w:rFonts w:ascii="Times New Roman" w:eastAsia="仿宋" w:hAnsi="Times New Roman" w:cs="Times New Roman"/>
          <w:color w:val="000000" w:themeColor="text1"/>
          <w:sz w:val="32"/>
          <w:szCs w:val="32"/>
        </w:rPr>
        <w:t>高市监发〔</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23</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2</w:t>
      </w:r>
      <w:r>
        <w:rPr>
          <w:rFonts w:ascii="Times New Roman" w:eastAsia="仿宋" w:hAnsi="Times New Roman" w:cs="Times New Roman" w:hint="eastAsia"/>
          <w:color w:val="000000" w:themeColor="text1"/>
          <w:sz w:val="32"/>
          <w:szCs w:val="32"/>
        </w:rPr>
        <w:t>6</w:t>
      </w:r>
      <w:r>
        <w:rPr>
          <w:rFonts w:ascii="Times New Roman" w:eastAsia="仿宋" w:hAnsi="Times New Roman" w:cs="Times New Roman"/>
          <w:color w:val="000000" w:themeColor="text1"/>
          <w:sz w:val="32"/>
          <w:szCs w:val="32"/>
        </w:rPr>
        <w:t>号</w:t>
      </w:r>
    </w:p>
    <w:p w:rsidR="008544B3" w:rsidRDefault="008544B3">
      <w:pPr>
        <w:adjustRightInd w:val="0"/>
        <w:snapToGrid w:val="0"/>
        <w:spacing w:line="580" w:lineRule="exact"/>
        <w:rPr>
          <w:rFonts w:ascii="Times New Roman" w:hAnsi="Times New Roman" w:cs="Times New Roman"/>
          <w:bCs/>
          <w:szCs w:val="21"/>
        </w:rPr>
      </w:pPr>
    </w:p>
    <w:p w:rsidR="008544B3" w:rsidRDefault="003511AC">
      <w:pPr>
        <w:adjustRightInd w:val="0"/>
        <w:snapToGrid w:val="0"/>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高青县</w:t>
      </w:r>
      <w:r>
        <w:rPr>
          <w:rFonts w:ascii="Times New Roman" w:eastAsia="方正小标宋简体" w:hAnsi="Times New Roman" w:cs="Times New Roman"/>
          <w:sz w:val="44"/>
          <w:szCs w:val="44"/>
        </w:rPr>
        <w:t>市场监督管理局</w:t>
      </w:r>
    </w:p>
    <w:p w:rsidR="008544B3" w:rsidRDefault="003511AC">
      <w:pPr>
        <w:adjustRightInd w:val="0"/>
        <w:snapToGrid w:val="0"/>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高青县</w:t>
      </w:r>
      <w:r>
        <w:rPr>
          <w:rFonts w:ascii="Times New Roman" w:eastAsia="方正小标宋简体" w:hAnsi="Times New Roman" w:cs="Times New Roman"/>
          <w:sz w:val="44"/>
          <w:szCs w:val="44"/>
        </w:rPr>
        <w:t>市场监管系统城镇燃气安全</w:t>
      </w:r>
    </w:p>
    <w:p w:rsidR="008544B3" w:rsidRDefault="003511AC">
      <w:pPr>
        <w:adjustRightInd w:val="0"/>
        <w:snapToGrid w:val="0"/>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专项整治行动实施方案</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的通知</w:t>
      </w:r>
    </w:p>
    <w:p w:rsidR="008544B3" w:rsidRDefault="008544B3">
      <w:pPr>
        <w:spacing w:line="578" w:lineRule="exact"/>
        <w:rPr>
          <w:rFonts w:ascii="Times New Roman" w:eastAsia="仿宋_GB2312" w:hAnsi="Times New Roman" w:cs="Times New Roman"/>
          <w:sz w:val="32"/>
          <w:szCs w:val="32"/>
          <w:highlight w:val="yellow"/>
        </w:rPr>
      </w:pPr>
    </w:p>
    <w:p w:rsidR="008544B3" w:rsidRDefault="003511AC">
      <w:pPr>
        <w:spacing w:line="6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各科室、监管所、综合行政执法大队：</w:t>
      </w:r>
    </w:p>
    <w:p w:rsidR="008544B3" w:rsidRDefault="003511AC">
      <w:pPr>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按照</w:t>
      </w:r>
      <w:r>
        <w:rPr>
          <w:rFonts w:ascii="Times New Roman" w:eastAsia="仿宋_GB2312" w:hAnsi="Times New Roman" w:cs="Times New Roman"/>
          <w:color w:val="000000"/>
          <w:kern w:val="0"/>
          <w:sz w:val="32"/>
          <w:szCs w:val="32"/>
        </w:rPr>
        <w:t>县</w:t>
      </w:r>
      <w:r>
        <w:rPr>
          <w:rFonts w:ascii="Times New Roman" w:eastAsia="仿宋_GB2312" w:hAnsi="Times New Roman" w:cs="Times New Roman"/>
          <w:color w:val="000000"/>
          <w:kern w:val="0"/>
          <w:sz w:val="32"/>
          <w:szCs w:val="32"/>
        </w:rPr>
        <w:t>安委会和</w:t>
      </w:r>
      <w:r>
        <w:rPr>
          <w:rFonts w:ascii="Times New Roman" w:eastAsia="仿宋_GB2312" w:hAnsi="Times New Roman" w:cs="Times New Roman"/>
          <w:color w:val="000000"/>
          <w:kern w:val="0"/>
          <w:sz w:val="32"/>
          <w:szCs w:val="32"/>
        </w:rPr>
        <w:t>市</w:t>
      </w:r>
      <w:r>
        <w:rPr>
          <w:rFonts w:ascii="Times New Roman" w:eastAsia="仿宋_GB2312" w:hAnsi="Times New Roman" w:cs="Times New Roman"/>
          <w:color w:val="000000"/>
          <w:kern w:val="0"/>
          <w:sz w:val="32"/>
          <w:szCs w:val="32"/>
        </w:rPr>
        <w:t>市场监管局关于城镇燃气安全专项整治工作部署，结合市场监管部门职</w:t>
      </w:r>
      <w:r>
        <w:rPr>
          <w:rFonts w:ascii="Times New Roman" w:eastAsia="仿宋_GB2312" w:hAnsi="Times New Roman" w:cs="Times New Roman"/>
          <w:color w:val="000000"/>
          <w:kern w:val="0"/>
          <w:sz w:val="32"/>
          <w:szCs w:val="32"/>
        </w:rPr>
        <w:t>责</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县</w:t>
      </w:r>
      <w:r>
        <w:rPr>
          <w:rFonts w:ascii="Times New Roman" w:eastAsia="仿宋_GB2312" w:hAnsi="Times New Roman" w:cs="Times New Roman"/>
          <w:color w:val="000000"/>
          <w:kern w:val="0"/>
          <w:sz w:val="32"/>
          <w:szCs w:val="32"/>
        </w:rPr>
        <w:t>市场监管局制定了《</w:t>
      </w:r>
      <w:r>
        <w:rPr>
          <w:rFonts w:ascii="Times New Roman" w:eastAsia="仿宋_GB2312" w:hAnsi="Times New Roman" w:cs="Times New Roman"/>
          <w:color w:val="000000"/>
          <w:kern w:val="0"/>
          <w:sz w:val="32"/>
          <w:szCs w:val="32"/>
        </w:rPr>
        <w:t>高青县</w:t>
      </w:r>
      <w:r>
        <w:rPr>
          <w:rFonts w:ascii="Times New Roman" w:eastAsia="仿宋_GB2312" w:hAnsi="Times New Roman" w:cs="Times New Roman"/>
          <w:color w:val="000000"/>
          <w:kern w:val="0"/>
          <w:sz w:val="32"/>
          <w:szCs w:val="32"/>
        </w:rPr>
        <w:t>市场监管系统城镇燃气安全专项整治行动实施方案》，现印发你们，请结合实际贯彻执行。</w:t>
      </w:r>
    </w:p>
    <w:p w:rsidR="008544B3" w:rsidRDefault="008544B3">
      <w:pPr>
        <w:spacing w:line="620" w:lineRule="exact"/>
        <w:ind w:firstLineChars="200" w:firstLine="640"/>
        <w:rPr>
          <w:rFonts w:ascii="Times New Roman" w:eastAsia="仿宋_GB2312" w:hAnsi="Times New Roman" w:cs="Times New Roman"/>
          <w:sz w:val="32"/>
          <w:szCs w:val="32"/>
        </w:rPr>
      </w:pPr>
    </w:p>
    <w:p w:rsidR="008544B3" w:rsidRDefault="008544B3">
      <w:pPr>
        <w:spacing w:line="620" w:lineRule="exact"/>
        <w:ind w:firstLineChars="200" w:firstLine="640"/>
        <w:rPr>
          <w:rFonts w:ascii="Times New Roman" w:eastAsia="仿宋_GB2312" w:hAnsi="Times New Roman" w:cs="Times New Roman"/>
          <w:sz w:val="32"/>
          <w:szCs w:val="32"/>
        </w:rPr>
      </w:pPr>
    </w:p>
    <w:p w:rsidR="008544B3" w:rsidRDefault="003511AC">
      <w:pPr>
        <w:spacing w:line="620" w:lineRule="exact"/>
        <w:ind w:leftChars="1500" w:left="3150"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高青县</w:t>
      </w:r>
      <w:r>
        <w:rPr>
          <w:rFonts w:ascii="Times New Roman" w:eastAsia="仿宋_GB2312" w:hAnsi="Times New Roman" w:cs="Times New Roman"/>
          <w:sz w:val="32"/>
          <w:szCs w:val="32"/>
        </w:rPr>
        <w:t>市场监督管理局</w:t>
      </w:r>
    </w:p>
    <w:p w:rsidR="008544B3" w:rsidRDefault="003511AC">
      <w:pPr>
        <w:spacing w:line="620" w:lineRule="exact"/>
        <w:ind w:leftChars="1500" w:left="3150"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p>
    <w:p w:rsidR="008544B3" w:rsidRDefault="008544B3">
      <w:pPr>
        <w:spacing w:line="578" w:lineRule="exact"/>
        <w:ind w:firstLineChars="200" w:firstLine="640"/>
        <w:rPr>
          <w:rFonts w:ascii="Times New Roman" w:eastAsia="仿宋_GB2312" w:hAnsi="Times New Roman" w:cs="Times New Roman"/>
          <w:sz w:val="32"/>
          <w:szCs w:val="32"/>
        </w:rPr>
      </w:pPr>
    </w:p>
    <w:p w:rsidR="008544B3" w:rsidRDefault="008544B3">
      <w:pPr>
        <w:spacing w:line="578" w:lineRule="exact"/>
        <w:ind w:firstLineChars="200" w:firstLine="640"/>
        <w:rPr>
          <w:rFonts w:ascii="Times New Roman" w:eastAsia="仿宋_GB2312" w:hAnsi="Times New Roman" w:cs="Times New Roman"/>
          <w:sz w:val="32"/>
          <w:szCs w:val="32"/>
        </w:rPr>
        <w:sectPr w:rsidR="008544B3">
          <w:footerReference w:type="default" r:id="rId8"/>
          <w:pgSz w:w="11906" w:h="16838"/>
          <w:pgMar w:top="2098" w:right="1474" w:bottom="1984" w:left="1587" w:header="851" w:footer="1361" w:gutter="0"/>
          <w:cols w:space="0"/>
          <w:docGrid w:type="lines" w:linePitch="312"/>
        </w:sectPr>
      </w:pPr>
    </w:p>
    <w:p w:rsidR="008544B3" w:rsidRDefault="003511AC">
      <w:pPr>
        <w:pStyle w:val="2"/>
        <w:spacing w:before="0" w:beforeAutospacing="0" w:after="0" w:afterAutospacing="0" w:line="578" w:lineRule="exact"/>
        <w:jc w:val="center"/>
        <w:rPr>
          <w:rFonts w:ascii="Times New Roman" w:eastAsia="方正小标宋简体" w:hAnsi="Times New Roman" w:cs="Times New Roman" w:hint="default"/>
          <w:b w:val="0"/>
          <w:bCs/>
          <w:sz w:val="44"/>
          <w:szCs w:val="44"/>
        </w:rPr>
      </w:pPr>
      <w:r>
        <w:rPr>
          <w:rFonts w:ascii="Times New Roman" w:eastAsia="方正小标宋简体" w:hAnsi="Times New Roman" w:cs="Times New Roman" w:hint="default"/>
          <w:b w:val="0"/>
          <w:bCs/>
          <w:sz w:val="44"/>
          <w:szCs w:val="44"/>
        </w:rPr>
        <w:lastRenderedPageBreak/>
        <w:t>高青县</w:t>
      </w:r>
      <w:r>
        <w:rPr>
          <w:rFonts w:ascii="Times New Roman" w:eastAsia="方正小标宋简体" w:hAnsi="Times New Roman" w:cs="Times New Roman" w:hint="default"/>
          <w:b w:val="0"/>
          <w:bCs/>
          <w:sz w:val="44"/>
          <w:szCs w:val="44"/>
        </w:rPr>
        <w:t>市场监管系统城镇燃气安全</w:t>
      </w:r>
    </w:p>
    <w:p w:rsidR="008544B3" w:rsidRDefault="003511AC">
      <w:pPr>
        <w:pStyle w:val="2"/>
        <w:spacing w:before="0" w:beforeAutospacing="0" w:after="0" w:afterAutospacing="0" w:line="578" w:lineRule="exact"/>
        <w:jc w:val="center"/>
        <w:rPr>
          <w:rFonts w:ascii="Times New Roman" w:eastAsia="方正小标宋简体" w:hAnsi="Times New Roman" w:cs="Times New Roman" w:hint="default"/>
          <w:b w:val="0"/>
          <w:bCs/>
          <w:sz w:val="44"/>
          <w:szCs w:val="44"/>
        </w:rPr>
      </w:pPr>
      <w:r>
        <w:rPr>
          <w:rFonts w:ascii="Times New Roman" w:eastAsia="方正小标宋简体" w:hAnsi="Times New Roman" w:cs="Times New Roman" w:hint="default"/>
          <w:b w:val="0"/>
          <w:bCs/>
          <w:sz w:val="44"/>
          <w:szCs w:val="44"/>
        </w:rPr>
        <w:t>项整治行动实施方案</w:t>
      </w:r>
    </w:p>
    <w:p w:rsidR="008544B3" w:rsidRDefault="008544B3">
      <w:pPr>
        <w:spacing w:line="578" w:lineRule="exact"/>
        <w:ind w:firstLineChars="200" w:firstLine="640"/>
        <w:rPr>
          <w:rFonts w:ascii="Times New Roman" w:eastAsia="仿宋_GB2312" w:hAnsi="Times New Roman" w:cs="Times New Roman"/>
          <w:sz w:val="32"/>
          <w:szCs w:val="32"/>
        </w:rPr>
      </w:pP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为深入贯彻习近平总书记关于安全生产和燃气安全的重要指示批示精神，落实</w:t>
      </w:r>
      <w:r>
        <w:rPr>
          <w:rFonts w:ascii="Times New Roman" w:eastAsia="仿宋_GB2312" w:hAnsi="Times New Roman" w:cs="Times New Roman"/>
          <w:sz w:val="32"/>
          <w:szCs w:val="32"/>
        </w:rPr>
        <w:t>县</w:t>
      </w:r>
      <w:r>
        <w:rPr>
          <w:rFonts w:ascii="Times New Roman" w:eastAsia="仿宋_GB2312" w:hAnsi="Times New Roman" w:cs="Times New Roman"/>
          <w:color w:val="000000"/>
          <w:kern w:val="0"/>
          <w:sz w:val="32"/>
          <w:szCs w:val="32"/>
        </w:rPr>
        <w:t>安委会</w:t>
      </w:r>
      <w:r>
        <w:rPr>
          <w:rFonts w:ascii="Times New Roman" w:eastAsia="仿宋_GB2312" w:hAnsi="Times New Roman" w:cs="Times New Roman"/>
          <w:color w:val="000000"/>
          <w:kern w:val="0"/>
          <w:sz w:val="32"/>
          <w:szCs w:val="32"/>
        </w:rPr>
        <w:t>和市</w:t>
      </w:r>
      <w:r>
        <w:rPr>
          <w:rFonts w:ascii="Times New Roman" w:eastAsia="仿宋_GB2312" w:hAnsi="Times New Roman" w:cs="Times New Roman"/>
          <w:color w:val="000000"/>
          <w:kern w:val="0"/>
          <w:sz w:val="32"/>
          <w:szCs w:val="32"/>
        </w:rPr>
        <w:t>市场监管局关于城镇燃气安全专项整治工作部署，</w:t>
      </w:r>
      <w:r>
        <w:rPr>
          <w:rFonts w:ascii="Times New Roman" w:eastAsia="仿宋_GB2312" w:hAnsi="Times New Roman" w:cs="Times New Roman"/>
          <w:sz w:val="32"/>
          <w:szCs w:val="32"/>
        </w:rPr>
        <w:t>全面加强</w:t>
      </w:r>
      <w:r>
        <w:rPr>
          <w:rFonts w:ascii="Times New Roman" w:eastAsia="仿宋_GB2312" w:hAnsi="Times New Roman" w:cs="Times New Roman"/>
          <w:sz w:val="32"/>
          <w:szCs w:val="32"/>
        </w:rPr>
        <w:t>全县</w:t>
      </w:r>
      <w:r>
        <w:rPr>
          <w:rFonts w:ascii="Times New Roman" w:eastAsia="仿宋_GB2312" w:hAnsi="Times New Roman" w:cs="Times New Roman"/>
          <w:sz w:val="32"/>
          <w:szCs w:val="32"/>
        </w:rPr>
        <w:t>市场监管领域城镇燃气安全风险隐患排查治理，切实保障人民群众生命财产安全，结合市场监管部门职责，制定本实施方案。</w:t>
      </w:r>
    </w:p>
    <w:p w:rsidR="008544B3" w:rsidRDefault="003511AC">
      <w:pPr>
        <w:spacing w:line="578"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（一）指导思想</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全面贯彻党的二十大精神，深入落实新发展理念，坚持人民至上、生命至上，坚持统筹发展和安全。坚持安全第一、系统治理，坚持规范监管、压实责任，坚持创新引领、数字赋能，坚持打建结合、标本兼治，严格落实安全生产十五条硬措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八抓</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创新措施</w:t>
      </w:r>
      <w:r>
        <w:rPr>
          <w:rFonts w:ascii="Times New Roman" w:eastAsia="仿宋_GB2312" w:hAnsi="Times New Roman" w:cs="Times New Roman"/>
          <w:sz w:val="32"/>
          <w:szCs w:val="32"/>
        </w:rPr>
        <w:t>和安全生产</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条硬核举措</w:t>
      </w:r>
      <w:r>
        <w:rPr>
          <w:rFonts w:ascii="Times New Roman" w:eastAsia="仿宋_GB2312" w:hAnsi="Times New Roman" w:cs="Times New Roman"/>
          <w:sz w:val="32"/>
          <w:szCs w:val="32"/>
        </w:rPr>
        <w:t>，全面压实企业主体责任，强化企业人员岗位安全责任，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大起底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排查整治</w:t>
      </w:r>
      <w:r>
        <w:rPr>
          <w:rFonts w:ascii="Times New Roman" w:eastAsia="仿宋_GB2312" w:hAnsi="Times New Roman" w:cs="Times New Roman"/>
          <w:sz w:val="32"/>
          <w:szCs w:val="32"/>
        </w:rPr>
        <w:t>市场监管领域城镇燃气安全风险隐患，坚决</w:t>
      </w:r>
      <w:proofErr w:type="gramStart"/>
      <w:r>
        <w:rPr>
          <w:rFonts w:ascii="Times New Roman" w:eastAsia="仿宋_GB2312" w:hAnsi="Times New Roman" w:cs="Times New Roman"/>
          <w:sz w:val="32"/>
          <w:szCs w:val="32"/>
        </w:rPr>
        <w:t>防范重</w:t>
      </w:r>
      <w:proofErr w:type="gramEnd"/>
      <w:r>
        <w:rPr>
          <w:rFonts w:ascii="Times New Roman" w:eastAsia="仿宋_GB2312" w:hAnsi="Times New Roman" w:cs="Times New Roman"/>
          <w:sz w:val="32"/>
          <w:szCs w:val="32"/>
        </w:rPr>
        <w:t>特大事故发生，</w:t>
      </w:r>
      <w:r>
        <w:rPr>
          <w:rFonts w:ascii="Times New Roman" w:eastAsia="仿宋_GB2312" w:hAnsi="Times New Roman" w:cs="Times New Roman"/>
          <w:sz w:val="32"/>
          <w:szCs w:val="32"/>
        </w:rPr>
        <w:t>完善管理体系，优化长效机制建设，全面提升排查整治质量和城镇燃气本质安全水平，推动市场监管领域燃气安全治理模式向事前预防转型，</w:t>
      </w:r>
      <w:r>
        <w:rPr>
          <w:rFonts w:ascii="Times New Roman" w:eastAsia="仿宋_GB2312" w:hAnsi="Times New Roman" w:cs="Times New Roman"/>
          <w:sz w:val="32"/>
          <w:szCs w:val="32"/>
        </w:rPr>
        <w:t>切实提高人民群众的获得感、幸福感、安全感。</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（二）工作目标</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个月左右时间开展集中攻坚，全面排查整治市场监管领域城镇燃气风险隐患，建立</w:t>
      </w:r>
      <w:proofErr w:type="gramStart"/>
      <w:r>
        <w:rPr>
          <w:rFonts w:ascii="Times New Roman" w:eastAsia="仿宋_GB2312" w:hAnsi="Times New Roman" w:cs="Times New Roman"/>
          <w:sz w:val="32"/>
          <w:szCs w:val="32"/>
        </w:rPr>
        <w:t>整治台</w:t>
      </w:r>
      <w:proofErr w:type="gramEnd"/>
      <w:r>
        <w:rPr>
          <w:rFonts w:ascii="Times New Roman" w:eastAsia="仿宋_GB2312" w:hAnsi="Times New Roman" w:cs="Times New Roman"/>
          <w:sz w:val="32"/>
          <w:szCs w:val="32"/>
        </w:rPr>
        <w:t>账，切实消除突出风险隐患；</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日前，利用半年左右时间巩固提升集中攻坚成效，组织开展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，全面完成对排查出风险隐患的整治，构建燃气气瓶和燃气器具</w:t>
      </w:r>
      <w:r>
        <w:rPr>
          <w:rFonts w:ascii="Times New Roman" w:eastAsia="仿宋_GB2312" w:hAnsi="Times New Roman" w:cs="Times New Roman"/>
          <w:sz w:val="32"/>
          <w:szCs w:val="32"/>
        </w:rPr>
        <w:t>隐患排查治理工作机制；</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年底前，建立严进、严管、重罚的安全监管机制，健全完善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上下联动、多方协同、把握细节、狠抓落实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的工作体系，提升本质安全水平，基本建立市场监管领域城镇燃气安全监管长效机制。</w:t>
      </w:r>
    </w:p>
    <w:p w:rsidR="008544B3" w:rsidRDefault="003511AC">
      <w:pPr>
        <w:spacing w:line="578"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二、突出重点集中攻坚</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（一）深入排查整治燃气生产、气瓶充装安全风险和事故隐患。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强化对液化石油气的质量安全监管。坚持问题导向，实施分类精准监管，结合通用型企业信用风险分类结果，对发现较大质量安全风险的液化石油气生产经营单位，实施重点监管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依据《城镇燃气管理条例》和《淄博市城镇燃气安全专项整治实施方案》等规</w:t>
      </w:r>
      <w:r>
        <w:rPr>
          <w:rFonts w:ascii="Times New Roman" w:eastAsia="仿宋_GB2312" w:hAnsi="Times New Roman" w:cs="Times New Roman"/>
          <w:sz w:val="32"/>
          <w:szCs w:val="32"/>
        </w:rPr>
        <w:t>定，收到涉嫌</w:t>
      </w:r>
      <w:r>
        <w:rPr>
          <w:rFonts w:ascii="Times New Roman" w:eastAsia="仿宋_GB2312" w:hAnsi="Times New Roman" w:cs="Times New Roman"/>
          <w:sz w:val="32"/>
          <w:szCs w:val="32"/>
        </w:rPr>
        <w:t>气质不达标、非法掺混二甲醚</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问题气</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通报后，对</w:t>
      </w:r>
      <w:r>
        <w:rPr>
          <w:rFonts w:ascii="Times New Roman" w:eastAsia="仿宋_GB2312" w:hAnsi="Times New Roman" w:cs="Times New Roman"/>
          <w:sz w:val="32"/>
          <w:szCs w:val="32"/>
        </w:rPr>
        <w:t>生产经营场所（含充装单位）内所有储气罐的液化石油气实行全覆盖抽样检验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发现存在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的，立即责令停止违法行为，</w:t>
      </w:r>
      <w:r>
        <w:rPr>
          <w:rFonts w:ascii="Times New Roman" w:eastAsia="仿宋_GB2312" w:hAnsi="Times New Roman" w:cs="Times New Roman"/>
          <w:sz w:val="32"/>
          <w:szCs w:val="32"/>
        </w:rPr>
        <w:t>及时依法查处，并</w:t>
      </w:r>
      <w:proofErr w:type="gramStart"/>
      <w:r>
        <w:rPr>
          <w:rFonts w:ascii="Times New Roman" w:eastAsia="仿宋_GB2312" w:hAnsi="Times New Roman" w:cs="Times New Roman"/>
          <w:sz w:val="32"/>
          <w:szCs w:val="32"/>
        </w:rPr>
        <w:t>移送</w:t>
      </w:r>
      <w:r>
        <w:rPr>
          <w:rFonts w:ascii="Times New Roman" w:eastAsia="仿宋_GB2312" w:hAnsi="Times New Roman" w:cs="Times New Roman"/>
          <w:sz w:val="32"/>
          <w:szCs w:val="32"/>
        </w:rPr>
        <w:t>住</w:t>
      </w:r>
      <w:proofErr w:type="gramEnd"/>
      <w:r>
        <w:rPr>
          <w:rFonts w:ascii="Times New Roman" w:eastAsia="仿宋_GB2312" w:hAnsi="Times New Roman" w:cs="Times New Roman"/>
          <w:sz w:val="32"/>
          <w:szCs w:val="32"/>
        </w:rPr>
        <w:t>建、应急</w:t>
      </w:r>
      <w:r>
        <w:rPr>
          <w:rFonts w:ascii="Times New Roman" w:eastAsia="仿宋_GB2312" w:hAnsi="Times New Roman" w:cs="Times New Roman"/>
          <w:sz w:val="32"/>
          <w:szCs w:val="32"/>
        </w:rPr>
        <w:t>等有关发证审批机关依法处理。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执法</w:t>
      </w:r>
      <w:r>
        <w:rPr>
          <w:rFonts w:ascii="Times New Roman" w:eastAsia="仿宋_GB2312" w:hAnsi="Times New Roman" w:cs="Times New Roman"/>
          <w:sz w:val="32"/>
          <w:szCs w:val="32"/>
        </w:rPr>
        <w:t>大队、各监管所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肃查处燃气气瓶充装单位违法违规行为。对未取得充装许可的单位从事燃气充装的，要依法责令关停，并依法依规列入严重违法失信名单。对未取得燃气经营许可的气瓶充装单位，要立即停止其充装行为，并及时通报住房城乡建设部门。对充装单位不再符合许可条件、未按照消防主管部门要求经消防验收合格、未按安全技术规范要求充装的，要依法责令限期改正，情节严重的，吊销充装许可证，并依法依规列入严重违法失信名单。违规充装非本单位办理使用登记气瓶、超期未检气瓶、不合格气瓶、超出设计使用年限气瓶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黑气瓶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（经翻新的报废气瓶或来历不明的气瓶）</w:t>
      </w:r>
      <w:r>
        <w:rPr>
          <w:rFonts w:ascii="Times New Roman" w:eastAsia="仿宋_GB2312" w:hAnsi="Times New Roman" w:cs="Times New Roman"/>
          <w:sz w:val="32"/>
          <w:szCs w:val="32"/>
        </w:rPr>
        <w:t>的，未按要求送检气瓶的，要依法严肃查处，情节严重的，吊销充装许可证，并依法依规列入严重违法失信名单。发现</w:t>
      </w:r>
      <w:r>
        <w:rPr>
          <w:rFonts w:ascii="Times New Roman" w:eastAsia="仿宋_GB2312" w:hAnsi="Times New Roman" w:cs="Times New Roman"/>
          <w:sz w:val="32"/>
          <w:szCs w:val="32"/>
        </w:rPr>
        <w:t>50kg“</w:t>
      </w:r>
      <w:r>
        <w:rPr>
          <w:rFonts w:ascii="Times New Roman" w:eastAsia="仿宋_GB2312" w:hAnsi="Times New Roman" w:cs="Times New Roman"/>
          <w:sz w:val="32"/>
          <w:szCs w:val="32"/>
        </w:rPr>
        <w:t>气液双相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气瓶</w:t>
      </w:r>
      <w:proofErr w:type="gramStart"/>
      <w:r>
        <w:rPr>
          <w:rFonts w:ascii="Times New Roman" w:eastAsia="仿宋_GB2312" w:hAnsi="Times New Roman" w:cs="Times New Roman"/>
          <w:sz w:val="32"/>
          <w:szCs w:val="32"/>
        </w:rPr>
        <w:t>液相阀带转换接头</w:t>
      </w:r>
      <w:proofErr w:type="gramEnd"/>
      <w:r>
        <w:rPr>
          <w:rFonts w:ascii="Times New Roman" w:eastAsia="仿宋_GB2312" w:hAnsi="Times New Roman" w:cs="Times New Roman"/>
          <w:sz w:val="32"/>
          <w:szCs w:val="32"/>
        </w:rPr>
        <w:t>的，一律清除。查处的气瓶必须移交气瓶检验机构报废处理，严禁不符合要求气瓶再次流入市场。对充装单位违法违规行为，要坚决依法从快从重打击，对涉嫌刑事犯罪的，移送司法机关追究相关人员刑事责任。依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铁拳</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行动案例曝光机制等宣传渠道，及时曝光典型案例，强化执法震慑。（</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（二）深入排查整治瓶、灶、管、阀等产品安全风险和事故隐患。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严格燃气气瓶检验环节监管。加大对气瓶检验机构监督检查力度，督促检验机构提高检验工作质量，对气瓶检验机构未</w:t>
      </w:r>
      <w:r>
        <w:rPr>
          <w:rFonts w:ascii="Times New Roman" w:eastAsia="仿宋_GB2312" w:hAnsi="Times New Roman" w:cs="Times New Roman"/>
          <w:sz w:val="32"/>
          <w:szCs w:val="32"/>
        </w:rPr>
        <w:lastRenderedPageBreak/>
        <w:t>严格按照安全技术规范要求开展气瓶定期检验，以及检验人员挂证、检验人员无证检验、检验报告弄虚作假的，要依法责令限期改正，情节严重的，吊销检验机构和有关人员资质，并依法依规列入严重违法失信名单。构成犯罪的，移送司法机关依法追究刑事责任。（</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进行严厉查处。聚焦信用风险高的燃气气瓶</w:t>
      </w:r>
      <w:r>
        <w:rPr>
          <w:rFonts w:ascii="Times New Roman" w:eastAsia="仿宋_GB2312" w:hAnsi="Times New Roman" w:cs="Times New Roman"/>
          <w:sz w:val="32"/>
          <w:szCs w:val="32"/>
        </w:rPr>
        <w:t>充装企业，强化重点监管，对发现假冒伪劣的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或存在安全隐患的气瓶立即查封扣押，将办理气瓶使用登记的充装单位依法依规列入严重违法失信名单。气瓶充装单位对不符合国家标准的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气液双相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气瓶要召回并移交检验机构报废处理，对符合国家标准的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气液双相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气瓶在瓶体上喷涂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气液双相瓶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仅用于气化装置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等明显字样，在气相阀、液相</w:t>
      </w:r>
      <w:proofErr w:type="gramStart"/>
      <w:r>
        <w:rPr>
          <w:rFonts w:ascii="Times New Roman" w:eastAsia="仿宋_GB2312" w:hAnsi="Times New Roman" w:cs="Times New Roman"/>
          <w:sz w:val="32"/>
          <w:szCs w:val="32"/>
        </w:rPr>
        <w:t>阀附近</w:t>
      </w:r>
      <w:proofErr w:type="gramEnd"/>
      <w:r>
        <w:rPr>
          <w:rFonts w:ascii="Times New Roman" w:eastAsia="仿宋_GB2312" w:hAnsi="Times New Roman" w:cs="Times New Roman"/>
          <w:sz w:val="32"/>
          <w:szCs w:val="32"/>
        </w:rPr>
        <w:t>分别喷涂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明显字样。对住房城乡建设、商务等部门单位发现移送的餐饮企业使用禁止使用的</w:t>
      </w:r>
      <w:r>
        <w:rPr>
          <w:rFonts w:ascii="Times New Roman" w:eastAsia="仿宋_GB2312" w:hAnsi="Times New Roman" w:cs="Times New Roman"/>
          <w:sz w:val="32"/>
          <w:szCs w:val="32"/>
        </w:rPr>
        <w:t>50kg“</w:t>
      </w:r>
      <w:r>
        <w:rPr>
          <w:rFonts w:ascii="Times New Roman" w:eastAsia="仿宋_GB2312" w:hAnsi="Times New Roman" w:cs="Times New Roman"/>
          <w:sz w:val="32"/>
          <w:szCs w:val="32"/>
        </w:rPr>
        <w:t>气液双相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气瓶，使用不符合国家标准或假冒伪劣的液化石油气瓶的，对其生产、流通企业进行</w:t>
      </w:r>
      <w:r>
        <w:rPr>
          <w:rFonts w:ascii="Times New Roman" w:eastAsia="仿宋_GB2312" w:hAnsi="Times New Roman" w:cs="Times New Roman"/>
          <w:sz w:val="32"/>
          <w:szCs w:val="32"/>
        </w:rPr>
        <w:t>溯源管理，重点查处气瓶生产单位、充装单位、检验单位等在生产、充装、检验过程中存在的违法违规行为，依法实施处罚，并将相关行政处罚信息归集至国家企业信用信息公示系统依法公示。构成犯罪的，移送司法机关依法追究刑事责任。（</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对燃气器具生产经营单位进行全面摸排。对燃气灶具、</w:t>
      </w:r>
      <w:r>
        <w:rPr>
          <w:rFonts w:ascii="Times New Roman" w:eastAsia="仿宋_GB2312" w:hAnsi="Times New Roman" w:cs="Times New Roman"/>
          <w:sz w:val="32"/>
          <w:szCs w:val="32"/>
        </w:rPr>
        <w:lastRenderedPageBreak/>
        <w:t>软管、调压器、可燃气体探测器及燃气紧急切断阀的生产和销售单位开展全面摸排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建立生产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销售单位台账和质量安全档案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相关信息及时录入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山东省产品质量监督管理系统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聚焦信用风险高的燃气器具生产销售单位，强化重点监管。（</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燃气器具生产单位全覆盖监督抽查。加大质量监督抽查经费投入，对生产单位进行全覆盖抽查，及时公布抽查结果，对发现不合格的产品及时查封，严防流入市场。建立监督抽查发现产品质量安全重大风险隐患快速应对机制。对抽查发现存在重大质量安全风险的产品，在收到监督抽查初检报告后，第一时间组织开展核查处置工作，督促产品生产经营单位履行质量安全主体责任和法定义务，立即封存存在重大质量安全风险的产品，防控和消除产品质量安全风险隐患，涉嫌违法的要及时立案查处，同时报告上级市场监管部门。（</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w:t>
      </w:r>
      <w:r>
        <w:rPr>
          <w:rFonts w:ascii="Times New Roman" w:eastAsia="仿宋_GB2312" w:hAnsi="Times New Roman" w:cs="Times New Roman"/>
          <w:sz w:val="32"/>
          <w:szCs w:val="32"/>
        </w:rPr>
        <w:t>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加强燃气器具经营环节监督检查。</w:t>
      </w:r>
      <w:r>
        <w:rPr>
          <w:rFonts w:ascii="Times New Roman" w:eastAsia="仿宋_GB2312" w:hAnsi="Times New Roman" w:cs="Times New Roman"/>
          <w:sz w:val="32"/>
          <w:szCs w:val="32"/>
        </w:rPr>
        <w:t>加大监督检查频次，督促指导销售单位建立进货查验、入库验收等台账制度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视情组织监督抽查或执法检查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农村地区及城乡接合部的批发市场、商超、五金店为重点，重点检查燃气灶具是否具有熄火保护装置，调压器出口压力是否不可调节，家用调压器出口为软管接头时是否有切断安全装置，商用调压器出口是否为螺纹连接，家用燃气用橡胶和塑料软管是否有产品名称、生产日期、使用期限等，对</w:t>
      </w:r>
      <w:r>
        <w:rPr>
          <w:rFonts w:ascii="Times New Roman" w:eastAsia="仿宋_GB2312" w:hAnsi="Times New Roman" w:cs="Times New Roman"/>
          <w:sz w:val="32"/>
          <w:szCs w:val="32"/>
        </w:rPr>
        <w:lastRenderedPageBreak/>
        <w:t>发现的问题立即依法处置。要压实我</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电商平台对平台内经营者的管理责任。销售单位违规在有形市场或电商平台销售不符合安全标准、假冒伪劣的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问题软管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燃气器具及配件、未经强制性产品认证的家用燃气灶具的，要责令立即停止违法行为，对相关经营主体予以行政处罚、对相关人员依法实施任职资格限制，并将相关行政处罚信息归集至国家企业信用信息公示系统依法公示，实施联合惩戒等。督促平台对发现的不合格产品立即下架处理，追踪溯源，实施源头治理。（</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市场科</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对移送的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问题灶、管、阀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w:t>
      </w:r>
      <w:r>
        <w:rPr>
          <w:rFonts w:ascii="Times New Roman" w:eastAsia="仿宋_GB2312" w:hAnsi="Times New Roman" w:cs="Times New Roman"/>
          <w:sz w:val="32"/>
          <w:szCs w:val="32"/>
        </w:rPr>
        <w:t>行溯源管理。对住房城乡建设、商务等部门单位发现移送的餐饮企业使用的可调节出口压力的调压器，对燃烧器具进行中压供气，使用不符合国家标准或假冒伪劣的可燃气体探测器及燃气紧急切断阀、调压器、软管、灶具等燃气器具及配件的，要对其生产销售单位进行溯源管理，将生产销售单位列为重点监管对象，对违法违规行为依法严惩，涉嫌犯罪的移送司法机关。加强宣传引导，发布燃气器具消费提示，引导单位用户和消费者主动识别并拒绝购买不符合强制性标准要求的产品。（</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（三）深入排查整治燃气压力管道</w:t>
      </w:r>
      <w:r>
        <w:rPr>
          <w:rFonts w:ascii="Times New Roman" w:eastAsia="楷体_GB2312" w:hAnsi="Times New Roman" w:cs="Times New Roman"/>
          <w:sz w:val="32"/>
          <w:szCs w:val="32"/>
        </w:rPr>
        <w:t>安全风险和事故隐患。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加强燃气压力管道生产环节监管。严格实施燃气压力管道相关许可制度，督促相关机构认真开展压力管道元件制造监督</w:t>
      </w:r>
      <w:r>
        <w:rPr>
          <w:rFonts w:ascii="Times New Roman" w:eastAsia="仿宋_GB2312" w:hAnsi="Times New Roman" w:cs="Times New Roman"/>
          <w:sz w:val="32"/>
          <w:szCs w:val="32"/>
        </w:rPr>
        <w:lastRenderedPageBreak/>
        <w:t>检验和型式试验，从源头上严把压力管道元件制造质量关。按照《特种设备安全法》和安全技术规范要求，严格实施新建及更新改造燃气压力管道施工告知和安装监督检验，对违法违规的依法处罚，并将相关行政处罚信息归集至国家企业信用信息公示系统依法公示。（</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牵</w:t>
      </w:r>
      <w:r>
        <w:rPr>
          <w:rFonts w:ascii="Times New Roman" w:eastAsia="仿宋_GB2312" w:hAnsi="Times New Roman" w:cs="Times New Roman"/>
          <w:sz w:val="32"/>
          <w:szCs w:val="32"/>
        </w:rPr>
        <w:t>头，信用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格落实燃气压力管道定期检验制度。配合住房城乡建设部门，督促燃气压力管道使用单位落实安全主体责任、制定检验计划、依法履行燃气压力管道法定检验义务，及时发现和消除安全隐患，持续保持燃气压力管道法定检验覆盖率。</w:t>
      </w:r>
      <w:r>
        <w:rPr>
          <w:rFonts w:ascii="Times New Roman" w:eastAsia="仿宋_GB2312" w:hAnsi="Times New Roman" w:cs="Times New Roman"/>
          <w:sz w:val="32"/>
          <w:szCs w:val="32"/>
        </w:rPr>
        <w:t>各级市场监管部门</w:t>
      </w:r>
      <w:r>
        <w:rPr>
          <w:rFonts w:ascii="Times New Roman" w:eastAsia="仿宋_GB2312" w:hAnsi="Times New Roman" w:cs="Times New Roman"/>
          <w:sz w:val="32"/>
          <w:szCs w:val="32"/>
        </w:rPr>
        <w:t>开展燃气压力管道检验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查，确保检验过程中发现的问题全部闭环整改完成。对特种设备检验机构未严格按照安全技术规范要求开展燃气压力管道及相关压力容器定期检验，以及检验人员挂证、检验人员无证检验、检验报告弄虚作假的，要依法责令限期改正，情节严重的，吊销检验机构和有关人员资质，并依法依规列</w:t>
      </w:r>
      <w:r>
        <w:rPr>
          <w:rFonts w:ascii="Times New Roman" w:eastAsia="仿宋_GB2312" w:hAnsi="Times New Roman" w:cs="Times New Roman"/>
          <w:sz w:val="32"/>
          <w:szCs w:val="32"/>
        </w:rPr>
        <w:t>入严重违法失信名单。（</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牵头，</w:t>
      </w:r>
      <w:r>
        <w:rPr>
          <w:rFonts w:ascii="Times New Roman" w:eastAsia="仿宋_GB2312" w:hAnsi="Times New Roman" w:cs="Times New Roman"/>
          <w:sz w:val="32"/>
          <w:szCs w:val="32"/>
        </w:rPr>
        <w:t>执法大队、</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（四）加强监管执法薄弱环节排查整治。</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加强对监管执法工作的督促检查。着力加强城镇燃气领域监管执法力度，对未建立责任倒查机制、排查整治措施和责任不实不细不落基层、监管执法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宽松虚软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等问题，通过重点案件督查督办、重点地区约谈督促、重点领域督查指导等方式强化监管执法责任落实，对有事不理、有责不担、有案不查的依照相关</w:t>
      </w:r>
      <w:r>
        <w:rPr>
          <w:rFonts w:ascii="Times New Roman" w:eastAsia="仿宋_GB2312" w:hAnsi="Times New Roman" w:cs="Times New Roman"/>
          <w:sz w:val="32"/>
          <w:szCs w:val="32"/>
        </w:rPr>
        <w:lastRenderedPageBreak/>
        <w:t>规定追究相应责任，强化行纪衔接。（执法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牵头，</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标准计量科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市场科</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价监</w:t>
      </w:r>
      <w:r>
        <w:rPr>
          <w:rFonts w:ascii="Times New Roman" w:eastAsia="仿宋_GB2312" w:hAnsi="Times New Roman" w:cs="Times New Roman"/>
          <w:sz w:val="32"/>
          <w:szCs w:val="32"/>
        </w:rPr>
        <w:t>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w:t>
      </w:r>
      <w:r>
        <w:rPr>
          <w:rFonts w:ascii="Times New Roman" w:eastAsia="仿宋_GB2312" w:hAnsi="Times New Roman" w:cs="Times New Roman"/>
          <w:sz w:val="32"/>
          <w:szCs w:val="32"/>
        </w:rPr>
        <w:t>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对生产销售企业的监管执法。对燃气气瓶、燃气器具及配件、可燃气体探测器及燃气紧急切断阀生产销售企业加强监管执法，采用约谈、出具监察指令书、责令整改、责令下架、责令停产停业、吊销资格证书等方式，强化监管执法，加强行刑衔接，及时将执法结果公开，发挥社会监督作用，引导用户自觉选择安全产品。（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牵头，</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标准计量科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市场科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三、综合施策提升本质安全水平</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（一）切实落实企业安全主体责任。</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格落实燃气气瓶充装单位安全主体责任。督促指导燃气气瓶充装单位按照《特种设备使用单位落实使用安全主体责任监督管理规定》，全面落实安全主体责任，建立健全安全生产规章制度和监督落实机制，建立企业安全风险隐患清单并实行闭环管理。督促燃气气瓶充装单位按要求配备</w:t>
      </w:r>
      <w:r>
        <w:rPr>
          <w:rFonts w:ascii="Times New Roman" w:eastAsia="仿宋_GB2312" w:hAnsi="Times New Roman" w:cs="Times New Roman"/>
          <w:sz w:val="32"/>
          <w:szCs w:val="32"/>
        </w:rPr>
        <w:t>各类相关</w:t>
      </w:r>
      <w:r>
        <w:rPr>
          <w:rFonts w:ascii="Times New Roman" w:eastAsia="仿宋_GB2312" w:hAnsi="Times New Roman" w:cs="Times New Roman"/>
          <w:sz w:val="32"/>
          <w:szCs w:val="32"/>
        </w:rPr>
        <w:t>安全总监和安全员，严格落实主要负责人、安全生产管理人员、特种设备作业人员培训考核制度，以及日管控、周排查、月调度工作制度。（</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科牵头</w:t>
      </w:r>
      <w:r>
        <w:rPr>
          <w:rFonts w:ascii="Times New Roman" w:eastAsia="仿宋_GB2312" w:hAnsi="Times New Roman" w:cs="Times New Roman"/>
          <w:sz w:val="32"/>
          <w:szCs w:val="32"/>
        </w:rPr>
        <w:t>、各监管所按职责分工</w:t>
      </w:r>
      <w:r>
        <w:rPr>
          <w:rFonts w:ascii="Times New Roman" w:eastAsia="仿宋_GB2312" w:hAnsi="Times New Roman" w:cs="Times New Roman"/>
          <w:sz w:val="32"/>
          <w:szCs w:val="32"/>
        </w:rPr>
        <w:t>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严格落实燃气器具生产销售单位质量安全主体责任。督促燃气器具生产销售单位全面落实《工业产</w:t>
      </w:r>
      <w:r>
        <w:rPr>
          <w:rFonts w:ascii="Times New Roman" w:eastAsia="仿宋_GB2312" w:hAnsi="Times New Roman" w:cs="Times New Roman"/>
          <w:sz w:val="32"/>
          <w:szCs w:val="32"/>
        </w:rPr>
        <w:t>品生产单位落实质量安全主体责任监督管理规定》和《工业产品销售单位落实质量安</w:t>
      </w:r>
      <w:r>
        <w:rPr>
          <w:rFonts w:ascii="Times New Roman" w:eastAsia="仿宋_GB2312" w:hAnsi="Times New Roman" w:cs="Times New Roman"/>
          <w:sz w:val="32"/>
          <w:szCs w:val="32"/>
        </w:rPr>
        <w:lastRenderedPageBreak/>
        <w:t>全主体责任监督管理规定》，督促燃气灶具等产品的生产销售单位按要求配备质量安全总监和质量安全员，针对产品质量安全管理制度建设情况，日管控、周排查、月调度工作制度落实情况，生产单位进货查验、入库验收、出厂检验等信息记录情况，销售单位进货查验、入库验收等信息记录情况进行深入排查，对存在的安全隐患及时进行整改，消除潜在风险。（</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w:t>
      </w:r>
      <w:r>
        <w:rPr>
          <w:rFonts w:ascii="Times New Roman" w:eastAsia="仿宋_GB2312" w:hAnsi="Times New Roman" w:cs="Times New Roman"/>
          <w:sz w:val="32"/>
          <w:szCs w:val="32"/>
        </w:rPr>
        <w:t>负责）</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（二）规范城镇燃气工程安装收费行为。</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加强城镇燃气工程安装价格收费监管，重点整治收取明令取消的费用、向用户转嫁应由自身承担的费用等违规收费行为。（</w:t>
      </w:r>
      <w:proofErr w:type="gramStart"/>
      <w:r>
        <w:rPr>
          <w:rFonts w:ascii="Times New Roman" w:eastAsia="仿宋_GB2312" w:hAnsi="Times New Roman" w:cs="Times New Roman"/>
          <w:sz w:val="32"/>
          <w:szCs w:val="32"/>
        </w:rPr>
        <w:t>价监</w:t>
      </w:r>
      <w:r>
        <w:rPr>
          <w:rFonts w:ascii="Times New Roman" w:eastAsia="仿宋_GB2312" w:hAnsi="Times New Roman" w:cs="Times New Roman"/>
          <w:sz w:val="32"/>
          <w:szCs w:val="32"/>
        </w:rPr>
        <w:t>科</w:t>
      </w:r>
      <w:proofErr w:type="gramEnd"/>
      <w:r>
        <w:rPr>
          <w:rFonts w:ascii="Times New Roman" w:eastAsia="仿宋_GB2312" w:hAnsi="Times New Roman" w:cs="Times New Roman"/>
          <w:sz w:val="32"/>
          <w:szCs w:val="32"/>
        </w:rPr>
        <w:t>牵头</w:t>
      </w:r>
      <w:r>
        <w:rPr>
          <w:rFonts w:ascii="Times New Roman" w:eastAsia="仿宋_GB2312" w:hAnsi="Times New Roman" w:cs="Times New Roman"/>
          <w:sz w:val="32"/>
          <w:szCs w:val="32"/>
        </w:rPr>
        <w:t>、各监管所按职责分工</w:t>
      </w:r>
      <w:r>
        <w:rPr>
          <w:rFonts w:ascii="Times New Roman" w:eastAsia="仿宋_GB2312" w:hAnsi="Times New Roman" w:cs="Times New Roman"/>
          <w:sz w:val="32"/>
          <w:szCs w:val="32"/>
        </w:rPr>
        <w:t>负责）</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（三）推进燃气安全监管智能化建设。</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加强燃气气瓶信息化追溯管理。不断巩固我省气瓶充装追溯体系建设成果，大力推广</w:t>
      </w:r>
      <w:r>
        <w:rPr>
          <w:rFonts w:ascii="Times New Roman" w:eastAsia="仿宋_GB2312" w:hAnsi="Times New Roman" w:cs="Times New Roman"/>
          <w:sz w:val="32"/>
          <w:szCs w:val="32"/>
        </w:rPr>
        <w:t>燃气</w:t>
      </w:r>
      <w:r>
        <w:rPr>
          <w:rFonts w:ascii="Times New Roman" w:eastAsia="仿宋_GB2312" w:hAnsi="Times New Roman" w:cs="Times New Roman"/>
          <w:sz w:val="32"/>
          <w:szCs w:val="32"/>
        </w:rPr>
        <w:t>气瓶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阳光充装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新模式，督促燃气气瓶充装单位严格落实燃气气瓶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一瓶一码、扫码限充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推动部门间气瓶充装信息共享</w:t>
      </w:r>
      <w:r>
        <w:rPr>
          <w:rFonts w:ascii="Times New Roman" w:eastAsia="仿宋_GB2312" w:hAnsi="Times New Roman" w:cs="Times New Roman"/>
          <w:sz w:val="32"/>
          <w:szCs w:val="32"/>
        </w:rPr>
        <w:t>。加强气瓶充装单位追溯平台运行情况监督检查，重点检查气瓶使用登记、定期检验、永久性电子识读标志设置、电子识读标志信息完整性、充装前后检</w:t>
      </w:r>
      <w:r>
        <w:rPr>
          <w:rFonts w:ascii="Times New Roman" w:eastAsia="仿宋_GB2312" w:hAnsi="Times New Roman" w:cs="Times New Roman"/>
          <w:sz w:val="32"/>
          <w:szCs w:val="32"/>
        </w:rPr>
        <w:t>查记录、</w:t>
      </w:r>
      <w:proofErr w:type="gramStart"/>
      <w:r>
        <w:rPr>
          <w:rFonts w:ascii="Times New Roman" w:eastAsia="仿宋_GB2312" w:hAnsi="Times New Roman" w:cs="Times New Roman"/>
          <w:sz w:val="32"/>
          <w:szCs w:val="32"/>
        </w:rPr>
        <w:t>扫码充装</w:t>
      </w:r>
      <w:proofErr w:type="gramEnd"/>
      <w:r>
        <w:rPr>
          <w:rFonts w:ascii="Times New Roman" w:eastAsia="仿宋_GB2312" w:hAnsi="Times New Roman" w:cs="Times New Roman"/>
          <w:sz w:val="32"/>
          <w:szCs w:val="32"/>
        </w:rPr>
        <w:t>等情况。对充装追溯平台功能不符合要求、充装数据上传不及时不准确的充装单位，一律不得充装；对未纳入充装追溯体系、不具备追溯功能的充装设备，一律不得使用；对管路上设置的不明接头、三通，存在非法充装风险的，一律进行封堵。（</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lastRenderedPageBreak/>
        <w:t>监</w:t>
      </w:r>
      <w:r>
        <w:rPr>
          <w:rFonts w:ascii="Times New Roman" w:eastAsia="仿宋_GB2312" w:hAnsi="Times New Roman" w:cs="Times New Roman"/>
          <w:sz w:val="32"/>
          <w:szCs w:val="32"/>
        </w:rPr>
        <w:t>科牵头、各监管所按职责分工</w:t>
      </w:r>
      <w:r>
        <w:rPr>
          <w:rFonts w:ascii="Times New Roman" w:eastAsia="仿宋_GB2312" w:hAnsi="Times New Roman" w:cs="Times New Roman"/>
          <w:sz w:val="32"/>
          <w:szCs w:val="32"/>
        </w:rPr>
        <w:t>负</w:t>
      </w:r>
      <w:r>
        <w:rPr>
          <w:rFonts w:ascii="Times New Roman" w:eastAsia="仿宋_GB2312" w:hAnsi="Times New Roman" w:cs="Times New Roman"/>
          <w:sz w:val="32"/>
          <w:szCs w:val="32"/>
        </w:rPr>
        <w:t>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加强燃气器具质量安全信息追溯管理。对已纳入强制性产品认证的家用燃气灶等产品和</w:t>
      </w:r>
      <w:proofErr w:type="gramStart"/>
      <w:r>
        <w:rPr>
          <w:rFonts w:ascii="Times New Roman" w:eastAsia="仿宋_GB2312" w:hAnsi="Times New Roman" w:cs="Times New Roman"/>
          <w:sz w:val="32"/>
          <w:szCs w:val="32"/>
        </w:rPr>
        <w:t>拟恢复</w:t>
      </w:r>
      <w:proofErr w:type="gramEnd"/>
      <w:r>
        <w:rPr>
          <w:rFonts w:ascii="Times New Roman" w:eastAsia="仿宋_GB2312" w:hAnsi="Times New Roman" w:cs="Times New Roman"/>
          <w:sz w:val="32"/>
          <w:szCs w:val="32"/>
        </w:rPr>
        <w:t>生产许可管理或者纳入强制性产品认证的商用燃气灶、软管、调压器、可燃气体探测器及燃气紧急切断阀等产品，要推进实施产品质量安全信息追溯管理。（</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w:t>
      </w:r>
      <w:r>
        <w:rPr>
          <w:rFonts w:ascii="Times New Roman" w:eastAsia="仿宋_GB2312" w:hAnsi="Times New Roman" w:cs="Times New Roman"/>
          <w:sz w:val="32"/>
          <w:szCs w:val="32"/>
        </w:rPr>
        <w:t>各</w:t>
      </w:r>
      <w:r>
        <w:rPr>
          <w:rFonts w:ascii="Times New Roman" w:eastAsia="仿宋_GB2312" w:hAnsi="Times New Roman" w:cs="Times New Roman"/>
          <w:sz w:val="32"/>
          <w:szCs w:val="32"/>
        </w:rPr>
        <w:t>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（四）完善管理制度。</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完善气瓶充装许可要求和监督抽查机制。完善、提升气瓶充装许可条件，</w:t>
      </w:r>
      <w:r>
        <w:rPr>
          <w:rFonts w:ascii="Times New Roman" w:eastAsia="仿宋_GB2312" w:hAnsi="Times New Roman" w:cs="Times New Roman"/>
          <w:sz w:val="32"/>
          <w:szCs w:val="32"/>
        </w:rPr>
        <w:t>严把许可准入关，对充装追溯平台功能不符合要求，存在不具备追溯功能的充装设备，以及充装设备管路上设置设计图纸之外的不明接头、三通的充装单位，如无法说明其合理合法性，一律不得许可。规范事中</w:t>
      </w:r>
      <w:r>
        <w:rPr>
          <w:rFonts w:ascii="Times New Roman" w:eastAsia="仿宋_GB2312" w:hAnsi="Times New Roman" w:cs="Times New Roman"/>
          <w:sz w:val="32"/>
          <w:szCs w:val="32"/>
        </w:rPr>
        <w:t>事后监管，建立市场清出机制。完善对气瓶制造单位、充装单位和检验机构监督抽查机制，各级市场监管部门将上述单位纳入重点监督检查范围，加大抽查频次；对相关单位依法实施联合惩戒，定期通报一批、重罚一批、停产整顿一批。（</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完善燃气器具准入管理和定期抽查机制。认真落实对涉及公共安全等特殊领域依法依规加强监管的要求，完善燃气器具及配件市场监管规定。</w:t>
      </w:r>
      <w:r>
        <w:rPr>
          <w:rFonts w:ascii="Times New Roman" w:eastAsia="仿宋_GB2312" w:hAnsi="Times New Roman" w:cs="Times New Roman"/>
          <w:sz w:val="32"/>
          <w:szCs w:val="32"/>
        </w:rPr>
        <w:t>商用燃气灶、软管、调压器、可燃气体探测器及燃气紧急切断阀实施强制性认证管理或恢复生产许可后，根据总局相关工作部署，依规推进实施准入管理。</w:t>
      </w:r>
      <w:r>
        <w:rPr>
          <w:rFonts w:ascii="Times New Roman" w:eastAsia="仿宋_GB2312" w:hAnsi="Times New Roman" w:cs="Times New Roman"/>
          <w:sz w:val="32"/>
          <w:szCs w:val="32"/>
        </w:rPr>
        <w:t>建立对燃气器</w:t>
      </w:r>
      <w:r>
        <w:rPr>
          <w:rFonts w:ascii="Times New Roman" w:eastAsia="仿宋_GB2312" w:hAnsi="Times New Roman" w:cs="Times New Roman"/>
          <w:sz w:val="32"/>
          <w:szCs w:val="32"/>
        </w:rPr>
        <w:lastRenderedPageBreak/>
        <w:t>具等产品质量定期抽查机制，发现存在质量安全隐患的及时清出市场，对生产销售单位依法实施联合惩戒，定期通报一批、重罚一批、停产整顿一批。（</w:t>
      </w:r>
      <w:r>
        <w:rPr>
          <w:rFonts w:ascii="Times New Roman" w:eastAsia="仿宋_GB2312" w:hAnsi="Times New Roman" w:cs="Times New Roman"/>
          <w:sz w:val="32"/>
          <w:szCs w:val="32"/>
        </w:rPr>
        <w:t>标准</w:t>
      </w:r>
      <w:proofErr w:type="gramStart"/>
      <w:r>
        <w:rPr>
          <w:rFonts w:ascii="Times New Roman" w:eastAsia="仿宋_GB2312" w:hAnsi="Times New Roman" w:cs="Times New Roman"/>
          <w:sz w:val="32"/>
          <w:szCs w:val="32"/>
        </w:rPr>
        <w:t>计量科</w:t>
      </w:r>
      <w:proofErr w:type="gramEnd"/>
      <w:r>
        <w:rPr>
          <w:rFonts w:ascii="Times New Roman" w:eastAsia="仿宋_GB2312" w:hAnsi="Times New Roman" w:cs="Times New Roman"/>
          <w:sz w:val="32"/>
          <w:szCs w:val="32"/>
        </w:rPr>
        <w:t>牵头，执法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w:t>
      </w:r>
      <w:r>
        <w:rPr>
          <w:rFonts w:ascii="Times New Roman" w:eastAsia="仿宋_GB2312" w:hAnsi="Times New Roman" w:cs="Times New Roman"/>
          <w:sz w:val="32"/>
          <w:szCs w:val="32"/>
        </w:rPr>
        <w:t>工负责）</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（五）加强宣传教育提升安全素养。</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充分利用广播电视、网络媒介、挂图、公益广告等宣传介质，通过编制事故警示短片等各类方法手段，广泛进行燃气相关特种设备，燃气器具产品法律法规、安全常识、案例警示等内容的宣传教育，提高群众安全意识，调动各方积极性，形成人人关注安全、人人监督安全的社会氛围。（</w:t>
      </w:r>
      <w:r>
        <w:rPr>
          <w:rFonts w:ascii="Times New Roman" w:eastAsia="仿宋_GB2312" w:hAnsi="Times New Roman" w:cs="Times New Roman"/>
          <w:sz w:val="32"/>
          <w:szCs w:val="32"/>
        </w:rPr>
        <w:t>宣传科</w:t>
      </w:r>
      <w:r>
        <w:rPr>
          <w:rFonts w:ascii="Times New Roman" w:eastAsia="仿宋_GB2312" w:hAnsi="Times New Roman" w:cs="Times New Roman"/>
          <w:sz w:val="32"/>
          <w:szCs w:val="32"/>
        </w:rPr>
        <w:t>牵头，</w:t>
      </w:r>
      <w:r>
        <w:rPr>
          <w:rFonts w:ascii="Times New Roman" w:eastAsia="仿宋_GB2312" w:hAnsi="Times New Roman" w:cs="Times New Roman"/>
          <w:sz w:val="32"/>
          <w:szCs w:val="32"/>
        </w:rPr>
        <w:t>市场科</w:t>
      </w:r>
      <w:r>
        <w:rPr>
          <w:rFonts w:ascii="Times New Roman" w:eastAsia="仿宋_GB2312" w:hAnsi="Times New Roman" w:cs="Times New Roman"/>
          <w:sz w:val="32"/>
          <w:szCs w:val="32"/>
        </w:rPr>
        <w:t>、信用</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价监</w:t>
      </w:r>
      <w:r>
        <w:rPr>
          <w:rFonts w:ascii="Times New Roman" w:eastAsia="仿宋_GB2312" w:hAnsi="Times New Roman" w:cs="Times New Roman"/>
          <w:sz w:val="32"/>
          <w:szCs w:val="32"/>
        </w:rPr>
        <w:t>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标准计量科</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特</w:t>
      </w:r>
      <w:proofErr w:type="gramEnd"/>
      <w:r>
        <w:rPr>
          <w:rFonts w:ascii="Times New Roman" w:eastAsia="仿宋_GB2312" w:hAnsi="Times New Roman" w:cs="Times New Roman"/>
          <w:sz w:val="32"/>
          <w:szCs w:val="32"/>
        </w:rPr>
        <w:t>监</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、执法</w:t>
      </w:r>
      <w:r>
        <w:rPr>
          <w:rFonts w:ascii="Times New Roman" w:eastAsia="仿宋_GB2312" w:hAnsi="Times New Roman" w:cs="Times New Roman"/>
          <w:sz w:val="32"/>
          <w:szCs w:val="32"/>
        </w:rPr>
        <w:t>大队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各监管所</w:t>
      </w:r>
      <w:r>
        <w:rPr>
          <w:rFonts w:ascii="Times New Roman" w:eastAsia="仿宋_GB2312" w:hAnsi="Times New Roman" w:cs="Times New Roman"/>
          <w:sz w:val="32"/>
          <w:szCs w:val="32"/>
        </w:rPr>
        <w:t>按职责分工负责）</w:t>
      </w:r>
    </w:p>
    <w:p w:rsidR="008544B3" w:rsidRDefault="003511AC">
      <w:pPr>
        <w:spacing w:line="578"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四、工作安排</w:t>
      </w:r>
    </w:p>
    <w:p w:rsidR="008544B3" w:rsidRDefault="003511AC">
      <w:pPr>
        <w:spacing w:line="578"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（一）集中攻坚阶段（</w:t>
      </w:r>
      <w:r>
        <w:rPr>
          <w:rFonts w:ascii="Times New Roman" w:eastAsia="楷体_GB2312" w:hAnsi="Times New Roman" w:cs="Times New Roman"/>
          <w:sz w:val="32"/>
          <w:szCs w:val="32"/>
        </w:rPr>
        <w:t>2023</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8</w:t>
      </w:r>
      <w:r>
        <w:rPr>
          <w:rFonts w:ascii="Times New Roman" w:eastAsia="楷体_GB2312" w:hAnsi="Times New Roman" w:cs="Times New Roman"/>
          <w:sz w:val="32"/>
          <w:szCs w:val="32"/>
        </w:rPr>
        <w:t>月至</w:t>
      </w:r>
      <w:r>
        <w:rPr>
          <w:rFonts w:ascii="Times New Roman" w:eastAsia="楷体_GB2312" w:hAnsi="Times New Roman" w:cs="Times New Roman"/>
          <w:sz w:val="32"/>
          <w:szCs w:val="32"/>
        </w:rPr>
        <w:t>11</w:t>
      </w:r>
      <w:r>
        <w:rPr>
          <w:rFonts w:ascii="Times New Roman" w:eastAsia="楷体_GB2312" w:hAnsi="Times New Roman" w:cs="Times New Roman"/>
          <w:sz w:val="32"/>
          <w:szCs w:val="32"/>
        </w:rPr>
        <w:t>月）。</w:t>
      </w:r>
    </w:p>
    <w:p w:rsidR="008544B3" w:rsidRDefault="003511AC">
      <w:pPr>
        <w:spacing w:line="578"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color w:val="000000" w:themeColor="text1"/>
          <w:sz w:val="32"/>
          <w:szCs w:val="32"/>
        </w:rPr>
        <w:t>县委县</w:t>
      </w:r>
      <w:r>
        <w:rPr>
          <w:rFonts w:ascii="Times New Roman" w:eastAsia="仿宋_GB2312" w:hAnsi="Times New Roman" w:cs="Times New Roman"/>
          <w:color w:val="000000" w:themeColor="text1"/>
          <w:sz w:val="32"/>
          <w:szCs w:val="32"/>
        </w:rPr>
        <w:t>政府的统一领导下，协调配合有关部门按照</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安委会印发的《</w:t>
      </w:r>
      <w:r>
        <w:rPr>
          <w:rFonts w:ascii="Times New Roman" w:eastAsia="仿宋_GB2312" w:hAnsi="Times New Roman" w:cs="Times New Roman"/>
          <w:color w:val="000000" w:themeColor="text1"/>
          <w:sz w:val="32"/>
          <w:szCs w:val="32"/>
        </w:rPr>
        <w:t>高青县</w:t>
      </w:r>
      <w:r>
        <w:rPr>
          <w:rFonts w:ascii="Times New Roman" w:eastAsia="仿宋_GB2312" w:hAnsi="Times New Roman" w:cs="Times New Roman"/>
          <w:color w:val="000000" w:themeColor="text1"/>
          <w:sz w:val="32"/>
          <w:szCs w:val="32"/>
        </w:rPr>
        <w:t>城镇燃气安全专项整治实施方案》，以涉及燃气的瓶、灶、管、阀和充装单位为重点，结合本地区产业特点和安全风险分析情况细化实施方案。在督促相关企业对照专项整治任务和要求进行自查自改的基础上，进一步深挖细查风险隐患，对排查出的风险隐患实行清单管理，明确整改责任单位和整改要求，坚持边查边改、立查立改，对排查整治中发现的违法违规问题要加大执法打击力度，真正发现问题、真正整改到位。加强全</w:t>
      </w:r>
      <w:r>
        <w:rPr>
          <w:rFonts w:ascii="Times New Roman" w:eastAsia="仿宋_GB2312" w:hAnsi="Times New Roman" w:cs="Times New Roman"/>
          <w:color w:val="000000" w:themeColor="text1"/>
          <w:sz w:val="32"/>
          <w:szCs w:val="32"/>
        </w:rPr>
        <w:lastRenderedPageBreak/>
        <w:t>社会共同监督，鼓励生产经营单位一线从业人员和社会公众采取</w:t>
      </w:r>
      <w:r>
        <w:rPr>
          <w:rFonts w:ascii="Times New Roman" w:eastAsia="仿宋_GB2312" w:hAnsi="Times New Roman" w:cs="Times New Roman"/>
          <w:color w:val="000000" w:themeColor="text1"/>
          <w:sz w:val="32"/>
          <w:szCs w:val="32"/>
        </w:rPr>
        <w:t>“12345”</w:t>
      </w:r>
      <w:r>
        <w:rPr>
          <w:rFonts w:ascii="Times New Roman" w:eastAsia="仿宋_GB2312" w:hAnsi="Times New Roman" w:cs="Times New Roman"/>
          <w:color w:val="000000" w:themeColor="text1"/>
          <w:sz w:val="32"/>
          <w:szCs w:val="32"/>
        </w:rPr>
        <w:t>政务服务便民热线电话、部门网站、手机客户端、书信等多种方式举</w:t>
      </w:r>
      <w:r>
        <w:rPr>
          <w:rFonts w:ascii="Times New Roman" w:eastAsia="仿宋_GB2312" w:hAnsi="Times New Roman" w:cs="Times New Roman"/>
          <w:color w:val="000000" w:themeColor="text1"/>
          <w:sz w:val="32"/>
          <w:szCs w:val="32"/>
        </w:rPr>
        <w:t>报燃气安全隐患。协调配合有关部门加大对违法违规行为的联合惩戒力度，依法追究相关单位和人员责任。要集中曝光一批典型执法案例，强化震慑效力，形成严厉惩处违法违规行为的高压态势。</w:t>
      </w:r>
    </w:p>
    <w:p w:rsidR="008544B3" w:rsidRDefault="003511AC">
      <w:pPr>
        <w:spacing w:line="578"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（二）全面巩固提升阶段（</w:t>
      </w:r>
      <w:r>
        <w:rPr>
          <w:rFonts w:ascii="Times New Roman" w:eastAsia="楷体_GB2312" w:hAnsi="Times New Roman" w:cs="Times New Roman"/>
          <w:color w:val="000000" w:themeColor="text1"/>
          <w:sz w:val="32"/>
          <w:szCs w:val="32"/>
        </w:rPr>
        <w:t>2023</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12</w:t>
      </w:r>
      <w:r>
        <w:rPr>
          <w:rFonts w:ascii="Times New Roman" w:eastAsia="楷体_GB2312" w:hAnsi="Times New Roman" w:cs="Times New Roman"/>
          <w:color w:val="000000" w:themeColor="text1"/>
          <w:sz w:val="32"/>
          <w:szCs w:val="32"/>
        </w:rPr>
        <w:t>月至</w:t>
      </w:r>
      <w:r>
        <w:rPr>
          <w:rFonts w:ascii="Times New Roman" w:eastAsia="楷体_GB2312" w:hAnsi="Times New Roman" w:cs="Times New Roman"/>
          <w:color w:val="000000" w:themeColor="text1"/>
          <w:sz w:val="32"/>
          <w:szCs w:val="32"/>
        </w:rPr>
        <w:t>2024</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6</w:t>
      </w:r>
      <w:r>
        <w:rPr>
          <w:rFonts w:ascii="Times New Roman" w:eastAsia="楷体_GB2312" w:hAnsi="Times New Roman" w:cs="Times New Roman"/>
          <w:color w:val="000000" w:themeColor="text1"/>
          <w:sz w:val="32"/>
          <w:szCs w:val="32"/>
        </w:rPr>
        <w:t>月）。</w:t>
      </w:r>
    </w:p>
    <w:p w:rsidR="008544B3" w:rsidRDefault="003511AC">
      <w:pPr>
        <w:spacing w:line="578"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集中攻坚的基础上，再用半年左右时间，基本建立燃气气瓶、燃气器具安全风险管控和隐患排查治理工作机制，切实加强燃气气瓶、燃气器具及配件市场治理整顿，从源头严控安全隐患。要盯牢风险隐患整改，全面完成排查出安全隐患的整治，及时开展排查整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回头看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，通过持续深入开展隐患排查治理，切</w:t>
      </w:r>
      <w:r>
        <w:rPr>
          <w:rFonts w:ascii="Times New Roman" w:eastAsia="仿宋_GB2312" w:hAnsi="Times New Roman" w:cs="Times New Roman"/>
          <w:color w:val="000000" w:themeColor="text1"/>
          <w:sz w:val="32"/>
          <w:szCs w:val="32"/>
        </w:rPr>
        <w:t>实巩固集中攻坚成效。</w:t>
      </w:r>
    </w:p>
    <w:p w:rsidR="008544B3" w:rsidRDefault="003511AC">
      <w:pPr>
        <w:spacing w:line="578"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（三）建立长效机制阶段（</w:t>
      </w:r>
      <w:r>
        <w:rPr>
          <w:rFonts w:ascii="Times New Roman" w:eastAsia="楷体_GB2312" w:hAnsi="Times New Roman" w:cs="Times New Roman"/>
          <w:color w:val="000000" w:themeColor="text1"/>
          <w:sz w:val="32"/>
          <w:szCs w:val="32"/>
        </w:rPr>
        <w:t>2024</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7</w:t>
      </w:r>
      <w:r>
        <w:rPr>
          <w:rFonts w:ascii="Times New Roman" w:eastAsia="楷体_GB2312" w:hAnsi="Times New Roman" w:cs="Times New Roman"/>
          <w:color w:val="000000" w:themeColor="text1"/>
          <w:sz w:val="32"/>
          <w:szCs w:val="32"/>
        </w:rPr>
        <w:t>月至</w:t>
      </w:r>
      <w:r>
        <w:rPr>
          <w:rFonts w:ascii="Times New Roman" w:eastAsia="楷体_GB2312" w:hAnsi="Times New Roman" w:cs="Times New Roman"/>
          <w:color w:val="000000" w:themeColor="text1"/>
          <w:sz w:val="32"/>
          <w:szCs w:val="32"/>
        </w:rPr>
        <w:t>2025</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12</w:t>
      </w:r>
      <w:r>
        <w:rPr>
          <w:rFonts w:ascii="Times New Roman" w:eastAsia="楷体_GB2312" w:hAnsi="Times New Roman" w:cs="Times New Roman"/>
          <w:color w:val="000000" w:themeColor="text1"/>
          <w:sz w:val="32"/>
          <w:szCs w:val="32"/>
        </w:rPr>
        <w:t>月）。</w:t>
      </w:r>
    </w:p>
    <w:p w:rsidR="008544B3" w:rsidRDefault="003511AC">
      <w:pPr>
        <w:spacing w:line="578"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深入剖析城镇燃气安全隐患产生的深层次原因，认真总结推广专项整治中行之有效的经验做法，健全完善各项政策措施，建立严进、严管、重罚的城镇燃气市场监管机制，持续提升市场监管领域城镇燃气本质安全水平，加强安全宣传教育提升全民安全素养，推动城镇燃气安全治理模式向事前预防转型，基本建立市场监管领域燃气安全监管长效机制。</w:t>
      </w:r>
    </w:p>
    <w:p w:rsidR="008544B3" w:rsidRDefault="003511AC">
      <w:pPr>
        <w:spacing w:line="578"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五、保障措施</w:t>
      </w:r>
    </w:p>
    <w:p w:rsidR="008544B3" w:rsidRDefault="003511AC">
      <w:pPr>
        <w:spacing w:line="578"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（一）加强组织领导。</w:t>
      </w:r>
      <w:r>
        <w:rPr>
          <w:rFonts w:ascii="Times New Roman" w:eastAsia="仿宋_GB2312" w:hAnsi="Times New Roman" w:cs="Times New Roman"/>
          <w:sz w:val="32"/>
          <w:szCs w:val="32"/>
        </w:rPr>
        <w:t>成立</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市场监管局城镇燃气安全专项</w:t>
      </w:r>
      <w:r>
        <w:rPr>
          <w:rFonts w:ascii="Times New Roman" w:eastAsia="仿宋_GB2312" w:hAnsi="Times New Roman" w:cs="Times New Roman"/>
          <w:sz w:val="32"/>
          <w:szCs w:val="32"/>
        </w:rPr>
        <w:lastRenderedPageBreak/>
        <w:t>整治工作专班（以下简称</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局工作专班），</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局党组领导下，负责统筹协调</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各有关部门、</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局各相关处室，指导实施专项整治工作，及时协调解决专项整治中的重大问题。高度重视本次专项整治工作，在</w:t>
      </w:r>
      <w:r>
        <w:rPr>
          <w:rFonts w:ascii="Times New Roman" w:eastAsia="仿宋_GB2312" w:hAnsi="Times New Roman" w:cs="Times New Roman"/>
          <w:color w:val="000000" w:themeColor="text1"/>
          <w:sz w:val="32"/>
          <w:szCs w:val="32"/>
        </w:rPr>
        <w:t>县委县</w:t>
      </w:r>
      <w:r>
        <w:rPr>
          <w:rFonts w:ascii="Times New Roman" w:eastAsia="仿宋_GB2312" w:hAnsi="Times New Roman" w:cs="Times New Roman"/>
          <w:color w:val="000000" w:themeColor="text1"/>
          <w:sz w:val="32"/>
          <w:szCs w:val="32"/>
        </w:rPr>
        <w:t>政府的统一领导下，按照要求成立工作专班，明确负责人和专班工作人员，依据任务分工，认真履职尽责，积极配合住房城乡建设、商务、应急管理、公安、消防救援等各有关部门开展专项整治工作，加强工作衔接，增强工作合力。主要负责人亲自部署、狠抓落实，建立完善协调机制，定期听取工作情况汇报，及时解决专项整治中出现的重大问题。对检查发现的重大隐患和突出问题，及时向当地党委和政府报告。</w:t>
      </w:r>
    </w:p>
    <w:p w:rsidR="008544B3" w:rsidRDefault="003511AC">
      <w:pPr>
        <w:spacing w:line="578"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（二）压实责任措施。</w:t>
      </w:r>
      <w:r>
        <w:rPr>
          <w:rFonts w:ascii="Times New Roman" w:eastAsia="仿宋_GB2312" w:hAnsi="Times New Roman" w:cs="Times New Roman"/>
          <w:color w:val="000000" w:themeColor="text1"/>
          <w:sz w:val="32"/>
          <w:szCs w:val="32"/>
        </w:rPr>
        <w:t>严格落实《</w:t>
      </w:r>
      <w:r>
        <w:rPr>
          <w:rFonts w:ascii="Times New Roman" w:eastAsia="仿宋_GB2312" w:hAnsi="Times New Roman" w:cs="Times New Roman"/>
          <w:color w:val="000000" w:themeColor="text1"/>
          <w:sz w:val="32"/>
          <w:szCs w:val="32"/>
        </w:rPr>
        <w:t>高青县</w:t>
      </w:r>
      <w:r>
        <w:rPr>
          <w:rFonts w:ascii="Times New Roman" w:eastAsia="仿宋_GB2312" w:hAnsi="Times New Roman" w:cs="Times New Roman"/>
          <w:color w:val="000000" w:themeColor="text1"/>
          <w:sz w:val="32"/>
          <w:szCs w:val="32"/>
        </w:rPr>
        <w:t>城镇燃气安全专项整治实施方案》部署要求，依据</w:t>
      </w:r>
      <w:r>
        <w:rPr>
          <w:rFonts w:ascii="Times New Roman" w:eastAsia="仿宋_GB2312" w:hAnsi="Times New Roman" w:cs="Times New Roman"/>
          <w:color w:val="000000" w:themeColor="text1"/>
          <w:sz w:val="32"/>
          <w:szCs w:val="32"/>
        </w:rPr>
        <w:t>本</w:t>
      </w:r>
      <w:r>
        <w:rPr>
          <w:rFonts w:ascii="Times New Roman" w:eastAsia="仿宋_GB2312" w:hAnsi="Times New Roman" w:cs="Times New Roman"/>
          <w:color w:val="000000" w:themeColor="text1"/>
          <w:sz w:val="32"/>
          <w:szCs w:val="32"/>
        </w:rPr>
        <w:t>方案确定的责任分工，压实责任，细化措施，明确工作进度和工作要求。坚决防止推诿扯皮、责任悬空，切实把城镇燃气安全整治的责任和压力传导到基层末梢。结合行风建设三年攻坚行动，着力加强城镇燃气领域监管执法行风治理；突出重点领域，深挖问题隐患，紧盯整改进度和质量；对排查整治不深不细或者问题整改不到位的，要启动责任倒查追究机制。</w:t>
      </w:r>
    </w:p>
    <w:p w:rsidR="008544B3" w:rsidRDefault="003511AC">
      <w:pPr>
        <w:spacing w:line="578"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（三）加强</w:t>
      </w:r>
      <w:r>
        <w:rPr>
          <w:rFonts w:ascii="Times New Roman" w:eastAsia="楷体_GB2312" w:hAnsi="Times New Roman" w:cs="Times New Roman"/>
          <w:color w:val="000000" w:themeColor="text1"/>
          <w:sz w:val="32"/>
          <w:szCs w:val="32"/>
        </w:rPr>
        <w:t>工作调度</w:t>
      </w:r>
      <w:r>
        <w:rPr>
          <w:rFonts w:ascii="Times New Roman" w:eastAsia="楷体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按照本实施方案确定的重点工作任务，</w:t>
      </w:r>
      <w:r>
        <w:rPr>
          <w:rFonts w:ascii="Times New Roman" w:eastAsia="仿宋_GB2312" w:hAnsi="Times New Roman" w:cs="Times New Roman"/>
          <w:color w:val="000000" w:themeColor="text1"/>
          <w:sz w:val="32"/>
          <w:szCs w:val="32"/>
        </w:rPr>
        <w:t>及时总结调度工作开展情况，</w:t>
      </w:r>
      <w:r>
        <w:rPr>
          <w:rFonts w:ascii="Times New Roman" w:eastAsia="仿宋_GB2312" w:hAnsi="Times New Roman" w:cs="Times New Roman"/>
          <w:color w:val="000000" w:themeColor="text1"/>
          <w:sz w:val="32"/>
          <w:szCs w:val="32"/>
        </w:rPr>
        <w:t>确保通过专项整治，力争取得可感知、可检验、可评判的工作成效。</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请各</w:t>
      </w:r>
      <w:r>
        <w:rPr>
          <w:rFonts w:ascii="Times New Roman" w:eastAsia="仿宋_GB2312" w:hAnsi="Times New Roman" w:cs="Times New Roman"/>
          <w:color w:val="000000" w:themeColor="text1"/>
          <w:sz w:val="32"/>
          <w:szCs w:val="32"/>
        </w:rPr>
        <w:t>相关科室、监管所、执法大队</w:t>
      </w:r>
      <w:r>
        <w:rPr>
          <w:rFonts w:ascii="Times New Roman" w:eastAsia="仿宋_GB2312" w:hAnsi="Times New Roman" w:cs="Times New Roman"/>
          <w:color w:val="000000" w:themeColor="text1"/>
          <w:sz w:val="32"/>
          <w:szCs w:val="32"/>
        </w:rPr>
        <w:t>自</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月起每月</w:t>
      </w:r>
      <w:r>
        <w:rPr>
          <w:rFonts w:ascii="Times New Roman" w:eastAsia="仿宋_GB2312" w:hAnsi="Times New Roman" w:cs="Times New Roman"/>
          <w:color w:val="000000" w:themeColor="text1"/>
          <w:sz w:val="32"/>
          <w:szCs w:val="32"/>
        </w:rPr>
        <w:t>18</w:t>
      </w:r>
      <w:r>
        <w:rPr>
          <w:rFonts w:ascii="Times New Roman" w:eastAsia="仿宋_GB2312" w:hAnsi="Times New Roman" w:cs="Times New Roman"/>
          <w:color w:val="000000" w:themeColor="text1"/>
          <w:sz w:val="32"/>
          <w:szCs w:val="32"/>
        </w:rPr>
        <w:lastRenderedPageBreak/>
        <w:t>日前上报《市场监管系</w:t>
      </w:r>
      <w:r>
        <w:rPr>
          <w:rFonts w:ascii="Times New Roman" w:eastAsia="仿宋_GB2312" w:hAnsi="Times New Roman" w:cs="Times New Roman"/>
          <w:sz w:val="32"/>
          <w:szCs w:val="32"/>
        </w:rPr>
        <w:t>统城镇燃气安全专项整治行动成果统计表》（见附件）和专项整治行动进展情况，并梳理</w:t>
      </w:r>
      <w:r>
        <w:rPr>
          <w:rFonts w:ascii="Times New Roman" w:eastAsia="仿宋_GB2312" w:hAnsi="Times New Roman" w:cs="Times New Roman"/>
          <w:sz w:val="32"/>
          <w:szCs w:val="32"/>
        </w:rPr>
        <w:t>总结本</w:t>
      </w:r>
      <w:r>
        <w:rPr>
          <w:rFonts w:ascii="Times New Roman" w:eastAsia="仿宋_GB2312" w:hAnsi="Times New Roman" w:cs="Times New Roman"/>
          <w:sz w:val="32"/>
          <w:szCs w:val="32"/>
        </w:rPr>
        <w:t>科室</w:t>
      </w:r>
      <w:r>
        <w:rPr>
          <w:rFonts w:ascii="Times New Roman" w:eastAsia="仿宋_GB2312" w:hAnsi="Times New Roman" w:cs="Times New Roman"/>
          <w:sz w:val="32"/>
          <w:szCs w:val="32"/>
        </w:rPr>
        <w:t>专项整治行动</w:t>
      </w:r>
      <w:r>
        <w:rPr>
          <w:rFonts w:ascii="Times New Roman" w:eastAsia="仿宋_GB2312" w:hAnsi="Times New Roman" w:cs="Times New Roman"/>
          <w:sz w:val="32"/>
          <w:szCs w:val="32"/>
        </w:rPr>
        <w:t>成果，汇总形成阶段性工作总结，分别在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日前报送</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局工作专班。重要问题及时报告。</w:t>
      </w:r>
    </w:p>
    <w:p w:rsidR="008544B3" w:rsidRDefault="003511AC">
      <w:pPr>
        <w:spacing w:line="578" w:lineRule="exact"/>
        <w:ind w:firstLineChars="200" w:firstLine="640"/>
        <w:rPr>
          <w:rFonts w:ascii="Times New Roman" w:eastAsia="仿宋_GB2312" w:hAnsi="Times New Roman" w:cs="Times New Roman"/>
          <w:spacing w:val="-11"/>
          <w:sz w:val="32"/>
          <w:szCs w:val="32"/>
        </w:rPr>
      </w:pPr>
      <w:r>
        <w:rPr>
          <w:rFonts w:ascii="Times New Roman" w:eastAsia="仿宋_GB2312" w:hAnsi="Times New Roman" w:cs="Times New Roman"/>
          <w:sz w:val="32"/>
          <w:szCs w:val="32"/>
        </w:rPr>
        <w:t>联系人：</w:t>
      </w:r>
      <w:proofErr w:type="gramStart"/>
      <w:r>
        <w:rPr>
          <w:rFonts w:ascii="Times New Roman" w:eastAsia="仿宋_GB2312" w:hAnsi="Times New Roman" w:cs="Times New Roman"/>
          <w:sz w:val="32"/>
          <w:szCs w:val="32"/>
        </w:rPr>
        <w:t>特监科</w:t>
      </w:r>
      <w:proofErr w:type="gramEnd"/>
      <w:r>
        <w:rPr>
          <w:rFonts w:ascii="Times New Roman" w:eastAsia="仿宋_GB2312" w:hAnsi="Times New Roman" w:cs="Times New Roman"/>
          <w:spacing w:val="-11"/>
          <w:sz w:val="32"/>
          <w:szCs w:val="32"/>
        </w:rPr>
        <w:t>陈翔宇，标准</w:t>
      </w:r>
      <w:proofErr w:type="gramStart"/>
      <w:r>
        <w:rPr>
          <w:rFonts w:ascii="Times New Roman" w:eastAsia="仿宋_GB2312" w:hAnsi="Times New Roman" w:cs="Times New Roman"/>
          <w:spacing w:val="-11"/>
          <w:sz w:val="32"/>
          <w:szCs w:val="32"/>
        </w:rPr>
        <w:t>计量科</w:t>
      </w:r>
      <w:proofErr w:type="gramEnd"/>
      <w:r>
        <w:rPr>
          <w:rFonts w:ascii="Times New Roman" w:eastAsia="仿宋_GB2312" w:hAnsi="Times New Roman" w:cs="Times New Roman"/>
          <w:spacing w:val="-11"/>
          <w:sz w:val="32"/>
          <w:szCs w:val="32"/>
        </w:rPr>
        <w:t>王晓莹，</w:t>
      </w:r>
      <w:r>
        <w:rPr>
          <w:rFonts w:ascii="Times New Roman" w:eastAsia="仿宋_GB2312" w:hAnsi="Times New Roman" w:cs="Times New Roman"/>
          <w:spacing w:val="-11"/>
          <w:sz w:val="32"/>
          <w:szCs w:val="32"/>
        </w:rPr>
        <w:t>执法大队赵洋</w:t>
      </w: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6950932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6971360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6961496</w:t>
      </w:r>
    </w:p>
    <w:p w:rsidR="008544B3" w:rsidRDefault="008544B3">
      <w:pPr>
        <w:spacing w:line="578" w:lineRule="exact"/>
        <w:ind w:firstLineChars="200" w:firstLine="640"/>
        <w:rPr>
          <w:rFonts w:ascii="Times New Roman" w:eastAsia="仿宋_GB2312" w:hAnsi="Times New Roman" w:cs="Times New Roman"/>
          <w:sz w:val="32"/>
          <w:szCs w:val="32"/>
        </w:rPr>
      </w:pPr>
    </w:p>
    <w:p w:rsidR="008544B3" w:rsidRDefault="003511AC">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附件：市场监管系统城镇燃气安全专项整治行动成果统计表</w:t>
      </w:r>
    </w:p>
    <w:p w:rsidR="008544B3" w:rsidRDefault="003511AC">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544B3" w:rsidRDefault="003511AC">
      <w:pPr>
        <w:pStyle w:val="20"/>
        <w:spacing w:after="0" w:line="560" w:lineRule="exact"/>
        <w:ind w:leftChars="0" w:left="0" w:firstLineChars="0" w:firstLine="0"/>
        <w:rPr>
          <w:rFonts w:ascii="Times New Roman" w:eastAsia="黑体" w:hAnsi="Times New Roman" w:cs="Times New Roman"/>
        </w:rPr>
      </w:pPr>
      <w:r>
        <w:rPr>
          <w:rFonts w:ascii="Times New Roman" w:eastAsia="黑体" w:hAnsi="Times New Roman" w:cs="Times New Roman"/>
        </w:rPr>
        <w:lastRenderedPageBreak/>
        <w:t>附件</w:t>
      </w:r>
    </w:p>
    <w:p w:rsidR="008544B3" w:rsidRDefault="008544B3">
      <w:pPr>
        <w:pStyle w:val="a5"/>
        <w:spacing w:after="0" w:line="560" w:lineRule="exact"/>
        <w:ind w:leftChars="0" w:left="0"/>
        <w:jc w:val="center"/>
        <w:rPr>
          <w:rFonts w:ascii="Times New Roman" w:eastAsia="方正小标宋简体" w:hAnsi="Times New Roman" w:cs="Times New Roman"/>
          <w:sz w:val="44"/>
          <w:szCs w:val="44"/>
        </w:rPr>
      </w:pPr>
    </w:p>
    <w:p w:rsidR="008544B3" w:rsidRDefault="003511AC">
      <w:pPr>
        <w:pStyle w:val="a5"/>
        <w:spacing w:after="0" w:line="560" w:lineRule="exact"/>
        <w:ind w:leftChars="0" w:left="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市场监管系统城镇燃气安全专项整治行动</w:t>
      </w:r>
    </w:p>
    <w:p w:rsidR="008544B3" w:rsidRDefault="003511AC">
      <w:pPr>
        <w:pStyle w:val="a5"/>
        <w:spacing w:after="0" w:line="560" w:lineRule="exact"/>
        <w:ind w:leftChars="0" w:left="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成果统计表</w:t>
      </w:r>
    </w:p>
    <w:p w:rsidR="008544B3" w:rsidRDefault="008544B3">
      <w:pPr>
        <w:spacing w:line="560" w:lineRule="exact"/>
        <w:ind w:firstLineChars="200" w:firstLine="640"/>
        <w:rPr>
          <w:rFonts w:ascii="Times New Roman" w:eastAsia="仿宋_GB2312" w:hAnsi="Times New Roman" w:cs="Times New Roman"/>
          <w:sz w:val="32"/>
          <w:szCs w:val="32"/>
        </w:rPr>
      </w:pPr>
    </w:p>
    <w:p w:rsidR="008544B3" w:rsidRDefault="003511AC">
      <w:pPr>
        <w:spacing w:line="578" w:lineRule="exact"/>
        <w:rPr>
          <w:rFonts w:ascii="Times New Roman" w:eastAsia="仿宋_GB2312" w:hAnsi="Times New Roman" w:cs="Times New Roman"/>
          <w:sz w:val="28"/>
          <w:szCs w:val="28"/>
        </w:rPr>
      </w:pPr>
      <w:bookmarkStart w:id="0" w:name="_GoBack"/>
      <w:r>
        <w:rPr>
          <w:rFonts w:ascii="Times New Roman" w:eastAsia="仿宋_GB2312" w:hAnsi="Times New Roman" w:cs="Times New Roman"/>
          <w:sz w:val="28"/>
          <w:szCs w:val="28"/>
        </w:rPr>
        <w:t>填报单位：</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填报日期：</w:t>
      </w:r>
      <w:r>
        <w:rPr>
          <w:rFonts w:ascii="Times New Roman" w:eastAsia="仿宋_GB2312" w:hAnsi="Times New Roman" w:cs="Times New Roman"/>
          <w:sz w:val="28"/>
          <w:szCs w:val="28"/>
        </w:rPr>
        <w:t xml:space="preserve">              </w:t>
      </w:r>
    </w:p>
    <w:tbl>
      <w:tblPr>
        <w:tblStyle w:val="a8"/>
        <w:tblW w:w="9061" w:type="dxa"/>
        <w:tblLayout w:type="fixed"/>
        <w:tblLook w:val="04A0" w:firstRow="1" w:lastRow="0" w:firstColumn="1" w:lastColumn="0" w:noHBand="0" w:noVBand="1"/>
      </w:tblPr>
      <w:tblGrid>
        <w:gridCol w:w="1209"/>
        <w:gridCol w:w="6620"/>
        <w:gridCol w:w="1232"/>
      </w:tblGrid>
      <w:tr w:rsidR="008544B3">
        <w:trPr>
          <w:tblHeader/>
        </w:trPr>
        <w:tc>
          <w:tcPr>
            <w:tcW w:w="1209" w:type="dxa"/>
            <w:vAlign w:val="center"/>
          </w:tcPr>
          <w:p w:rsidR="008544B3" w:rsidRDefault="003511AC">
            <w:pPr>
              <w:spacing w:line="330" w:lineRule="exact"/>
              <w:jc w:val="center"/>
              <w:rPr>
                <w:rFonts w:ascii="Times New Roman" w:eastAsia="黑体" w:hAnsi="Times New Roman" w:cs="Times New Roman"/>
                <w:sz w:val="24"/>
              </w:rPr>
            </w:pPr>
            <w:r>
              <w:rPr>
                <w:rFonts w:ascii="Times New Roman" w:eastAsia="黑体" w:hAnsi="Times New Roman" w:cs="Times New Roman"/>
                <w:sz w:val="24"/>
              </w:rPr>
              <w:t>内容</w:t>
            </w:r>
          </w:p>
        </w:tc>
        <w:tc>
          <w:tcPr>
            <w:tcW w:w="6620" w:type="dxa"/>
            <w:vAlign w:val="center"/>
          </w:tcPr>
          <w:p w:rsidR="008544B3" w:rsidRDefault="003511AC">
            <w:pPr>
              <w:spacing w:line="330" w:lineRule="exact"/>
              <w:jc w:val="center"/>
              <w:rPr>
                <w:rFonts w:ascii="Times New Roman" w:eastAsia="黑体" w:hAnsi="Times New Roman" w:cs="Times New Roman"/>
                <w:sz w:val="24"/>
              </w:rPr>
            </w:pPr>
            <w:r>
              <w:rPr>
                <w:rFonts w:ascii="Times New Roman" w:eastAsia="黑体" w:hAnsi="Times New Roman" w:cs="Times New Roman"/>
                <w:sz w:val="24"/>
              </w:rPr>
              <w:t>具体项目</w:t>
            </w:r>
          </w:p>
        </w:tc>
        <w:tc>
          <w:tcPr>
            <w:tcW w:w="1232" w:type="dxa"/>
            <w:vAlign w:val="center"/>
          </w:tcPr>
          <w:p w:rsidR="008544B3" w:rsidRDefault="003511AC">
            <w:pPr>
              <w:spacing w:line="330" w:lineRule="exact"/>
              <w:jc w:val="center"/>
              <w:rPr>
                <w:rFonts w:ascii="Times New Roman" w:eastAsia="黑体" w:hAnsi="Times New Roman" w:cs="Times New Roman"/>
                <w:sz w:val="24"/>
              </w:rPr>
            </w:pPr>
            <w:r>
              <w:rPr>
                <w:rFonts w:ascii="Times New Roman" w:eastAsia="黑体" w:hAnsi="Times New Roman" w:cs="Times New Roman"/>
                <w:sz w:val="24"/>
              </w:rPr>
              <w:t>数量</w:t>
            </w:r>
          </w:p>
        </w:tc>
      </w:tr>
      <w:tr w:rsidR="008544B3">
        <w:tc>
          <w:tcPr>
            <w:tcW w:w="1209" w:type="dxa"/>
            <w:vMerge w:val="restart"/>
            <w:vAlign w:val="center"/>
          </w:tcPr>
          <w:p w:rsidR="008544B3" w:rsidRDefault="003511AC">
            <w:pPr>
              <w:spacing w:line="330" w:lineRule="exact"/>
              <w:jc w:val="center"/>
              <w:rPr>
                <w:rFonts w:ascii="Times New Roman" w:eastAsia="仿宋_GB2312" w:hAnsi="Times New Roman" w:cs="Times New Roman"/>
                <w:sz w:val="24"/>
              </w:rPr>
            </w:pPr>
            <w:r>
              <w:rPr>
                <w:rFonts w:ascii="Times New Roman" w:eastAsia="仿宋_GB2312" w:hAnsi="Times New Roman" w:cs="Times New Roman"/>
                <w:sz w:val="24"/>
              </w:rPr>
              <w:t>监管执法情况</w:t>
            </w: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典型案例曝光（起）</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重大案件查办（起）</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违法人员惩治（人）</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开展监督检查（人次）</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检查液化石油气生产经营单位（家）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检查燃气气瓶制造单位（家）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检查燃气气瓶充装单位（家）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检查燃气气瓶检验单位（家）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监督抽查燃气器具（批次）</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检查燃气器具生产单位（家）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检查燃气器具销售单位（家）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检查燃气压力管道及相关压力容器使用单位（家）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检查燃气压力管道及相关压力容器检验单位（家）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约谈单位（家）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立案查办违法案件（件）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责令改正（家）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没收产品（件）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责令停产停业（家）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出具监察指令书（份）</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暂停、撤销家用燃气器具</w:t>
            </w:r>
            <w:r>
              <w:rPr>
                <w:rFonts w:ascii="Times New Roman" w:eastAsia="仿宋_GB2312" w:hAnsi="Times New Roman" w:cs="Times New Roman"/>
                <w:sz w:val="24"/>
              </w:rPr>
              <w:t xml:space="preserve"> CCC </w:t>
            </w:r>
            <w:r>
              <w:rPr>
                <w:rFonts w:ascii="Times New Roman" w:eastAsia="仿宋_GB2312" w:hAnsi="Times New Roman" w:cs="Times New Roman"/>
                <w:sz w:val="24"/>
              </w:rPr>
              <w:t>认证证书（张）</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吊销单位资格证书（家）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吊销人员资格证书（家）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罚没金额（万元）</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移送司法机关（件）</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列入严重违法失信名单户数（户）</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发布执法指引、指导案例等细化执法标准措施（</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restart"/>
            <w:vAlign w:val="center"/>
          </w:tcPr>
          <w:p w:rsidR="008544B3" w:rsidRDefault="003511AC">
            <w:pPr>
              <w:spacing w:line="33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制度机制建设情况</w:t>
            </w: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成立工作专班（</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出台制度文件（</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制修订法规规范（</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制修订地方标准（</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制修订团体标准（</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rPr>
          <w:trHeight w:val="640"/>
        </w:trPr>
        <w:tc>
          <w:tcPr>
            <w:tcW w:w="1209" w:type="dxa"/>
            <w:vMerge w:val="restart"/>
            <w:vAlign w:val="center"/>
          </w:tcPr>
          <w:p w:rsidR="008544B3" w:rsidRDefault="003511AC">
            <w:pPr>
              <w:spacing w:line="330" w:lineRule="exact"/>
              <w:rPr>
                <w:rFonts w:ascii="Times New Roman" w:eastAsia="仿宋_GB2312" w:hAnsi="Times New Roman" w:cs="Times New Roman"/>
                <w:sz w:val="24"/>
              </w:rPr>
            </w:pPr>
            <w:r>
              <w:rPr>
                <w:rFonts w:ascii="Times New Roman" w:eastAsia="仿宋_GB2312" w:hAnsi="Times New Roman" w:cs="Times New Roman"/>
                <w:sz w:val="24"/>
              </w:rPr>
              <w:t>压紧压实责任情况</w:t>
            </w: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市、区县</w:t>
            </w:r>
            <w:r>
              <w:rPr>
                <w:rFonts w:ascii="Times New Roman" w:eastAsia="仿宋_GB2312" w:hAnsi="Times New Roman" w:cs="Times New Roman"/>
                <w:sz w:val="24"/>
              </w:rPr>
              <w:t>层面出台落实相关责任的指导性文件（</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highlight w:val="yellow"/>
              </w:rPr>
            </w:pPr>
          </w:p>
        </w:tc>
      </w:tr>
      <w:tr w:rsidR="008544B3">
        <w:trPr>
          <w:trHeight w:val="640"/>
        </w:trPr>
        <w:tc>
          <w:tcPr>
            <w:tcW w:w="1209" w:type="dxa"/>
            <w:vMerge w:val="restart"/>
            <w:vAlign w:val="center"/>
          </w:tcPr>
          <w:p w:rsidR="008544B3" w:rsidRDefault="003511AC">
            <w:pPr>
              <w:spacing w:line="330" w:lineRule="exact"/>
              <w:rPr>
                <w:rFonts w:ascii="Times New Roman" w:eastAsia="仿宋_GB2312" w:hAnsi="Times New Roman" w:cs="Times New Roman"/>
                <w:sz w:val="24"/>
              </w:rPr>
            </w:pPr>
            <w:r>
              <w:rPr>
                <w:rFonts w:ascii="Times New Roman" w:eastAsia="仿宋_GB2312" w:hAnsi="Times New Roman" w:cs="Times New Roman"/>
                <w:sz w:val="24"/>
              </w:rPr>
              <w:t>加强行业</w:t>
            </w:r>
          </w:p>
          <w:p w:rsidR="008544B3" w:rsidRDefault="003511AC">
            <w:pPr>
              <w:spacing w:line="330" w:lineRule="exact"/>
              <w:rPr>
                <w:rFonts w:ascii="Times New Roman" w:eastAsia="仿宋_GB2312" w:hAnsi="Times New Roman" w:cs="Times New Roman"/>
                <w:sz w:val="24"/>
              </w:rPr>
            </w:pPr>
            <w:r>
              <w:rPr>
                <w:rFonts w:ascii="Times New Roman" w:eastAsia="仿宋_GB2312" w:hAnsi="Times New Roman" w:cs="Times New Roman"/>
                <w:sz w:val="24"/>
              </w:rPr>
              <w:t>自律情况</w:t>
            </w:r>
          </w:p>
        </w:tc>
        <w:tc>
          <w:tcPr>
            <w:tcW w:w="6620" w:type="dxa"/>
            <w:vAlign w:val="center"/>
          </w:tcPr>
          <w:p w:rsidR="008544B3" w:rsidRDefault="003511AC">
            <w:pPr>
              <w:spacing w:line="330" w:lineRule="exact"/>
              <w:jc w:val="left"/>
              <w:rPr>
                <w:rFonts w:ascii="Times New Roman" w:eastAsia="仿宋_GB2312" w:hAnsi="Times New Roman" w:cs="Times New Roman"/>
                <w:sz w:val="24"/>
              </w:rPr>
            </w:pPr>
            <w:proofErr w:type="gramStart"/>
            <w:r>
              <w:rPr>
                <w:rFonts w:ascii="Times New Roman" w:eastAsia="仿宋_GB2312" w:hAnsi="Times New Roman" w:cs="Times New Roman"/>
                <w:sz w:val="24"/>
              </w:rPr>
              <w:t>各级</w:t>
            </w:r>
            <w:r>
              <w:rPr>
                <w:rFonts w:ascii="Times New Roman" w:eastAsia="仿宋_GB2312" w:hAnsi="Times New Roman" w:cs="Times New Roman"/>
                <w:sz w:val="24"/>
              </w:rPr>
              <w:t>行业</w:t>
            </w:r>
            <w:proofErr w:type="gramEnd"/>
            <w:r>
              <w:rPr>
                <w:rFonts w:ascii="Times New Roman" w:eastAsia="仿宋_GB2312" w:hAnsi="Times New Roman" w:cs="Times New Roman"/>
                <w:sz w:val="24"/>
              </w:rPr>
              <w:t>协会发布公开倡议、制定行业公约、</w:t>
            </w:r>
            <w:proofErr w:type="gramStart"/>
            <w:r>
              <w:rPr>
                <w:rFonts w:ascii="Times New Roman" w:eastAsia="仿宋_GB2312" w:hAnsi="Times New Roman" w:cs="Times New Roman"/>
                <w:sz w:val="24"/>
              </w:rPr>
              <w:t>作出</w:t>
            </w:r>
            <w:proofErr w:type="gramEnd"/>
            <w:r>
              <w:rPr>
                <w:rFonts w:ascii="Times New Roman" w:eastAsia="仿宋_GB2312" w:hAnsi="Times New Roman" w:cs="Times New Roman"/>
                <w:sz w:val="24"/>
              </w:rPr>
              <w:t>行业承诺（份）</w:t>
            </w:r>
          </w:p>
        </w:tc>
        <w:tc>
          <w:tcPr>
            <w:tcW w:w="1232" w:type="dxa"/>
            <w:vAlign w:val="center"/>
          </w:tcPr>
          <w:p w:rsidR="008544B3" w:rsidRDefault="008544B3">
            <w:pPr>
              <w:spacing w:line="330" w:lineRule="exact"/>
              <w:jc w:val="center"/>
              <w:rPr>
                <w:rFonts w:ascii="Times New Roman" w:eastAsia="仿宋_GB2312" w:hAnsi="Times New Roman" w:cs="Times New Roman"/>
                <w:sz w:val="24"/>
                <w:highlight w:val="yellow"/>
              </w:rPr>
            </w:pPr>
          </w:p>
        </w:tc>
      </w:tr>
      <w:tr w:rsidR="008544B3">
        <w:tc>
          <w:tcPr>
            <w:tcW w:w="1209" w:type="dxa"/>
            <w:vMerge w:val="restart"/>
            <w:vAlign w:val="center"/>
          </w:tcPr>
          <w:p w:rsidR="008544B3" w:rsidRDefault="003511AC">
            <w:pPr>
              <w:spacing w:line="330" w:lineRule="exact"/>
              <w:jc w:val="center"/>
              <w:rPr>
                <w:rFonts w:ascii="Times New Roman" w:eastAsia="仿宋_GB2312" w:hAnsi="Times New Roman" w:cs="Times New Roman"/>
                <w:sz w:val="24"/>
              </w:rPr>
            </w:pPr>
            <w:r>
              <w:rPr>
                <w:rFonts w:ascii="Times New Roman" w:eastAsia="仿宋_GB2312" w:hAnsi="Times New Roman" w:cs="Times New Roman"/>
                <w:sz w:val="24"/>
              </w:rPr>
              <w:t>宣传教育</w:t>
            </w:r>
          </w:p>
          <w:p w:rsidR="008544B3" w:rsidRDefault="003511AC">
            <w:pPr>
              <w:spacing w:line="330" w:lineRule="exact"/>
              <w:jc w:val="center"/>
              <w:rPr>
                <w:rFonts w:ascii="Times New Roman" w:eastAsia="仿宋_GB2312" w:hAnsi="Times New Roman" w:cs="Times New Roman"/>
                <w:sz w:val="24"/>
              </w:rPr>
            </w:pPr>
            <w:r>
              <w:rPr>
                <w:rFonts w:ascii="Times New Roman" w:eastAsia="仿宋_GB2312" w:hAnsi="Times New Roman" w:cs="Times New Roman"/>
                <w:sz w:val="24"/>
              </w:rPr>
              <w:t>情况</w:t>
            </w: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培训监管人员（名）</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培训气瓶安全总监、气瓶安全员、特种设备作业人员（名）</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培训燃气器具质量安全总监、质量安全员（名）</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发放培训材料（份）</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组织专题培训班（</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各类广播电视、网络媒介、挂图、公益广告进行宣传报道（篇次）</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开展重点宣传活动（次）</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制作手册、海报、图解、视频等宣传产品（</w:t>
            </w:r>
            <w:proofErr w:type="gramStart"/>
            <w:r>
              <w:rPr>
                <w:rFonts w:ascii="Times New Roman" w:eastAsia="仿宋_GB2312" w:hAnsi="Times New Roman" w:cs="Times New Roman"/>
                <w:sz w:val="24"/>
              </w:rPr>
              <w:t>个</w:t>
            </w:r>
            <w:proofErr w:type="gramEnd"/>
            <w:r>
              <w:rPr>
                <w:rFonts w:ascii="Times New Roman" w:eastAsia="仿宋_GB2312" w:hAnsi="Times New Roman" w:cs="Times New Roman"/>
                <w:sz w:val="24"/>
              </w:rPr>
              <w:t>）</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宣传覆盖人群（人次）</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r w:rsidR="008544B3">
        <w:tc>
          <w:tcPr>
            <w:tcW w:w="1209" w:type="dxa"/>
            <w:vMerge/>
            <w:vAlign w:val="center"/>
          </w:tcPr>
          <w:p w:rsidR="008544B3" w:rsidRDefault="008544B3">
            <w:pPr>
              <w:spacing w:line="330" w:lineRule="exact"/>
              <w:jc w:val="center"/>
              <w:rPr>
                <w:rFonts w:ascii="Times New Roman" w:eastAsia="仿宋_GB2312" w:hAnsi="Times New Roman" w:cs="Times New Roman"/>
                <w:sz w:val="24"/>
              </w:rPr>
            </w:pPr>
          </w:p>
        </w:tc>
        <w:tc>
          <w:tcPr>
            <w:tcW w:w="6620" w:type="dxa"/>
            <w:vAlign w:val="center"/>
          </w:tcPr>
          <w:p w:rsidR="008544B3" w:rsidRDefault="003511AC">
            <w:pPr>
              <w:spacing w:line="330" w:lineRule="exact"/>
              <w:jc w:val="left"/>
              <w:rPr>
                <w:rFonts w:ascii="Times New Roman" w:eastAsia="仿宋_GB2312" w:hAnsi="Times New Roman" w:cs="Times New Roman"/>
                <w:sz w:val="24"/>
              </w:rPr>
            </w:pPr>
            <w:r>
              <w:rPr>
                <w:rFonts w:ascii="Times New Roman" w:eastAsia="仿宋_GB2312" w:hAnsi="Times New Roman" w:cs="Times New Roman"/>
                <w:sz w:val="24"/>
              </w:rPr>
              <w:t>宣传报道及宣传产品浏览量（人次）</w:t>
            </w:r>
          </w:p>
        </w:tc>
        <w:tc>
          <w:tcPr>
            <w:tcW w:w="1232" w:type="dxa"/>
            <w:vAlign w:val="center"/>
          </w:tcPr>
          <w:p w:rsidR="008544B3" w:rsidRDefault="008544B3">
            <w:pPr>
              <w:spacing w:line="330" w:lineRule="exact"/>
              <w:jc w:val="center"/>
              <w:rPr>
                <w:rFonts w:ascii="Times New Roman" w:eastAsia="仿宋_GB2312" w:hAnsi="Times New Roman" w:cs="Times New Roman"/>
                <w:sz w:val="24"/>
              </w:rPr>
            </w:pPr>
          </w:p>
        </w:tc>
      </w:tr>
    </w:tbl>
    <w:p w:rsidR="008544B3" w:rsidRDefault="003511AC">
      <w:pPr>
        <w:spacing w:line="50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注：报送数据为开展专项整治行动以来的累计数。</w:t>
      </w:r>
    </w:p>
    <w:bookmarkEnd w:id="0"/>
    <w:p w:rsidR="008544B3" w:rsidRDefault="003511AC">
      <w:pPr>
        <w:rPr>
          <w:rFonts w:ascii="Times New Roman" w:eastAsia="仿宋_GB2312" w:hAnsi="Times New Roman" w:cs="Times New Roman"/>
          <w:sz w:val="24"/>
        </w:rPr>
      </w:pPr>
      <w:r>
        <w:rPr>
          <w:rFonts w:ascii="Times New Roman" w:eastAsia="仿宋_GB2312" w:hAnsi="Times New Roman" w:cs="Times New Roman"/>
          <w:sz w:val="24"/>
        </w:rPr>
        <w:br w:type="page"/>
      </w: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spacing w:line="580" w:lineRule="exact"/>
        <w:textAlignment w:val="baseline"/>
        <w:rPr>
          <w:rFonts w:ascii="Times New Roman" w:eastAsia="仿宋_GB2312" w:hAnsi="Times New Roman" w:cs="Times New Roman"/>
          <w:kern w:val="32"/>
          <w:sz w:val="32"/>
          <w:szCs w:val="32"/>
        </w:rPr>
      </w:pPr>
    </w:p>
    <w:p w:rsidR="008544B3" w:rsidRDefault="008544B3">
      <w:pPr>
        <w:widowControl/>
        <w:autoSpaceDE w:val="0"/>
        <w:autoSpaceDN w:val="0"/>
        <w:adjustRightInd w:val="0"/>
        <w:snapToGrid w:val="0"/>
        <w:textAlignment w:val="baseline"/>
        <w:rPr>
          <w:rFonts w:ascii="Times New Roman" w:hAnsi="Times New Roman" w:cs="Times New Roman"/>
        </w:rPr>
      </w:pPr>
    </w:p>
    <w:tbl>
      <w:tblPr>
        <w:tblStyle w:val="TableNormal"/>
        <w:tblpPr w:leftFromText="180" w:rightFromText="180" w:vertAnchor="text" w:horzAnchor="page" w:tblpX="1479" w:tblpY="636"/>
        <w:tblOverlap w:val="never"/>
        <w:tblW w:w="9099"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9099"/>
      </w:tblGrid>
      <w:tr w:rsidR="008544B3">
        <w:trPr>
          <w:trHeight w:val="624"/>
        </w:trPr>
        <w:tc>
          <w:tcPr>
            <w:tcW w:w="9099" w:type="dxa"/>
            <w:tcBorders>
              <w:top w:val="single" w:sz="4" w:space="0" w:color="000000"/>
              <w:bottom w:val="single" w:sz="4" w:space="0" w:color="000000"/>
            </w:tcBorders>
          </w:tcPr>
          <w:p w:rsidR="008544B3" w:rsidRDefault="003511AC">
            <w:pPr>
              <w:widowControl/>
              <w:autoSpaceDE w:val="0"/>
              <w:autoSpaceDN w:val="0"/>
              <w:adjustRightInd w:val="0"/>
              <w:snapToGrid w:val="0"/>
              <w:spacing w:before="196" w:line="219" w:lineRule="auto"/>
              <w:ind w:leftChars="100" w:left="210" w:rightChars="100" w:right="210"/>
              <w:jc w:val="distribute"/>
              <w:textAlignment w:val="baseline"/>
              <w:rPr>
                <w:rFonts w:ascii="Times New Roman" w:eastAsia="仿宋_GB2312" w:hAnsi="Times New Roman" w:cs="Times New Roman"/>
                <w:sz w:val="32"/>
                <w:szCs w:val="32"/>
              </w:rPr>
            </w:pPr>
            <w:r>
              <w:rPr>
                <w:rFonts w:ascii="Times New Roman" w:eastAsia="仿宋_GB2312" w:hAnsi="Times New Roman" w:cs="Times New Roman"/>
                <w:spacing w:val="1"/>
                <w:sz w:val="28"/>
                <w:szCs w:val="28"/>
              </w:rPr>
              <w:t>高青县</w:t>
            </w:r>
            <w:r>
              <w:rPr>
                <w:rFonts w:ascii="Times New Roman" w:eastAsia="仿宋_GB2312" w:hAnsi="Times New Roman" w:cs="Times New Roman"/>
                <w:spacing w:val="1"/>
                <w:sz w:val="28"/>
                <w:szCs w:val="28"/>
              </w:rPr>
              <w:t>市场监督管理局</w:t>
            </w:r>
            <w:r>
              <w:rPr>
                <w:rFonts w:ascii="Times New Roman" w:eastAsia="仿宋_GB2312" w:hAnsi="Times New Roman" w:cs="Times New Roman"/>
                <w:spacing w:val="1"/>
                <w:sz w:val="28"/>
                <w:szCs w:val="28"/>
              </w:rPr>
              <w:t xml:space="preserve">                     20</w:t>
            </w:r>
            <w:r>
              <w:rPr>
                <w:rFonts w:ascii="Times New Roman" w:eastAsia="仿宋_GB2312" w:hAnsi="Times New Roman" w:cs="Times New Roman"/>
                <w:spacing w:val="1"/>
                <w:sz w:val="28"/>
                <w:szCs w:val="28"/>
              </w:rPr>
              <w:t>23</w:t>
            </w:r>
            <w:r>
              <w:rPr>
                <w:rFonts w:ascii="Times New Roman" w:eastAsia="仿宋_GB2312" w:hAnsi="Times New Roman" w:cs="Times New Roman"/>
                <w:spacing w:val="1"/>
                <w:sz w:val="28"/>
                <w:szCs w:val="28"/>
              </w:rPr>
              <w:t>年</w:t>
            </w:r>
            <w:r>
              <w:rPr>
                <w:rFonts w:ascii="Times New Roman" w:eastAsia="仿宋_GB2312" w:hAnsi="Times New Roman" w:cs="Times New Roman"/>
                <w:spacing w:val="1"/>
                <w:sz w:val="28"/>
                <w:szCs w:val="28"/>
              </w:rPr>
              <w:t>9</w:t>
            </w:r>
            <w:r>
              <w:rPr>
                <w:rFonts w:ascii="Times New Roman" w:eastAsia="仿宋_GB2312" w:hAnsi="Times New Roman" w:cs="Times New Roman"/>
                <w:spacing w:val="1"/>
                <w:sz w:val="28"/>
                <w:szCs w:val="28"/>
              </w:rPr>
              <w:t>月</w:t>
            </w:r>
            <w:r>
              <w:rPr>
                <w:rFonts w:ascii="Times New Roman" w:eastAsia="仿宋_GB2312" w:hAnsi="Times New Roman" w:cs="Times New Roman"/>
                <w:spacing w:val="1"/>
                <w:sz w:val="28"/>
                <w:szCs w:val="28"/>
              </w:rPr>
              <w:t>8</w:t>
            </w:r>
            <w:r>
              <w:rPr>
                <w:rFonts w:ascii="Times New Roman" w:eastAsia="仿宋_GB2312" w:hAnsi="Times New Roman" w:cs="Times New Roman"/>
                <w:spacing w:val="1"/>
                <w:sz w:val="28"/>
                <w:szCs w:val="28"/>
              </w:rPr>
              <w:t>日印发</w:t>
            </w:r>
            <w:r>
              <w:rPr>
                <w:rFonts w:ascii="Times New Roman" w:eastAsia="仿宋_GB2312" w:hAnsi="Times New Roman" w:cs="Times New Roman"/>
                <w:spacing w:val="1"/>
                <w:sz w:val="28"/>
                <w:szCs w:val="28"/>
              </w:rPr>
              <w:t xml:space="preserve"> </w:t>
            </w:r>
          </w:p>
        </w:tc>
      </w:tr>
    </w:tbl>
    <w:p w:rsidR="008544B3" w:rsidRDefault="003511AC">
      <w:pPr>
        <w:pStyle w:val="20"/>
        <w:adjustRightInd w:val="0"/>
        <w:snapToGrid w:val="0"/>
        <w:ind w:leftChars="0" w:left="0" w:firstLineChars="0" w:firstLine="0"/>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1142365</wp:posOffset>
                </wp:positionV>
                <wp:extent cx="1237615" cy="347345"/>
                <wp:effectExtent l="0" t="0" r="635" b="14605"/>
                <wp:wrapNone/>
                <wp:docPr id="3" name="矩形 3"/>
                <wp:cNvGraphicFramePr/>
                <a:graphic xmlns:a="http://schemas.openxmlformats.org/drawingml/2006/main">
                  <a:graphicData uri="http://schemas.microsoft.com/office/word/2010/wordprocessingShape">
                    <wps:wsp>
                      <wps:cNvSpPr/>
                      <wps:spPr>
                        <a:xfrm>
                          <a:off x="829310" y="9625330"/>
                          <a:ext cx="1237615" cy="34734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4.05pt;margin-top:89.95pt;height:27.35pt;width:97.45pt;z-index:251659264;v-text-anchor:middle;mso-width-relative:page;mso-height-relative:page;" fillcolor="#FFFFFF [3212]" filled="t" stroked="f" coordsize="21600,21600" o:gfxdata="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&#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sC20b2gAAAAsBAAAPAAAAAAAAAAEAIAAAACIAAABk&#10;cnMvZG93bnJldi54bWxQSwECFAAUAAAACACHTuJAfLrfCHYCAADWBAAADgAAAAAAAAABACAAAAAp&#10;AQAAZHJzL2Uyb0RvYy54bWxQSwUGAAAAAAYABgBZAQAAEQYAAAAA&#10;">
                <v:fill on="t" focussize="0,0"/>
                <v:stroke on="f" weight="1pt" miterlimit="8" joinstyle="miter"/>
                <v:imagedata o:title=""/>
                <o:lock v:ext="edit" aspectratio="f"/>
              </v:rect>
            </w:pict>
          </mc:Fallback>
        </mc:AlternateContent>
      </w:r>
    </w:p>
    <w:sectPr w:rsidR="008544B3">
      <w:footerReference w:type="default" r:id="rId9"/>
      <w:pgSz w:w="11906" w:h="16838"/>
      <w:pgMar w:top="2098" w:right="1531" w:bottom="1984" w:left="1531" w:header="851" w:footer="136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AC" w:rsidRDefault="003511AC">
      <w:r>
        <w:separator/>
      </w:r>
    </w:p>
  </w:endnote>
  <w:endnote w:type="continuationSeparator" w:id="0">
    <w:p w:rsidR="003511AC" w:rsidRDefault="0035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B3" w:rsidRDefault="003511A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44B3" w:rsidRDefault="003511AC">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707C">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44B3" w:rsidRDefault="003511AC">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707C">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B3" w:rsidRDefault="003511AC">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44B3" w:rsidRDefault="003511AC">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707C">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544B3" w:rsidRDefault="003511AC">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707C">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AC" w:rsidRDefault="003511AC">
      <w:r>
        <w:separator/>
      </w:r>
    </w:p>
  </w:footnote>
  <w:footnote w:type="continuationSeparator" w:id="0">
    <w:p w:rsidR="003511AC" w:rsidRDefault="00351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zVhNzk5MjU2NTEyNmQxODZkZTM1ZDQwZjQyNWUifQ=="/>
  </w:docVars>
  <w:rsids>
    <w:rsidRoot w:val="00172A27"/>
    <w:rsid w:val="C9FEEC44"/>
    <w:rsid w:val="CBA7A698"/>
    <w:rsid w:val="DF710104"/>
    <w:rsid w:val="E65D72AB"/>
    <w:rsid w:val="EE7E867E"/>
    <w:rsid w:val="F5719DA9"/>
    <w:rsid w:val="FBDD96C5"/>
    <w:rsid w:val="FBFAB5E2"/>
    <w:rsid w:val="FD9F79E6"/>
    <w:rsid w:val="FDB6D5DA"/>
    <w:rsid w:val="FE4F0089"/>
    <w:rsid w:val="FF560DD2"/>
    <w:rsid w:val="FFB66B93"/>
    <w:rsid w:val="FFF53994"/>
    <w:rsid w:val="001457A1"/>
    <w:rsid w:val="00172A27"/>
    <w:rsid w:val="002872DA"/>
    <w:rsid w:val="003511AC"/>
    <w:rsid w:val="00824392"/>
    <w:rsid w:val="008544B3"/>
    <w:rsid w:val="00A364C8"/>
    <w:rsid w:val="00C43FB7"/>
    <w:rsid w:val="00DA2FB7"/>
    <w:rsid w:val="00E2707C"/>
    <w:rsid w:val="03C126EA"/>
    <w:rsid w:val="03F134FD"/>
    <w:rsid w:val="040C0819"/>
    <w:rsid w:val="04366E94"/>
    <w:rsid w:val="066E27CC"/>
    <w:rsid w:val="068C5C42"/>
    <w:rsid w:val="06F061D0"/>
    <w:rsid w:val="079365B3"/>
    <w:rsid w:val="08F75941"/>
    <w:rsid w:val="094822F4"/>
    <w:rsid w:val="0A024978"/>
    <w:rsid w:val="0B2B0EB7"/>
    <w:rsid w:val="0BA22CD9"/>
    <w:rsid w:val="0C774C9E"/>
    <w:rsid w:val="0D6230A7"/>
    <w:rsid w:val="0DCD7273"/>
    <w:rsid w:val="0EE7435D"/>
    <w:rsid w:val="0F4B4070"/>
    <w:rsid w:val="10521CAA"/>
    <w:rsid w:val="10BE4C20"/>
    <w:rsid w:val="11195350"/>
    <w:rsid w:val="11ED6791"/>
    <w:rsid w:val="12DA61C8"/>
    <w:rsid w:val="1319626C"/>
    <w:rsid w:val="13FB3637"/>
    <w:rsid w:val="145E0C1D"/>
    <w:rsid w:val="14606847"/>
    <w:rsid w:val="14940C1A"/>
    <w:rsid w:val="16471C40"/>
    <w:rsid w:val="167D65DC"/>
    <w:rsid w:val="18446CE8"/>
    <w:rsid w:val="18784278"/>
    <w:rsid w:val="18FE477D"/>
    <w:rsid w:val="19244BA8"/>
    <w:rsid w:val="19F43DD9"/>
    <w:rsid w:val="1A7362D7"/>
    <w:rsid w:val="1D1E53EE"/>
    <w:rsid w:val="1D350989"/>
    <w:rsid w:val="1D743CD8"/>
    <w:rsid w:val="1DFF77B6"/>
    <w:rsid w:val="1F0D7AEC"/>
    <w:rsid w:val="1F591335"/>
    <w:rsid w:val="2000198D"/>
    <w:rsid w:val="20226DAA"/>
    <w:rsid w:val="2129479F"/>
    <w:rsid w:val="22087AAA"/>
    <w:rsid w:val="22D904BD"/>
    <w:rsid w:val="22FF3EBA"/>
    <w:rsid w:val="233DBE2B"/>
    <w:rsid w:val="266063D7"/>
    <w:rsid w:val="28C073CE"/>
    <w:rsid w:val="2A814284"/>
    <w:rsid w:val="2ADB258C"/>
    <w:rsid w:val="2AFD7A62"/>
    <w:rsid w:val="2B365FF8"/>
    <w:rsid w:val="2B391112"/>
    <w:rsid w:val="2C9029EB"/>
    <w:rsid w:val="2C9C2C65"/>
    <w:rsid w:val="2D5835B8"/>
    <w:rsid w:val="32877139"/>
    <w:rsid w:val="330913F8"/>
    <w:rsid w:val="33281C96"/>
    <w:rsid w:val="33563535"/>
    <w:rsid w:val="336769A1"/>
    <w:rsid w:val="33F45882"/>
    <w:rsid w:val="34787E4E"/>
    <w:rsid w:val="34B51230"/>
    <w:rsid w:val="351A0FD5"/>
    <w:rsid w:val="364E1F02"/>
    <w:rsid w:val="375A508A"/>
    <w:rsid w:val="379B167E"/>
    <w:rsid w:val="38F73D01"/>
    <w:rsid w:val="394D294A"/>
    <w:rsid w:val="3A085B45"/>
    <w:rsid w:val="3A3E0A25"/>
    <w:rsid w:val="3A7A318D"/>
    <w:rsid w:val="3B3166A8"/>
    <w:rsid w:val="3B426865"/>
    <w:rsid w:val="3CE37B7A"/>
    <w:rsid w:val="41831414"/>
    <w:rsid w:val="41DB1250"/>
    <w:rsid w:val="42462B6D"/>
    <w:rsid w:val="43656172"/>
    <w:rsid w:val="43A41107"/>
    <w:rsid w:val="453317CC"/>
    <w:rsid w:val="458A0FC3"/>
    <w:rsid w:val="45B54A8A"/>
    <w:rsid w:val="46C94436"/>
    <w:rsid w:val="48A74696"/>
    <w:rsid w:val="48CF28D2"/>
    <w:rsid w:val="492E435B"/>
    <w:rsid w:val="4A121587"/>
    <w:rsid w:val="4A360836"/>
    <w:rsid w:val="4B4D6AFC"/>
    <w:rsid w:val="4B777AD6"/>
    <w:rsid w:val="4DAA4E68"/>
    <w:rsid w:val="4F2762C4"/>
    <w:rsid w:val="4F9FB0BD"/>
    <w:rsid w:val="4FCF12FD"/>
    <w:rsid w:val="4FDF70FF"/>
    <w:rsid w:val="51ED301F"/>
    <w:rsid w:val="52F86241"/>
    <w:rsid w:val="53920582"/>
    <w:rsid w:val="564114B8"/>
    <w:rsid w:val="56C711DB"/>
    <w:rsid w:val="5A0104ED"/>
    <w:rsid w:val="5A76642A"/>
    <w:rsid w:val="5E457D25"/>
    <w:rsid w:val="5E4C5281"/>
    <w:rsid w:val="5F85487D"/>
    <w:rsid w:val="5FEDF8DE"/>
    <w:rsid w:val="60440D6E"/>
    <w:rsid w:val="61490E63"/>
    <w:rsid w:val="634C56B2"/>
    <w:rsid w:val="63B329B7"/>
    <w:rsid w:val="652C4FAF"/>
    <w:rsid w:val="68534DA2"/>
    <w:rsid w:val="68D7D8CF"/>
    <w:rsid w:val="695237F9"/>
    <w:rsid w:val="6A987763"/>
    <w:rsid w:val="6AB61746"/>
    <w:rsid w:val="6B2E0D09"/>
    <w:rsid w:val="6B3D72DF"/>
    <w:rsid w:val="6CF43042"/>
    <w:rsid w:val="6E075EBE"/>
    <w:rsid w:val="6E2459C5"/>
    <w:rsid w:val="6EAC21E0"/>
    <w:rsid w:val="6ED15165"/>
    <w:rsid w:val="6EFBA4F5"/>
    <w:rsid w:val="6FB35E8C"/>
    <w:rsid w:val="701B6B38"/>
    <w:rsid w:val="712627BF"/>
    <w:rsid w:val="715F6995"/>
    <w:rsid w:val="722D0E59"/>
    <w:rsid w:val="735F7965"/>
    <w:rsid w:val="737E76FD"/>
    <w:rsid w:val="747D134E"/>
    <w:rsid w:val="767B62FD"/>
    <w:rsid w:val="76B37BEE"/>
    <w:rsid w:val="76CF9BE4"/>
    <w:rsid w:val="77001834"/>
    <w:rsid w:val="77964752"/>
    <w:rsid w:val="77B8230B"/>
    <w:rsid w:val="77D93506"/>
    <w:rsid w:val="77FC0E5E"/>
    <w:rsid w:val="783A1929"/>
    <w:rsid w:val="78EF0B61"/>
    <w:rsid w:val="797E7D87"/>
    <w:rsid w:val="79892D64"/>
    <w:rsid w:val="79F6515A"/>
    <w:rsid w:val="7B6ADF91"/>
    <w:rsid w:val="7C5E7D97"/>
    <w:rsid w:val="7CD6243D"/>
    <w:rsid w:val="7D982244"/>
    <w:rsid w:val="7D990A9F"/>
    <w:rsid w:val="7DD4A42A"/>
    <w:rsid w:val="7DFE2EAA"/>
    <w:rsid w:val="7E5E2210"/>
    <w:rsid w:val="7E5F7257"/>
    <w:rsid w:val="7EF7BD52"/>
    <w:rsid w:val="7F9F99F4"/>
    <w:rsid w:val="7FCFB85F"/>
    <w:rsid w:val="7FEFC37C"/>
    <w:rsid w:val="7FF39437"/>
    <w:rsid w:val="7FF9123E"/>
    <w:rsid w:val="7FFE25D5"/>
    <w:rsid w:val="7FFF5114"/>
    <w:rsid w:val="97F85FCB"/>
    <w:rsid w:val="9F3BED43"/>
    <w:rsid w:val="9FDF91AF"/>
    <w:rsid w:val="AF773BD8"/>
    <w:rsid w:val="B76FA62F"/>
    <w:rsid w:val="BB75E8B7"/>
    <w:rsid w:val="BF9FB816"/>
    <w:rsid w:val="BFF6C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rFonts w:eastAsia="仿宋"/>
      <w:sz w:val="32"/>
    </w:rPr>
  </w:style>
  <w:style w:type="paragraph" w:styleId="a4">
    <w:name w:val="Body Text"/>
    <w:basedOn w:val="a"/>
    <w:uiPriority w:val="1"/>
    <w:qFormat/>
    <w:rPr>
      <w:rFonts w:ascii="方正小标宋简体" w:eastAsia="方正小标宋简体" w:hAnsi="方正小标宋简体" w:cs="方正小标宋简体"/>
      <w:sz w:val="140"/>
      <w:szCs w:val="140"/>
      <w:lang w:val="zh-CN" w:bidi="zh-CN"/>
    </w:rPr>
  </w:style>
  <w:style w:type="paragraph" w:styleId="a5">
    <w:name w:val="Body Text Indent"/>
    <w:basedOn w:val="a"/>
    <w:next w:val="a3"/>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5"/>
    <w:autoRedefine/>
    <w:qFormat/>
    <w:pPr>
      <w:ind w:firstLineChars="200" w:firstLine="420"/>
    </w:pPr>
    <w:rPr>
      <w:rFonts w:eastAsia="仿宋_GB2312"/>
      <w:sz w:val="32"/>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keepNext/>
      <w:keepLines/>
      <w:spacing w:before="280" w:after="290" w:line="376" w:lineRule="auto"/>
      <w:outlineLvl w:val="4"/>
    </w:pPr>
    <w:rPr>
      <w:rFonts w:eastAsia="仿宋_GB2312" w:hint="eastAsia"/>
      <w:bCs/>
      <w:sz w:val="32"/>
      <w:szCs w:val="28"/>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rFonts w:eastAsia="仿宋"/>
      <w:sz w:val="32"/>
    </w:rPr>
  </w:style>
  <w:style w:type="paragraph" w:styleId="a4">
    <w:name w:val="Body Text"/>
    <w:basedOn w:val="a"/>
    <w:uiPriority w:val="1"/>
    <w:qFormat/>
    <w:rPr>
      <w:rFonts w:ascii="方正小标宋简体" w:eastAsia="方正小标宋简体" w:hAnsi="方正小标宋简体" w:cs="方正小标宋简体"/>
      <w:sz w:val="140"/>
      <w:szCs w:val="140"/>
      <w:lang w:val="zh-CN" w:bidi="zh-CN"/>
    </w:rPr>
  </w:style>
  <w:style w:type="paragraph" w:styleId="a5">
    <w:name w:val="Body Text Indent"/>
    <w:basedOn w:val="a"/>
    <w:next w:val="a3"/>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5"/>
    <w:autoRedefine/>
    <w:qFormat/>
    <w:pPr>
      <w:ind w:firstLineChars="200" w:firstLine="420"/>
    </w:pPr>
    <w:rPr>
      <w:rFonts w:eastAsia="仿宋_GB2312"/>
      <w:sz w:val="32"/>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keepNext/>
      <w:keepLines/>
      <w:spacing w:before="280" w:after="290" w:line="376" w:lineRule="auto"/>
      <w:outlineLvl w:val="4"/>
    </w:pPr>
    <w:rPr>
      <w:rFonts w:eastAsia="仿宋_GB2312" w:hint="eastAsia"/>
      <w:bCs/>
      <w:sz w:val="32"/>
      <w:szCs w:val="2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1301</Words>
  <Characters>7419</Characters>
  <Application>Microsoft Office Word</Application>
  <DocSecurity>0</DocSecurity>
  <Lines>61</Lines>
  <Paragraphs>17</Paragraphs>
  <ScaleCrop>false</ScaleCrop>
  <Company>gq</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scjgj</dc:creator>
  <cp:lastModifiedBy>lb</cp:lastModifiedBy>
  <cp:revision>5</cp:revision>
  <cp:lastPrinted>2023-09-14T01:15:00Z</cp:lastPrinted>
  <dcterms:created xsi:type="dcterms:W3CDTF">2022-09-17T10:02:00Z</dcterms:created>
  <dcterms:modified xsi:type="dcterms:W3CDTF">2025-01-03T08:42:00Z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B4DC2C1B3E134D858FA30A1F02B0F8D2_13</vt:lpwstr>
  </property>
</Properties>
</file>