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宋体"/>
          <w:b/>
          <w:sz w:val="44"/>
          <w:szCs w:val="44"/>
        </w:rPr>
      </w:pPr>
      <w:r>
        <w:rPr>
          <w:rFonts w:hint="eastAsia" w:ascii="宋体" w:hAnsi="宋体"/>
          <w:b/>
          <w:sz w:val="44"/>
          <w:szCs w:val="44"/>
        </w:rPr>
        <w:t>高青县</w:t>
      </w:r>
      <w:r>
        <w:rPr>
          <w:rFonts w:hint="eastAsia" w:ascii="宋体" w:hAnsi="宋体"/>
          <w:b/>
          <w:sz w:val="44"/>
          <w:szCs w:val="44"/>
          <w:lang w:eastAsia="zh-CN"/>
        </w:rPr>
        <w:t>司法局</w:t>
      </w:r>
      <w:r>
        <w:rPr>
          <w:rFonts w:ascii="宋体" w:hAnsi="宋体"/>
          <w:b/>
          <w:sz w:val="44"/>
          <w:szCs w:val="44"/>
        </w:rPr>
        <w:t>2017</w:t>
      </w:r>
      <w:r>
        <w:rPr>
          <w:rFonts w:hint="eastAsia" w:ascii="宋体" w:hAnsi="宋体"/>
          <w:b/>
          <w:sz w:val="44"/>
          <w:szCs w:val="44"/>
        </w:rPr>
        <w:t>年政府信息公开工作</w:t>
      </w:r>
    </w:p>
    <w:p>
      <w:pPr>
        <w:spacing w:line="540" w:lineRule="exact"/>
        <w:jc w:val="center"/>
        <w:rPr>
          <w:rFonts w:ascii="宋体"/>
          <w:b/>
          <w:sz w:val="44"/>
          <w:szCs w:val="44"/>
        </w:rPr>
      </w:pPr>
      <w:r>
        <w:rPr>
          <w:rFonts w:hint="eastAsia" w:ascii="宋体" w:hAnsi="宋体"/>
          <w:b/>
          <w:sz w:val="44"/>
          <w:szCs w:val="44"/>
        </w:rPr>
        <w:t>年度报告</w:t>
      </w:r>
    </w:p>
    <w:p>
      <w:pPr>
        <w:spacing w:line="540" w:lineRule="exact"/>
        <w:jc w:val="center"/>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ascii="仿宋_GB2312" w:eastAsia="仿宋_GB2312"/>
          <w:sz w:val="32"/>
          <w:szCs w:val="32"/>
        </w:rPr>
      </w:pPr>
      <w:r>
        <w:rPr>
          <w:rFonts w:hint="eastAsia" w:ascii="仿宋_GB2312" w:eastAsia="仿宋_GB2312"/>
          <w:sz w:val="32"/>
          <w:szCs w:val="32"/>
        </w:rPr>
        <w:t>本报告按照《中华人民共和国政府信息公开条例》（以下简称《条例》）和《山东省政府信息公开办法》（以下简称《办法》）规定编制。报告全文由概述、主动公开政府信息情况、依申请公开政府信息情况、政府信息公开复议诉讼和举报情况、政府信息公开工作机构和人员情况、存在的不足及改进措施六个部分组成，并附有相关统计表格。</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szCs w:val="32"/>
        </w:rPr>
      </w:pPr>
      <w:r>
        <w:rPr>
          <w:rFonts w:hint="eastAsia" w:ascii="仿宋_GB2312" w:eastAsia="仿宋_GB2312"/>
          <w:sz w:val="32"/>
          <w:szCs w:val="32"/>
        </w:rPr>
        <w:t>报告中所列数据统计期限自2017年1月1日始，至2017年12月31日止。报告电子版可在高青县人民政府门户网站（www.gaoqing.gov.cn）查阅和下载。如对报告内容有疑问，请与高青县司法局联系（地址：高青县城黄河路29号；邮编：256300；电话：0533-6981237；传真：0533-6981237）。</w:t>
      </w:r>
    </w:p>
    <w:p>
      <w:pPr>
        <w:pStyle w:val="7"/>
        <w:keepNext w:val="0"/>
        <w:keepLines w:val="0"/>
        <w:widowControl/>
        <w:suppressLineNumbers w:val="0"/>
        <w:spacing w:before="75" w:beforeAutospacing="0" w:after="75" w:afterAutospacing="0"/>
        <w:ind w:left="0" w:right="0" w:firstLine="420"/>
        <w:jc w:val="left"/>
        <w:rPr>
          <w:rFonts w:hint="eastAsia" w:ascii="黑体" w:hAnsi="黑体" w:eastAsia="黑体" w:cs="黑体"/>
          <w:i w:val="0"/>
          <w:caps w:val="0"/>
          <w:color w:val="000000"/>
          <w:spacing w:val="0"/>
          <w:sz w:val="32"/>
          <w:szCs w:val="32"/>
        </w:rPr>
      </w:pPr>
      <w:r>
        <w:rPr>
          <w:rFonts w:hint="eastAsia" w:ascii="黑体" w:hAnsi="黑体" w:eastAsia="黑体" w:cs="黑体"/>
          <w:i w:val="0"/>
          <w:caps w:val="0"/>
          <w:color w:val="000000"/>
          <w:spacing w:val="0"/>
          <w:sz w:val="32"/>
          <w:szCs w:val="32"/>
        </w:rPr>
        <w:t>一、概述</w:t>
      </w:r>
    </w:p>
    <w:p>
      <w:pPr>
        <w:pStyle w:val="7"/>
        <w:keepNext w:val="0"/>
        <w:keepLines w:val="0"/>
        <w:widowControl/>
        <w:suppressLineNumbers w:val="0"/>
        <w:spacing w:before="75" w:beforeAutospacing="0" w:after="75" w:afterAutospacing="0"/>
        <w:ind w:left="0" w:right="0" w:firstLine="42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2017年，高青县司法局认真贯彻落实党的十九大精神，以落实国务院办公厅《关于印发2017年政务公开工作要点的通知》（国办发〔2017〕24号）、省政府办公厅《关于印发2017年山东省政务公开工作要点的通知》（鲁政办发〔2017〕39号）和市政府办公厅《关于印发2017年淄博市政务公开工作要点的通知》（淄政办发〔2017〕17号）等文件为重点，高度重视，从实际出发，结合工作职能特点，积极推进信息公开工作，不断增强司法工作透明度，积极回应社会关切和公众期盼，全力保障人民群众的知情权、参与权和监督权。 </w:t>
      </w:r>
    </w:p>
    <w:p>
      <w:pPr>
        <w:pStyle w:val="7"/>
        <w:keepNext w:val="0"/>
        <w:keepLines w:val="0"/>
        <w:widowControl/>
        <w:suppressLineNumbers w:val="0"/>
        <w:spacing w:before="75" w:beforeAutospacing="0" w:after="75" w:afterAutospacing="0"/>
        <w:ind w:left="0" w:right="0" w:firstLine="42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一）加强组织领导，优化队伍建设。政务公开工作列入单位领导分工,成立了局信息公开工作领导小组，由局长任组长，分管局长任副组长，机关各科室处所主要负责人担任成员。进一步明确局办公室作为政务公开工作主管科室，具体负责组织协调、指导推进、监督检查全县政务公开工作，切实做到机构到位、责任到位、人员到位，政务公开工作队伍建设进一步加强。建立了由“主要领导亲自抓、分管领导具体抓、各科室各司其职，办公室协调办理”的工作机制，为深化政府信息公开工作提供强有力的保证。</w:t>
      </w:r>
    </w:p>
    <w:p>
      <w:pPr>
        <w:pStyle w:val="7"/>
        <w:keepNext w:val="0"/>
        <w:keepLines w:val="0"/>
        <w:widowControl/>
        <w:suppressLineNumbers w:val="0"/>
        <w:spacing w:before="75" w:beforeAutospacing="0" w:after="75" w:afterAutospacing="0"/>
        <w:ind w:left="0" w:right="0" w:firstLine="42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二）完善制度机制，强力部署推进。建立预先审查、保密审查、主动公开、依申请公开等工作制度，严格落实《2017年高青县政务公开工作要点》有关要求，坚持及时、准确、规范公开政务信息，确保政务公开工作落实到位。</w:t>
      </w:r>
    </w:p>
    <w:p>
      <w:pPr>
        <w:pStyle w:val="7"/>
        <w:keepNext w:val="0"/>
        <w:keepLines w:val="0"/>
        <w:widowControl/>
        <w:suppressLineNumbers w:val="0"/>
        <w:spacing w:before="75" w:beforeAutospacing="0" w:after="75" w:afterAutospacing="0"/>
        <w:ind w:left="0" w:right="0" w:firstLine="42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（三）加强平台建设，拓展公开渠道。充分发挥政府网站作为政务公开第一平台的作用，按时维护更新政府信息公开目录、政府信息依申请公开、政府信息公开监督信箱等栏目。</w:t>
      </w:r>
    </w:p>
    <w:p>
      <w:pPr>
        <w:pStyle w:val="7"/>
        <w:keepNext w:val="0"/>
        <w:keepLines w:val="0"/>
        <w:widowControl/>
        <w:suppressLineNumbers w:val="0"/>
        <w:spacing w:before="75" w:beforeAutospacing="0" w:after="75" w:afterAutospacing="0"/>
        <w:ind w:left="0" w:right="0" w:firstLine="420"/>
        <w:jc w:val="left"/>
        <w:rPr>
          <w:rFonts w:hint="eastAsia" w:ascii="黑体" w:hAnsi="黑体" w:eastAsia="黑体" w:cs="黑体"/>
          <w:i w:val="0"/>
          <w:caps w:val="0"/>
          <w:color w:val="000000"/>
          <w:spacing w:val="0"/>
          <w:sz w:val="32"/>
          <w:szCs w:val="32"/>
        </w:rPr>
      </w:pPr>
      <w:r>
        <w:rPr>
          <w:rFonts w:hint="eastAsia" w:ascii="黑体" w:hAnsi="黑体" w:eastAsia="黑体" w:cs="黑体"/>
          <w:i w:val="0"/>
          <w:caps w:val="0"/>
          <w:color w:val="000000"/>
          <w:spacing w:val="0"/>
          <w:sz w:val="32"/>
          <w:szCs w:val="32"/>
        </w:rPr>
        <w:t>二、主动公开政府信息情况</w:t>
      </w:r>
    </w:p>
    <w:p>
      <w:pPr>
        <w:pStyle w:val="7"/>
        <w:keepNext w:val="0"/>
        <w:keepLines w:val="0"/>
        <w:widowControl/>
        <w:suppressLineNumbers w:val="0"/>
        <w:spacing w:before="75" w:beforeAutospacing="0" w:after="75" w:afterAutospacing="0"/>
        <w:ind w:left="0" w:right="0" w:firstLine="42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司法行政领域信息公开情况：2017年，县司法局共主动公开政府信息357条。</w:t>
      </w:r>
    </w:p>
    <w:p>
      <w:pPr>
        <w:pStyle w:val="7"/>
        <w:keepNext w:val="0"/>
        <w:keepLines w:val="0"/>
        <w:widowControl/>
        <w:suppressLineNumbers w:val="0"/>
        <w:spacing w:before="75" w:beforeAutospacing="0" w:after="75" w:afterAutospacing="0"/>
        <w:ind w:left="0" w:right="0" w:firstLine="42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我局在高青县人民政府门户网站（原高青政务网“法治高青”专栏）、网站红页“www.高青县司法局.政务”积极进行信息公开，建立开通“高青司法行政法律服务”微信公众号，主动公开信息，此外，我局通过《今日高青》、“政风行风热线”、“高青新闻”等平台，及时公开需要社会公众广泛知晓的信息。在局院内设置信息告知栏，积极公开政府信息，丰富信息公开内容。2017年，我局在县政务网《法治高青》专题栏目刊发普法信息350条，今日高青报纸刊发文章50篇，“高青司法行政法律服务”微信公众号播发法律服务信息240篇。</w:t>
      </w:r>
    </w:p>
    <w:p>
      <w:pPr>
        <w:pStyle w:val="7"/>
        <w:keepNext w:val="0"/>
        <w:keepLines w:val="0"/>
        <w:widowControl/>
        <w:suppressLineNumbers w:val="0"/>
        <w:spacing w:before="75" w:beforeAutospacing="0" w:after="75" w:afterAutospacing="0"/>
        <w:ind w:left="0" w:right="0" w:firstLine="420"/>
        <w:jc w:val="left"/>
        <w:rPr>
          <w:rFonts w:hint="eastAsia" w:ascii="黑体" w:hAnsi="黑体" w:eastAsia="黑体" w:cs="黑体"/>
          <w:i w:val="0"/>
          <w:caps w:val="0"/>
          <w:color w:val="000000"/>
          <w:spacing w:val="0"/>
          <w:sz w:val="32"/>
          <w:szCs w:val="32"/>
        </w:rPr>
      </w:pPr>
      <w:r>
        <w:rPr>
          <w:rFonts w:hint="eastAsia" w:ascii="黑体" w:hAnsi="黑体" w:eastAsia="黑体" w:cs="黑体"/>
          <w:i w:val="0"/>
          <w:caps w:val="0"/>
          <w:color w:val="000000"/>
          <w:spacing w:val="0"/>
          <w:sz w:val="32"/>
          <w:szCs w:val="32"/>
        </w:rPr>
        <w:t>三、依申请公开政府信息情况</w:t>
      </w:r>
    </w:p>
    <w:p>
      <w:pPr>
        <w:pStyle w:val="7"/>
        <w:keepNext w:val="0"/>
        <w:keepLines w:val="0"/>
        <w:widowControl/>
        <w:suppressLineNumbers w:val="0"/>
        <w:spacing w:before="75" w:beforeAutospacing="0" w:after="75" w:afterAutospacing="0"/>
        <w:ind w:left="0" w:right="0" w:firstLine="42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（一）依申请公开处理情况</w:t>
      </w:r>
    </w:p>
    <w:p>
      <w:pPr>
        <w:pStyle w:val="7"/>
        <w:keepNext w:val="0"/>
        <w:keepLines w:val="0"/>
        <w:widowControl/>
        <w:suppressLineNumbers w:val="0"/>
        <w:spacing w:before="75" w:beforeAutospacing="0" w:after="75" w:afterAutospacing="0"/>
        <w:ind w:left="0" w:right="0" w:firstLine="42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2017年度，未收到公民、法人或其他组织提出的政府信息公开的申请。</w:t>
      </w:r>
    </w:p>
    <w:p>
      <w:pPr>
        <w:pStyle w:val="7"/>
        <w:keepNext w:val="0"/>
        <w:keepLines w:val="0"/>
        <w:widowControl/>
        <w:suppressLineNumbers w:val="0"/>
        <w:spacing w:before="75" w:beforeAutospacing="0" w:after="75" w:afterAutospacing="0"/>
        <w:ind w:left="0" w:right="0" w:firstLine="42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（二）收费及减免情况</w:t>
      </w:r>
    </w:p>
    <w:p>
      <w:pPr>
        <w:pStyle w:val="7"/>
        <w:keepNext w:val="0"/>
        <w:keepLines w:val="0"/>
        <w:widowControl/>
        <w:suppressLineNumbers w:val="0"/>
        <w:spacing w:before="75" w:beforeAutospacing="0" w:after="75" w:afterAutospacing="0"/>
        <w:ind w:right="0" w:firstLine="640" w:firstLineChars="20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2017年度，无政府信息公开收费及减免情况。</w:t>
      </w:r>
    </w:p>
    <w:p>
      <w:pPr>
        <w:pStyle w:val="7"/>
        <w:keepNext w:val="0"/>
        <w:keepLines w:val="0"/>
        <w:widowControl/>
        <w:suppressLineNumbers w:val="0"/>
        <w:spacing w:before="75" w:beforeAutospacing="0" w:after="75" w:afterAutospacing="0"/>
        <w:ind w:right="0" w:firstLine="640" w:firstLineChars="200"/>
        <w:jc w:val="left"/>
        <w:rPr>
          <w:rFonts w:hint="eastAsia" w:ascii="黑体" w:hAnsi="黑体" w:eastAsia="黑体" w:cs="黑体"/>
          <w:i w:val="0"/>
          <w:caps w:val="0"/>
          <w:color w:val="000000"/>
          <w:spacing w:val="0"/>
          <w:sz w:val="32"/>
          <w:szCs w:val="32"/>
        </w:rPr>
      </w:pPr>
      <w:r>
        <w:rPr>
          <w:rFonts w:hint="eastAsia" w:ascii="黑体" w:hAnsi="黑体" w:eastAsia="黑体" w:cs="黑体"/>
          <w:i w:val="0"/>
          <w:caps w:val="0"/>
          <w:color w:val="000000"/>
          <w:spacing w:val="0"/>
          <w:sz w:val="32"/>
          <w:szCs w:val="32"/>
        </w:rPr>
        <w:t>四、政府信息公开复议诉讼和举报情况</w:t>
      </w:r>
    </w:p>
    <w:p>
      <w:pPr>
        <w:pStyle w:val="7"/>
        <w:keepNext w:val="0"/>
        <w:keepLines w:val="0"/>
        <w:widowControl/>
        <w:suppressLineNumbers w:val="0"/>
        <w:spacing w:before="75" w:beforeAutospacing="0" w:after="75" w:afterAutospacing="0"/>
        <w:ind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000000"/>
          <w:spacing w:val="0"/>
          <w:sz w:val="32"/>
          <w:szCs w:val="32"/>
        </w:rPr>
        <w:t>2017年度，我局未收到因政府信息公开申请行政复议、提起行政诉讼的情况。</w:t>
      </w:r>
    </w:p>
    <w:p>
      <w:pPr>
        <w:spacing w:line="540" w:lineRule="exact"/>
        <w:ind w:firstLine="640" w:firstLineChars="200"/>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五、政府信息公开工作机构和人员情况</w:t>
      </w:r>
    </w:p>
    <w:p>
      <w:pPr>
        <w:spacing w:line="540" w:lineRule="exact"/>
        <w:ind w:firstLine="648"/>
        <w:rPr>
          <w:rFonts w:hint="eastAsia" w:ascii="仿宋_GB2312" w:hAnsi="仿宋_GB2312" w:eastAsia="仿宋_GB2312" w:cs="仿宋_GB2312"/>
          <w:color w:val="000000" w:themeColor="text1"/>
          <w:kern w:val="22"/>
          <w:sz w:val="32"/>
          <w:szCs w:val="32"/>
          <w14:textFill>
            <w14:solidFill>
              <w14:schemeClr w14:val="tx1"/>
            </w14:solidFill>
          </w14:textFill>
        </w:rPr>
      </w:pPr>
      <w:r>
        <w:rPr>
          <w:rFonts w:hint="eastAsia" w:ascii="仿宋_GB2312" w:hAnsi="仿宋_GB2312" w:eastAsia="仿宋_GB2312" w:cs="仿宋_GB2312"/>
          <w:color w:val="000000" w:themeColor="text1"/>
          <w:kern w:val="22"/>
          <w:sz w:val="32"/>
          <w:szCs w:val="32"/>
          <w14:textFill>
            <w14:solidFill>
              <w14:schemeClr w14:val="tx1"/>
            </w14:solidFill>
          </w14:textFill>
        </w:rPr>
        <w:t>县</w:t>
      </w:r>
      <w:r>
        <w:rPr>
          <w:rFonts w:hint="eastAsia" w:ascii="仿宋_GB2312" w:hAnsi="仿宋_GB2312" w:eastAsia="仿宋_GB2312" w:cs="仿宋_GB2312"/>
          <w:color w:val="000000" w:themeColor="text1"/>
          <w:kern w:val="22"/>
          <w:sz w:val="32"/>
          <w:szCs w:val="32"/>
          <w:lang w:eastAsia="zh-CN"/>
          <w14:textFill>
            <w14:solidFill>
              <w14:schemeClr w14:val="tx1"/>
            </w14:solidFill>
          </w14:textFill>
        </w:rPr>
        <w:t>司法局</w:t>
      </w:r>
      <w:r>
        <w:rPr>
          <w:rFonts w:hint="eastAsia" w:ascii="仿宋_GB2312" w:hAnsi="仿宋_GB2312" w:eastAsia="仿宋_GB2312" w:cs="仿宋_GB2312"/>
          <w:color w:val="000000" w:themeColor="text1"/>
          <w:kern w:val="22"/>
          <w:sz w:val="32"/>
          <w:szCs w:val="32"/>
          <w14:textFill>
            <w14:solidFill>
              <w14:schemeClr w14:val="tx1"/>
            </w14:solidFill>
          </w14:textFill>
        </w:rPr>
        <w:t>办公室作为全</w:t>
      </w:r>
      <w:r>
        <w:rPr>
          <w:rFonts w:hint="eastAsia" w:ascii="仿宋_GB2312" w:hAnsi="仿宋_GB2312" w:eastAsia="仿宋_GB2312" w:cs="仿宋_GB2312"/>
          <w:color w:val="000000" w:themeColor="text1"/>
          <w:kern w:val="22"/>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kern w:val="22"/>
          <w:sz w:val="32"/>
          <w:szCs w:val="32"/>
          <w14:textFill>
            <w14:solidFill>
              <w14:schemeClr w14:val="tx1"/>
            </w14:solidFill>
          </w14:textFill>
        </w:rPr>
        <w:t>政府信息公开</w:t>
      </w:r>
      <w:r>
        <w:rPr>
          <w:rFonts w:hint="eastAsia" w:ascii="仿宋_GB2312" w:hAnsi="仿宋_GB2312" w:eastAsia="仿宋_GB2312" w:cs="仿宋_GB2312"/>
          <w:color w:val="000000" w:themeColor="text1"/>
          <w:kern w:val="22"/>
          <w:sz w:val="32"/>
          <w:szCs w:val="32"/>
          <w:lang w:eastAsia="zh-CN"/>
          <w14:textFill>
            <w14:solidFill>
              <w14:schemeClr w14:val="tx1"/>
            </w14:solidFill>
          </w14:textFill>
        </w:rPr>
        <w:t>牵头</w:t>
      </w:r>
      <w:r>
        <w:rPr>
          <w:rFonts w:hint="eastAsia" w:ascii="仿宋_GB2312" w:hAnsi="仿宋_GB2312" w:eastAsia="仿宋_GB2312" w:cs="仿宋_GB2312"/>
          <w:color w:val="000000" w:themeColor="text1"/>
          <w:kern w:val="22"/>
          <w:sz w:val="32"/>
          <w:szCs w:val="32"/>
          <w14:textFill>
            <w14:solidFill>
              <w14:schemeClr w14:val="tx1"/>
            </w14:solidFill>
          </w14:textFill>
        </w:rPr>
        <w:t>部门，统筹负责全</w:t>
      </w:r>
      <w:r>
        <w:rPr>
          <w:rFonts w:hint="eastAsia" w:ascii="仿宋_GB2312" w:hAnsi="仿宋_GB2312" w:eastAsia="仿宋_GB2312" w:cs="仿宋_GB2312"/>
          <w:color w:val="000000" w:themeColor="text1"/>
          <w:kern w:val="22"/>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kern w:val="22"/>
          <w:sz w:val="32"/>
          <w:szCs w:val="32"/>
          <w14:textFill>
            <w14:solidFill>
              <w14:schemeClr w14:val="tx1"/>
            </w14:solidFill>
          </w14:textFill>
        </w:rPr>
        <w:t>政府信息公开组织协调、指导推进、监督检查等工作。县</w:t>
      </w:r>
      <w:r>
        <w:rPr>
          <w:rFonts w:hint="eastAsia" w:ascii="仿宋_GB2312" w:hAnsi="仿宋_GB2312" w:eastAsia="仿宋_GB2312" w:cs="仿宋_GB2312"/>
          <w:color w:val="000000" w:themeColor="text1"/>
          <w:kern w:val="22"/>
          <w:sz w:val="32"/>
          <w:szCs w:val="32"/>
          <w:lang w:eastAsia="zh-CN"/>
          <w14:textFill>
            <w14:solidFill>
              <w14:schemeClr w14:val="tx1"/>
            </w14:solidFill>
          </w14:textFill>
        </w:rPr>
        <w:t>司法局</w:t>
      </w:r>
      <w:r>
        <w:rPr>
          <w:rFonts w:hint="eastAsia" w:ascii="仿宋_GB2312" w:hAnsi="仿宋_GB2312" w:eastAsia="仿宋_GB2312" w:cs="仿宋_GB2312"/>
          <w:color w:val="000000" w:themeColor="text1"/>
          <w:kern w:val="22"/>
          <w:sz w:val="32"/>
          <w:szCs w:val="32"/>
          <w14:textFill>
            <w14:solidFill>
              <w14:schemeClr w14:val="tx1"/>
            </w14:solidFill>
          </w14:textFill>
        </w:rPr>
        <w:t>办公室作为政府信息公开工作具体科室，</w:t>
      </w:r>
      <w:r>
        <w:rPr>
          <w:rFonts w:hint="eastAsia" w:ascii="仿宋_GB2312" w:hAnsi="仿宋_GB2312" w:eastAsia="仿宋_GB2312" w:cs="仿宋_GB2312"/>
          <w:color w:val="000000" w:themeColor="text1"/>
          <w:kern w:val="22"/>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kern w:val="22"/>
          <w:sz w:val="32"/>
          <w:szCs w:val="32"/>
          <w14:textFill>
            <w14:solidFill>
              <w14:schemeClr w14:val="tx1"/>
            </w14:solidFill>
          </w14:textFill>
        </w:rPr>
        <w:t>人负责政务公开工作。</w:t>
      </w:r>
    </w:p>
    <w:p>
      <w:pPr>
        <w:spacing w:line="540" w:lineRule="exact"/>
        <w:ind w:firstLine="648"/>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六、存在的不足及改进措施</w:t>
      </w:r>
    </w:p>
    <w:p>
      <w:pPr>
        <w:pStyle w:val="7"/>
        <w:keepNext w:val="0"/>
        <w:keepLines w:val="0"/>
        <w:widowControl/>
        <w:suppressLineNumbers w:val="0"/>
        <w:spacing w:before="75" w:beforeAutospacing="0" w:after="75" w:afterAutospacing="0"/>
        <w:ind w:left="0" w:right="0" w:firstLine="420"/>
        <w:jc w:val="left"/>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t>我县政府信息公开工作虽然取得了一定的成效，但与建设法治政府的新要求、人民群众的新期待，还存在一些差距。主要表现为：信息公开不够及时主动；政策解读形式单一、解读质量不高；政府信息公开目录不够规范，不便于公众查询信息等。</w:t>
      </w:r>
    </w:p>
    <w:p>
      <w:pPr>
        <w:pStyle w:val="7"/>
        <w:keepNext w:val="0"/>
        <w:keepLines w:val="0"/>
        <w:widowControl/>
        <w:suppressLineNumbers w:val="0"/>
        <w:spacing w:before="75" w:beforeAutospacing="0" w:after="75" w:afterAutospacing="0"/>
        <w:ind w:left="0" w:right="0" w:firstLine="420"/>
        <w:jc w:val="left"/>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t>2018年，我县将重点抓好以下几方面工作：一是进一步丰富政府信息公开内容，扩大公开范围，拓展公开渠道，把与人民群众切身利益密切相关的政府信息作为政府信息公开的主要内容，多运用数字化、图标图解等方式，增强政策解读的易读性;二是加大学习和宣传，深化对政府信息公开工作的了解和认识，调动大家参与政府信息公开工作的积极性和主动性，增强政府信息公开工作的活力;三是围绕我局普法宣传、法律服务、法律保障等职能特点，充分利用网站、微信公众号等媒体，努力提高政府信息公开服务水平，推动司法行政事业实现新跨越。</w:t>
      </w:r>
    </w:p>
    <w:p>
      <w:pPr>
        <w:pStyle w:val="7"/>
        <w:keepNext w:val="0"/>
        <w:keepLines w:val="0"/>
        <w:widowControl/>
        <w:suppressLineNumbers w:val="0"/>
        <w:spacing w:before="75" w:beforeAutospacing="0" w:after="75" w:afterAutospacing="0"/>
        <w:ind w:left="0" w:right="0" w:firstLine="420"/>
        <w:jc w:val="left"/>
        <w:rPr>
          <w:rFonts w:hint="eastAsia" w:ascii="仿宋_GB2312" w:hAnsi="仿宋_GB2312" w:eastAsia="仿宋_GB2312" w:cs="仿宋_GB2312"/>
          <w:i w:val="0"/>
          <w:caps w:val="0"/>
          <w:color w:val="000000" w:themeColor="text1"/>
          <w:spacing w:val="0"/>
          <w:sz w:val="32"/>
          <w:szCs w:val="32"/>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lang w:eastAsia="zh-CN"/>
          <w14:textFill>
            <w14:solidFill>
              <w14:schemeClr w14:val="tx1"/>
            </w14:solidFill>
          </w14:textFill>
        </w:rPr>
        <w:t>附件：2017年度政府信息公开工作情况统计表</w:t>
      </w:r>
    </w:p>
    <w:p>
      <w:pPr>
        <w:pStyle w:val="7"/>
        <w:keepNext w:val="0"/>
        <w:keepLines w:val="0"/>
        <w:widowControl/>
        <w:suppressLineNumbers w:val="0"/>
        <w:spacing w:before="75" w:beforeAutospacing="0" w:after="75" w:afterAutospacing="0"/>
        <w:ind w:left="0" w:right="0" w:firstLine="420"/>
        <w:jc w:val="left"/>
        <w:rPr>
          <w:rFonts w:hint="eastAsia" w:ascii="仿宋_GB2312" w:hAnsi="仿宋_GB2312" w:eastAsia="仿宋_GB2312" w:cs="仿宋_GB2312"/>
          <w:i w:val="0"/>
          <w:caps w:val="0"/>
          <w:color w:val="000000" w:themeColor="text1"/>
          <w:spacing w:val="0"/>
          <w:sz w:val="32"/>
          <w:szCs w:val="32"/>
          <w:lang w:eastAsia="zh-CN"/>
          <w14:textFill>
            <w14:solidFill>
              <w14:schemeClr w14:val="tx1"/>
            </w14:solidFill>
          </w14:textFill>
        </w:rPr>
      </w:pPr>
    </w:p>
    <w:p>
      <w:pPr>
        <w:ind w:left="6090" w:leftChars="2900" w:firstLine="320" w:firstLineChars="1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高青县司法局                                                                                                                                     2018年3月20日</w:t>
      </w:r>
    </w:p>
    <w:p>
      <w:pPr>
        <w:rPr>
          <w:rFonts w:hint="eastAsia" w:ascii="黑体" w:hAnsi="宋体" w:eastAsia="黑体"/>
          <w:szCs w:val="32"/>
        </w:rPr>
      </w:pPr>
    </w:p>
    <w:p>
      <w:pPr>
        <w:rPr>
          <w:rFonts w:hint="eastAsia" w:ascii="黑体" w:hAnsi="宋体" w:eastAsia="黑体"/>
          <w:szCs w:val="32"/>
        </w:rPr>
      </w:pPr>
    </w:p>
    <w:p>
      <w:pPr>
        <w:rPr>
          <w:rFonts w:hint="eastAsia" w:ascii="黑体" w:hAnsi="宋体" w:eastAsia="黑体"/>
          <w:szCs w:val="32"/>
        </w:rPr>
      </w:pPr>
    </w:p>
    <w:p>
      <w:pPr>
        <w:rPr>
          <w:rFonts w:hint="eastAsia" w:ascii="黑体" w:hAnsi="宋体" w:eastAsia="黑体"/>
          <w:szCs w:val="32"/>
        </w:rPr>
      </w:pPr>
    </w:p>
    <w:p>
      <w:pPr>
        <w:rPr>
          <w:rFonts w:hint="eastAsia" w:ascii="黑体" w:hAnsi="宋体" w:eastAsia="黑体"/>
          <w:sz w:val="32"/>
          <w:szCs w:val="32"/>
        </w:rPr>
      </w:pPr>
      <w:bookmarkStart w:id="0" w:name="_GoBack"/>
      <w:bookmarkEnd w:id="0"/>
      <w:r>
        <w:rPr>
          <w:rFonts w:hint="eastAsia" w:ascii="黑体" w:hAnsi="宋体" w:eastAsia="黑体"/>
          <w:sz w:val="32"/>
          <w:szCs w:val="32"/>
        </w:rPr>
        <w:t>附件1</w:t>
      </w:r>
    </w:p>
    <w:p>
      <w:pPr>
        <w:jc w:val="center"/>
        <w:rPr>
          <w:rFonts w:hint="eastAsia" w:ascii="宋体" w:hAnsi="宋体"/>
          <w:b/>
        </w:rPr>
      </w:pPr>
      <w:r>
        <w:rPr>
          <w:rFonts w:hint="eastAsia" w:ascii="宋体" w:hAnsi="宋体"/>
          <w:b/>
          <w:sz w:val="36"/>
          <w:szCs w:val="36"/>
        </w:rPr>
        <w:t>2017年度政府信息公开工作情况统计表</w:t>
      </w:r>
    </w:p>
    <w:p>
      <w:pPr>
        <w:jc w:val="center"/>
        <w:rPr>
          <w:rFonts w:hint="eastAsia" w:ascii="宋体" w:hAnsi="宋体"/>
          <w:b/>
          <w:sz w:val="28"/>
          <w:szCs w:val="28"/>
        </w:rPr>
      </w:pPr>
      <w:r>
        <w:rPr>
          <w:rFonts w:hint="eastAsia" w:ascii="宋体" w:hAnsi="宋体"/>
          <w:b/>
          <w:sz w:val="28"/>
          <w:szCs w:val="28"/>
        </w:rPr>
        <w:t>（高青县</w:t>
      </w:r>
      <w:r>
        <w:rPr>
          <w:rFonts w:hint="eastAsia" w:ascii="宋体" w:hAnsi="宋体"/>
          <w:b/>
          <w:sz w:val="28"/>
          <w:szCs w:val="28"/>
          <w:lang w:eastAsia="zh-CN"/>
        </w:rPr>
        <w:t>司法局</w:t>
      </w:r>
      <w:r>
        <w:rPr>
          <w:rFonts w:hint="eastAsia" w:ascii="宋体" w:hAnsi="宋体"/>
          <w:b/>
          <w:sz w:val="28"/>
          <w:szCs w:val="28"/>
        </w:rPr>
        <w:t>）</w:t>
      </w:r>
    </w:p>
    <w:tbl>
      <w:tblPr>
        <w:tblStyle w:val="8"/>
        <w:tblW w:w="9458"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433"/>
        <w:gridCol w:w="1002"/>
        <w:gridCol w:w="1023"/>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18"/>
              <w:spacing w:before="0" w:beforeAutospacing="0" w:after="0" w:afterAutospacing="0" w:line="420" w:lineRule="atLeast"/>
              <w:ind w:firstLine="685"/>
              <w:jc w:val="center"/>
              <w:rPr>
                <w:rFonts w:hint="eastAsia"/>
                <w:color w:val="000000"/>
              </w:rPr>
            </w:pPr>
            <w:r>
              <w:rPr>
                <w:rStyle w:val="10"/>
                <w:rFonts w:hint="eastAsia"/>
                <w:color w:val="000000"/>
                <w:sz w:val="20"/>
                <w:szCs w:val="20"/>
              </w:rPr>
              <w:t>统　计　指　标</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Style w:val="10"/>
                <w:rFonts w:hint="eastAsia" w:ascii="宋体" w:hAnsi="宋体"/>
                <w:color w:val="000000"/>
                <w:sz w:val="20"/>
                <w:szCs w:val="20"/>
              </w:rPr>
              <w:t>单位</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Style w:val="10"/>
                <w:rFonts w:hint="eastAsia" w:ascii="宋体" w:hAnsi="宋体"/>
                <w:color w:val="000000"/>
                <w:sz w:val="20"/>
                <w:szCs w:val="2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一、主动公开情况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（一）主动公开政府信息数</w:t>
            </w:r>
            <w:r>
              <w:rPr>
                <w:rFonts w:hint="eastAsia" w:ascii="宋体" w:hAnsi="宋体"/>
                <w:color w:val="000000"/>
                <w:sz w:val="20"/>
                <w:szCs w:val="20"/>
              </w:rPr>
              <w:t>（不同渠道和方式公开相同信息计1条）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ind w:firstLine="240" w:firstLineChars="100"/>
              <w:jc w:val="center"/>
              <w:rPr>
                <w:rFonts w:ascii="宋体" w:hAnsi="宋体" w:cs="宋体"/>
                <w:color w:val="000000"/>
                <w:sz w:val="24"/>
              </w:rPr>
            </w:pPr>
            <w:r>
              <w:rPr>
                <w:rFonts w:hint="eastAsia" w:ascii="宋体" w:hAnsi="宋体" w:cs="宋体"/>
                <w:color w:val="000000"/>
                <w:sz w:val="24"/>
              </w:rPr>
              <w:t>357</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其中：主动公开规范性文件数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制发规范性文件总数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（二）通过不同渠道和方式公开政府信息的情况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1.政府公报公开政府信息数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2.政府网站公开政府信息数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eastAsia="宋体" w:cs="宋体"/>
                <w:color w:val="000000"/>
                <w:sz w:val="24"/>
                <w:lang w:val="en-US" w:eastAsia="zh-CN"/>
              </w:rPr>
            </w:pPr>
            <w:r>
              <w:rPr>
                <w:rFonts w:hint="eastAsia" w:ascii="宋体" w:hAnsi="宋体"/>
                <w:color w:val="000000"/>
                <w:sz w:val="20"/>
                <w:szCs w:val="20"/>
                <w:lang w:val="en-US" w:eastAsia="zh-CN"/>
              </w:rPr>
              <w:t>357</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3.政务微博公开政府信息数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4.政务微信公开政府信息数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eastAsia="宋体" w:cs="宋体"/>
                <w:color w:val="000000"/>
                <w:sz w:val="24"/>
                <w:lang w:val="en-US" w:eastAsia="zh-CN"/>
              </w:rPr>
            </w:pPr>
            <w:r>
              <w:rPr>
                <w:rFonts w:hint="eastAsia" w:ascii="宋体" w:hAnsi="宋体"/>
                <w:color w:val="000000"/>
                <w:sz w:val="20"/>
                <w:szCs w:val="20"/>
                <w:lang w:val="en-US" w:eastAsia="zh-CN"/>
              </w:rPr>
              <w:t>240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5.其他方式公开政府信息数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eastAsia="宋体" w:cs="宋体"/>
                <w:color w:val="000000"/>
                <w:sz w:val="24"/>
                <w:lang w:val="en-US" w:eastAsia="zh-CN"/>
              </w:rPr>
            </w:pPr>
            <w:r>
              <w:rPr>
                <w:rFonts w:hint="eastAsia" w:ascii="宋体" w:hAnsi="宋体"/>
                <w:color w:val="000000"/>
                <w:sz w:val="20"/>
                <w:szCs w:val="20"/>
                <w:lang w:val="en-US" w:eastAsia="zh-CN"/>
              </w:rPr>
              <w:t>50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b/>
                <w:color w:val="000000"/>
                <w:sz w:val="24"/>
              </w:rPr>
            </w:pPr>
            <w:r>
              <w:rPr>
                <w:rFonts w:hint="eastAsia" w:ascii="黑体" w:hAnsi="宋体" w:eastAsia="黑体"/>
                <w:color w:val="000000"/>
                <w:sz w:val="20"/>
                <w:szCs w:val="20"/>
              </w:rPr>
              <w:t>二、回应解读情况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18"/>
              <w:spacing w:before="0" w:beforeAutospacing="0" w:after="0" w:afterAutospacing="0" w:line="420" w:lineRule="atLeast"/>
              <w:ind w:firstLine="685"/>
              <w:jc w:val="center"/>
              <w:rPr>
                <w:rFonts w:hint="eastAsia"/>
                <w:color w:val="000000"/>
              </w:rPr>
            </w:pPr>
          </w:p>
        </w:tc>
        <w:tc>
          <w:tcPr>
            <w:tcW w:w="1023" w:type="dxa"/>
            <w:tcBorders>
              <w:top w:val="single" w:color="auto" w:sz="0" w:space="0"/>
              <w:left w:val="single" w:color="auto" w:sz="0" w:space="0"/>
              <w:bottom w:val="single" w:color="auto" w:sz="0" w:space="0"/>
              <w:tr2bl w:val="single" w:color="auto" w:sz="4" w:space="0"/>
            </w:tcBorders>
            <w:shd w:val="clear" w:color="auto" w:fill="FFFFFF"/>
            <w:vAlign w:val="center"/>
          </w:tcPr>
          <w:p>
            <w:pPr>
              <w:jc w:val="cente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18"/>
              <w:spacing w:before="0" w:beforeAutospacing="0" w:after="0" w:afterAutospacing="0" w:line="420" w:lineRule="atLeast"/>
              <w:ind w:firstLine="400" w:firstLineChars="200"/>
              <w:rPr>
                <w:color w:val="000000"/>
                <w:highlight w:val="yellow"/>
              </w:rPr>
            </w:pPr>
            <w:r>
              <w:rPr>
                <w:rFonts w:cs="Times New Roman"/>
                <w:color w:val="000000"/>
                <w:kern w:val="2"/>
                <w:sz w:val="20"/>
                <w:szCs w:val="20"/>
              </w:rPr>
              <w:t>（一）回应公众关注热点或重大舆情数</w:t>
            </w:r>
            <w:r>
              <w:rPr>
                <w:rFonts w:hint="eastAsia" w:cs="Times New Roman"/>
                <w:color w:val="000000"/>
                <w:kern w:val="2"/>
                <w:sz w:val="20"/>
                <w:szCs w:val="20"/>
              </w:rPr>
              <w:t>（不同方式回应同一热点或舆情计1次）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（二）通过不同渠道和方式回应解读的情况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1.参加或举办新闻发布会总次数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其中：主要负责同志参加新闻发布会次数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其中：主要负责同志参加政府网站在线访谈次数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3.政策解读稿件发布数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篇</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4.微博微信回应事件数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5.其他方式回应事件数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三、依申请公开情况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18"/>
              <w:spacing w:before="0" w:beforeAutospacing="0" w:after="0" w:afterAutospacing="0" w:line="420" w:lineRule="atLeast"/>
              <w:ind w:firstLine="685"/>
              <w:jc w:val="center"/>
              <w:rPr>
                <w:rFonts w:hint="eastAsia"/>
                <w:color w:val="000000"/>
              </w:rPr>
            </w:pPr>
          </w:p>
        </w:tc>
        <w:tc>
          <w:tcPr>
            <w:tcW w:w="1023" w:type="dxa"/>
            <w:tcBorders>
              <w:top w:val="single" w:color="auto" w:sz="0" w:space="0"/>
              <w:left w:val="single" w:color="auto" w:sz="0" w:space="0"/>
              <w:bottom w:val="single" w:color="auto" w:sz="0" w:space="0"/>
              <w:tr2bl w:val="single" w:color="auto" w:sz="4" w:space="0"/>
            </w:tcBorders>
            <w:shd w:val="clear" w:color="auto" w:fill="FFFFFF"/>
            <w:vAlign w:val="center"/>
          </w:tcPr>
          <w:p>
            <w:pPr>
              <w:jc w:val="cente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（一）收到申请数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1.当面申请数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2.传真申请数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3.网络申请数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4.信函申请数</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outset" w:color="000000" w:sz="6" w:space="0"/>
              <w:right w:val="outset" w:color="000000" w:sz="6" w:space="0"/>
            </w:tcBorders>
            <w:shd w:val="clear" w:color="auto" w:fill="FFFFFF"/>
            <w:vAlign w:val="center"/>
          </w:tcPr>
          <w:p>
            <w:pPr>
              <w:spacing w:line="420" w:lineRule="atLeast"/>
              <w:rPr>
                <w:rFonts w:hint="eastAsia" w:ascii="宋体" w:hAnsi="宋体"/>
                <w:color w:val="000000"/>
                <w:sz w:val="20"/>
                <w:szCs w:val="20"/>
              </w:rPr>
            </w:pPr>
            <w:r>
              <w:rPr>
                <w:rFonts w:hint="eastAsia" w:ascii="宋体" w:hAnsi="宋体"/>
                <w:color w:val="000000"/>
                <w:sz w:val="20"/>
                <w:szCs w:val="20"/>
              </w:rPr>
              <w:t xml:space="preserve">          5.其他形式</w:t>
            </w:r>
          </w:p>
        </w:tc>
        <w:tc>
          <w:tcPr>
            <w:tcW w:w="1002"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1023"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ind w:firstLine="200" w:firstLineChars="100"/>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（二）申请办结数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1.按时办结数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2.延期办结数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384"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（三）申请答复数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1.属于已主动公开范围数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3.同意部分公开答复数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4.不同意公开答复数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其中：涉及国家秘密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涉及商业秘密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涉及个人隐私</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危及国家安全、公共安全、经济安全和社会稳定</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不是《条例》所指政府信息</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法律法规规定的其他情形</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5.不属于本行政机关公开数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6.申请信息不存在数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7.告知作出更改补充数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8.告知通过其他途径办理数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四、行政复议数量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（一）维持具体行政行为数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五、行政诉讼数量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（一）维持具体行政行为或者驳回原告诉讼请求数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宋体" w:hAnsi="宋体"/>
                <w:color w:val="000000"/>
                <w:sz w:val="20"/>
                <w:szCs w:val="20"/>
              </w:rPr>
            </w:pPr>
            <w:r>
              <w:rPr>
                <w:rFonts w:hint="eastAsia" w:ascii="黑体" w:hAnsi="宋体" w:eastAsia="黑体"/>
                <w:color w:val="000000"/>
                <w:sz w:val="20"/>
                <w:szCs w:val="20"/>
              </w:rPr>
              <w:t>六、被举报投诉数量</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ascii="宋体" w:hAnsi="宋体"/>
                <w:color w:val="000000"/>
                <w:sz w:val="20"/>
                <w:szCs w:val="20"/>
              </w:rPr>
              <w:t>　　（一）维持具体行政行为数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ascii="宋体" w:hAnsi="宋体"/>
                <w:color w:val="000000"/>
                <w:sz w:val="20"/>
                <w:szCs w:val="20"/>
              </w:rPr>
              <w:t>　　（二）被纠错数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ascii="宋体" w:hAnsi="宋体"/>
                <w:color w:val="000000"/>
                <w:sz w:val="20"/>
                <w:szCs w:val="20"/>
              </w:rPr>
              <w:t>　　（三）其他情形数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黑体" w:hAnsi="宋体" w:eastAsia="黑体"/>
                <w:color w:val="000000"/>
                <w:sz w:val="20"/>
                <w:szCs w:val="20"/>
              </w:rPr>
            </w:pPr>
            <w:r>
              <w:rPr>
                <w:rFonts w:hint="eastAsia" w:ascii="黑体" w:hAnsi="宋体" w:eastAsia="黑体"/>
                <w:color w:val="000000"/>
                <w:sz w:val="20"/>
                <w:szCs w:val="20"/>
              </w:rPr>
              <w:t>七、向图书馆、档案馆等查阅场所报送信息数</w:t>
            </w:r>
          </w:p>
          <w:p>
            <w:pPr>
              <w:spacing w:line="420" w:lineRule="atLeast"/>
              <w:rPr>
                <w:rFonts w:hint="eastAsia" w:ascii="宋体" w:hAnsi="宋体"/>
                <w:color w:val="000000"/>
                <w:sz w:val="20"/>
                <w:szCs w:val="20"/>
              </w:rPr>
            </w:pP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宋体" w:hAnsi="宋体"/>
                <w:color w:val="000000"/>
                <w:sz w:val="20"/>
                <w:szCs w:val="20"/>
              </w:rPr>
            </w:pPr>
            <w:r>
              <w:rPr>
                <w:rFonts w:ascii="宋体" w:hAnsi="宋体"/>
                <w:color w:val="000000"/>
                <w:sz w:val="20"/>
                <w:szCs w:val="20"/>
              </w:rPr>
              <w:t>　　（一）</w:t>
            </w:r>
            <w:r>
              <w:rPr>
                <w:rFonts w:hint="eastAsia" w:ascii="宋体" w:hAnsi="宋体"/>
                <w:color w:val="000000"/>
                <w:sz w:val="20"/>
                <w:szCs w:val="20"/>
              </w:rPr>
              <w:t>纸质文件数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宋体" w:hAnsi="宋体"/>
                <w:color w:val="000000"/>
                <w:sz w:val="20"/>
                <w:szCs w:val="20"/>
              </w:rPr>
            </w:pPr>
            <w:r>
              <w:rPr>
                <w:rFonts w:ascii="宋体" w:hAnsi="宋体"/>
                <w:color w:val="000000"/>
                <w:sz w:val="20"/>
                <w:szCs w:val="20"/>
              </w:rPr>
              <w:t>　　（二）</w:t>
            </w:r>
            <w:r>
              <w:rPr>
                <w:rFonts w:hint="eastAsia" w:ascii="宋体" w:hAnsi="宋体"/>
                <w:color w:val="000000"/>
                <w:sz w:val="20"/>
                <w:szCs w:val="20"/>
              </w:rPr>
              <w:t>电子文件数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hint="eastAsia" w:ascii="黑体" w:hAnsi="宋体" w:eastAsia="黑体"/>
                <w:color w:val="000000"/>
                <w:sz w:val="20"/>
                <w:szCs w:val="20"/>
              </w:rPr>
              <w:t>八、开通政府信息公开网站（或设立门户网站信息公开专栏）数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ascii="宋体" w:hAnsi="宋体"/>
                <w:color w:val="000000"/>
                <w:sz w:val="20"/>
                <w:szCs w:val="20"/>
              </w:rPr>
              <w:t>　　（一）</w:t>
            </w:r>
            <w:r>
              <w:rPr>
                <w:rFonts w:hint="eastAsia" w:ascii="宋体" w:hAnsi="宋体"/>
                <w:color w:val="000000"/>
                <w:sz w:val="20"/>
                <w:szCs w:val="20"/>
              </w:rPr>
              <w:t>区县政府及其部门门户网站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w:t>
            </w:r>
            <w:r>
              <w:rPr>
                <w:rFonts w:hint="eastAsia" w:ascii="宋体" w:hAnsi="宋体"/>
                <w:color w:val="000000"/>
                <w:sz w:val="20"/>
                <w:szCs w:val="20"/>
              </w:rPr>
              <w:t>二</w:t>
            </w:r>
            <w:r>
              <w:rPr>
                <w:rFonts w:ascii="宋体" w:hAnsi="宋体"/>
                <w:color w:val="000000"/>
                <w:sz w:val="20"/>
                <w:szCs w:val="20"/>
              </w:rPr>
              <w:t>）</w:t>
            </w:r>
            <w:r>
              <w:rPr>
                <w:rFonts w:hint="eastAsia" w:ascii="宋体" w:hAnsi="宋体"/>
                <w:color w:val="000000"/>
                <w:sz w:val="20"/>
                <w:szCs w:val="20"/>
              </w:rPr>
              <w:t>乡镇政府（街道办事处）门户网站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hint="eastAsia" w:ascii="黑体" w:hAnsi="宋体" w:eastAsia="黑体"/>
                <w:color w:val="000000"/>
                <w:sz w:val="20"/>
                <w:szCs w:val="20"/>
              </w:rPr>
              <w:t>九、政府公报发行量</w:t>
            </w:r>
          </w:p>
        </w:tc>
        <w:tc>
          <w:tcPr>
            <w:tcW w:w="1002" w:type="dxa"/>
            <w:tcBorders>
              <w:top w:val="single" w:color="auto" w:sz="4" w:space="0"/>
              <w:left w:val="outset" w:color="000000" w:sz="6" w:space="0"/>
              <w:bottom w:val="single" w:color="auto" w:sz="4" w:space="0"/>
              <w:right w:val="outset" w:color="000000" w:sz="6" w:space="0"/>
              <w:tr2bl w:val="single" w:color="auto" w:sz="4" w:space="0"/>
            </w:tcBorders>
            <w:shd w:val="clear" w:color="auto" w:fill="FFFFFF"/>
            <w:vAlign w:val="center"/>
          </w:tcPr>
          <w:p>
            <w:pPr>
              <w:spacing w:line="420" w:lineRule="atLeast"/>
              <w:jc w:val="center"/>
              <w:rPr>
                <w:rFonts w:ascii="黑体" w:hAnsi="宋体" w:eastAsia="黑体"/>
                <w:color w:val="000000"/>
                <w:sz w:val="20"/>
                <w:szCs w:val="20"/>
              </w:rPr>
            </w:pPr>
          </w:p>
        </w:tc>
        <w:tc>
          <w:tcPr>
            <w:tcW w:w="1023" w:type="dxa"/>
            <w:tcBorders>
              <w:top w:val="single" w:color="auto" w:sz="4" w:space="0"/>
              <w:left w:val="outset" w:color="000000" w:sz="6" w:space="0"/>
              <w:bottom w:val="single" w:color="auto" w:sz="4" w:space="0"/>
              <w:right w:val="outset" w:color="000000" w:sz="6" w:space="0"/>
              <w:tr2bl w:val="single" w:color="auto" w:sz="4" w:space="0"/>
            </w:tcBorders>
            <w:shd w:val="clear" w:color="auto" w:fill="FFFFFF"/>
            <w:vAlign w:val="center"/>
          </w:tcPr>
          <w:p>
            <w:pPr>
              <w:spacing w:line="420" w:lineRule="atLeast"/>
              <w:ind w:firstLine="1000" w:firstLineChars="500"/>
              <w:jc w:val="center"/>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eastAsia" w:ascii="宋体" w:hAnsi="宋体"/>
                <w:color w:val="000000"/>
                <w:sz w:val="20"/>
                <w:szCs w:val="20"/>
              </w:rPr>
            </w:pPr>
            <w:r>
              <w:rPr>
                <w:rFonts w:ascii="宋体" w:hAnsi="宋体"/>
                <w:color w:val="000000"/>
                <w:sz w:val="20"/>
                <w:szCs w:val="20"/>
              </w:rPr>
              <w:t>（一）</w:t>
            </w:r>
            <w:r>
              <w:rPr>
                <w:rFonts w:hint="eastAsia" w:ascii="宋体" w:hAnsi="宋体"/>
                <w:color w:val="000000"/>
                <w:sz w:val="20"/>
                <w:szCs w:val="20"/>
              </w:rPr>
              <w:t>公报发行期数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rPr>
            </w:pPr>
            <w:r>
              <w:rPr>
                <w:rFonts w:hint="eastAsia" w:ascii="黑体" w:hAnsi="宋体" w:eastAsia="黑体"/>
                <w:color w:val="000000"/>
                <w:sz w:val="20"/>
                <w:szCs w:val="20"/>
              </w:rPr>
              <w:t>期</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eastAsia" w:ascii="宋体" w:hAnsi="宋体"/>
                <w:color w:val="000000"/>
                <w:sz w:val="20"/>
                <w:szCs w:val="20"/>
              </w:rPr>
            </w:pPr>
            <w:r>
              <w:rPr>
                <w:rFonts w:hint="eastAsia" w:ascii="宋体" w:hAnsi="宋体"/>
                <w:color w:val="000000"/>
                <w:sz w:val="20"/>
                <w:szCs w:val="20"/>
              </w:rPr>
              <w:t>（二）公报发行总份数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rPr>
            </w:pPr>
            <w:r>
              <w:rPr>
                <w:rFonts w:hint="eastAsia" w:ascii="黑体" w:hAnsi="宋体" w:eastAsia="黑体"/>
                <w:color w:val="000000"/>
                <w:sz w:val="20"/>
                <w:szCs w:val="20"/>
              </w:rPr>
              <w:t>份</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hint="eastAsia" w:ascii="黑体" w:hAnsi="宋体" w:eastAsia="黑体"/>
                <w:color w:val="000000"/>
                <w:sz w:val="20"/>
                <w:szCs w:val="20"/>
              </w:rPr>
              <w:t>十、设置政府信息查阅点数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ind w:firstLine="400" w:firstLineChars="200"/>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（一）</w:t>
            </w:r>
            <w:r>
              <w:rPr>
                <w:rFonts w:hint="eastAsia" w:ascii="宋体" w:hAnsi="宋体"/>
                <w:color w:val="000000"/>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w:t>
            </w:r>
            <w:r>
              <w:rPr>
                <w:rFonts w:hint="eastAsia" w:ascii="宋体" w:hAnsi="宋体"/>
                <w:color w:val="000000"/>
                <w:sz w:val="20"/>
                <w:szCs w:val="20"/>
              </w:rPr>
              <w:t>二</w:t>
            </w:r>
            <w:r>
              <w:rPr>
                <w:rFonts w:ascii="宋体" w:hAnsi="宋体"/>
                <w:color w:val="000000"/>
                <w:sz w:val="20"/>
                <w:szCs w:val="20"/>
              </w:rPr>
              <w:t>）</w:t>
            </w:r>
            <w:r>
              <w:rPr>
                <w:rFonts w:hint="eastAsia" w:ascii="宋体" w:hAnsi="宋体"/>
                <w:color w:val="000000"/>
                <w:sz w:val="20"/>
                <w:szCs w:val="20"/>
              </w:rPr>
              <w:t>乡镇政府（街道办事处）</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hint="eastAsia" w:ascii="黑体" w:hAnsi="宋体" w:eastAsia="黑体"/>
                <w:color w:val="000000"/>
                <w:sz w:val="20"/>
                <w:szCs w:val="20"/>
              </w:rPr>
              <w:t>十一、查阅点接待人数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人次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ind w:firstLine="400" w:firstLineChars="200"/>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（一）</w:t>
            </w:r>
            <w:r>
              <w:rPr>
                <w:rFonts w:hint="eastAsia" w:ascii="宋体" w:hAnsi="宋体"/>
                <w:color w:val="000000"/>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人次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ind w:firstLine="400" w:firstLineChars="200"/>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w:t>
            </w:r>
            <w:r>
              <w:rPr>
                <w:rFonts w:hint="eastAsia" w:ascii="宋体" w:hAnsi="宋体"/>
                <w:color w:val="000000"/>
                <w:sz w:val="20"/>
                <w:szCs w:val="20"/>
              </w:rPr>
              <w:t>二</w:t>
            </w:r>
            <w:r>
              <w:rPr>
                <w:rFonts w:ascii="宋体" w:hAnsi="宋体"/>
                <w:color w:val="000000"/>
                <w:sz w:val="20"/>
                <w:szCs w:val="20"/>
              </w:rPr>
              <w:t>）</w:t>
            </w:r>
            <w:r>
              <w:rPr>
                <w:rFonts w:hint="eastAsia" w:ascii="宋体" w:hAnsi="宋体"/>
                <w:color w:val="000000"/>
                <w:sz w:val="20"/>
                <w:szCs w:val="20"/>
              </w:rPr>
              <w:t>乡镇政府（街道办事处）</w:t>
            </w:r>
          </w:p>
        </w:tc>
        <w:tc>
          <w:tcPr>
            <w:tcW w:w="1002" w:type="dxa"/>
            <w:tcBorders>
              <w:top w:val="single" w:color="auto" w:sz="4" w:space="0"/>
              <w:left w:val="outset" w:color="000000" w:sz="6"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人次</w:t>
            </w:r>
          </w:p>
        </w:tc>
        <w:tc>
          <w:tcPr>
            <w:tcW w:w="1023" w:type="dxa"/>
            <w:tcBorders>
              <w:top w:val="single" w:color="auto" w:sz="4" w:space="0"/>
              <w:left w:val="outset" w:color="000000" w:sz="6" w:space="0"/>
              <w:right w:val="outset" w:color="000000" w:sz="6" w:space="0"/>
            </w:tcBorders>
            <w:shd w:val="clear" w:color="auto" w:fill="FFFFFF"/>
            <w:vAlign w:val="center"/>
          </w:tcPr>
          <w:p>
            <w:pPr>
              <w:widowControl/>
              <w:spacing w:line="420" w:lineRule="atLeast"/>
              <w:ind w:firstLine="400" w:firstLineChars="200"/>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olor w:val="000000"/>
                <w:sz w:val="20"/>
                <w:szCs w:val="20"/>
              </w:rPr>
            </w:pPr>
            <w:r>
              <w:rPr>
                <w:rFonts w:hint="eastAsia" w:ascii="黑体" w:hAnsi="宋体" w:eastAsia="黑体"/>
                <w:color w:val="000000"/>
                <w:sz w:val="20"/>
                <w:szCs w:val="20"/>
              </w:rPr>
              <w:t>十二、机构建设和保障经费情况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（一）政府信息公开工作专门机构数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个</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二</w:t>
            </w:r>
            <w:r>
              <w:rPr>
                <w:rFonts w:ascii="宋体" w:hAnsi="宋体"/>
                <w:color w:val="000000"/>
                <w:sz w:val="20"/>
                <w:szCs w:val="20"/>
              </w:rPr>
              <w:t>）从事政府信息公开工作人员数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1.专职人员数（不包括政府公报及政府网站工作人员数）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2.兼职人员数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三</w:t>
            </w:r>
            <w:r>
              <w:rPr>
                <w:rFonts w:ascii="宋体" w:hAnsi="宋体"/>
                <w:color w:val="000000"/>
                <w:sz w:val="20"/>
                <w:szCs w:val="20"/>
              </w:rPr>
              <w:t>）政府信息公开专项经费（不包括政府公报编辑管理及政府网站建设</w:t>
            </w:r>
            <w:r>
              <w:rPr>
                <w:rFonts w:hint="eastAsia" w:ascii="宋体" w:hAnsi="宋体"/>
                <w:color w:val="000000"/>
                <w:sz w:val="20"/>
                <w:szCs w:val="20"/>
              </w:rPr>
              <w:t>）</w:t>
            </w:r>
            <w:r>
              <w:rPr>
                <w:rFonts w:ascii="宋体" w:hAnsi="宋体"/>
                <w:color w:val="000000"/>
                <w:sz w:val="20"/>
                <w:szCs w:val="20"/>
              </w:rPr>
              <w:br w:type="textWrapping"/>
            </w:r>
            <w:r>
              <w:rPr>
                <w:rFonts w:ascii="宋体" w:hAnsi="宋体"/>
                <w:color w:val="000000"/>
                <w:sz w:val="20"/>
                <w:szCs w:val="20"/>
              </w:rPr>
              <w:t>　　　　　护等方面的经费）</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万元</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十三、政府信息公开会议和培训情况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（一）召开政府信息公开工作会议或专题会议数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（二）举办各类培训班数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（三）接受培训人员数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bl>
    <w:p>
      <w:pPr>
        <w:rPr>
          <w:rFonts w:ascii="黑体" w:hAnsi="宋体" w:eastAsia="黑体"/>
          <w:szCs w:val="32"/>
        </w:rPr>
      </w:pPr>
    </w:p>
    <w:p>
      <w:pPr>
        <w:widowControl/>
        <w:jc w:val="left"/>
        <w:rPr>
          <w:rFonts w:hint="eastAsia" w:ascii="黑体" w:hAnsi="宋体" w:eastAsia="黑体"/>
          <w:szCs w:val="32"/>
        </w:rPr>
      </w:pPr>
    </w:p>
    <w:p>
      <w:pPr>
        <w:widowControl/>
        <w:jc w:val="left"/>
      </w:pPr>
      <w:r>
        <w:t xml:space="preserve"> </w:t>
      </w:r>
    </w:p>
    <w:p>
      <w:pPr>
        <w:spacing w:line="540" w:lineRule="exact"/>
        <w:ind w:right="160" w:firstLine="640" w:firstLineChars="200"/>
        <w:jc w:val="left"/>
        <w:rPr>
          <w:rFonts w:hint="eastAsia" w:ascii="仿宋_GB2312" w:hAnsi="Times New Roman" w:eastAsia="仿宋_GB2312"/>
          <w:kern w:val="0"/>
          <w:sz w:val="32"/>
          <w:szCs w:val="32"/>
        </w:rPr>
      </w:pPr>
    </w:p>
    <w:p>
      <w:pPr>
        <w:spacing w:line="540" w:lineRule="exact"/>
        <w:ind w:right="160" w:firstLine="640" w:firstLineChars="200"/>
        <w:jc w:val="left"/>
        <w:rPr>
          <w:rFonts w:hint="eastAsia" w:ascii="仿宋_GB2312" w:hAnsi="Times New Roman" w:eastAsia="仿宋_GB2312"/>
          <w:kern w:val="0"/>
          <w:sz w:val="32"/>
          <w:szCs w:val="32"/>
        </w:rPr>
      </w:pPr>
    </w:p>
    <w:p>
      <w:pPr>
        <w:spacing w:line="540" w:lineRule="exact"/>
        <w:ind w:right="160" w:firstLine="640" w:firstLineChars="200"/>
        <w:jc w:val="left"/>
        <w:rPr>
          <w:rFonts w:ascii="仿宋_GB2312" w:hAnsi="Times New Roman" w:eastAsia="仿宋_GB2312"/>
          <w:kern w:val="0"/>
          <w:sz w:val="32"/>
          <w:szCs w:val="32"/>
        </w:rPr>
      </w:pPr>
    </w:p>
    <w:sectPr>
      <w:footerReference r:id="rId3" w:type="default"/>
      <w:pgSz w:w="11906" w:h="16838"/>
      <w:pgMar w:top="1418" w:right="1474"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4</w:t>
    </w:r>
    <w:r>
      <w:rPr>
        <w:lang w:val="zh-CN"/>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1E34"/>
    <w:rsid w:val="000000EA"/>
    <w:rsid w:val="00002DCF"/>
    <w:rsid w:val="0001761C"/>
    <w:rsid w:val="00030987"/>
    <w:rsid w:val="00034201"/>
    <w:rsid w:val="000364D1"/>
    <w:rsid w:val="000378C6"/>
    <w:rsid w:val="00041EE7"/>
    <w:rsid w:val="00045B3C"/>
    <w:rsid w:val="000511D6"/>
    <w:rsid w:val="000537BF"/>
    <w:rsid w:val="00057599"/>
    <w:rsid w:val="00060DC3"/>
    <w:rsid w:val="00066860"/>
    <w:rsid w:val="00085C19"/>
    <w:rsid w:val="00086543"/>
    <w:rsid w:val="00092D07"/>
    <w:rsid w:val="0009560C"/>
    <w:rsid w:val="000B692D"/>
    <w:rsid w:val="000C1080"/>
    <w:rsid w:val="000C74F7"/>
    <w:rsid w:val="000E594E"/>
    <w:rsid w:val="000E6E84"/>
    <w:rsid w:val="00116297"/>
    <w:rsid w:val="00116A31"/>
    <w:rsid w:val="00123040"/>
    <w:rsid w:val="001244DA"/>
    <w:rsid w:val="00132600"/>
    <w:rsid w:val="00143BBA"/>
    <w:rsid w:val="00145D4A"/>
    <w:rsid w:val="00152C78"/>
    <w:rsid w:val="00170F9D"/>
    <w:rsid w:val="001752E7"/>
    <w:rsid w:val="001761FC"/>
    <w:rsid w:val="0019453E"/>
    <w:rsid w:val="00194854"/>
    <w:rsid w:val="001953C6"/>
    <w:rsid w:val="001B0104"/>
    <w:rsid w:val="001C2E5E"/>
    <w:rsid w:val="001C381E"/>
    <w:rsid w:val="001C57C2"/>
    <w:rsid w:val="001D133A"/>
    <w:rsid w:val="001D5CB7"/>
    <w:rsid w:val="001E70CB"/>
    <w:rsid w:val="001E76B5"/>
    <w:rsid w:val="001F0E29"/>
    <w:rsid w:val="0020710E"/>
    <w:rsid w:val="00246AC2"/>
    <w:rsid w:val="00261196"/>
    <w:rsid w:val="00277BF4"/>
    <w:rsid w:val="00285C01"/>
    <w:rsid w:val="00285F45"/>
    <w:rsid w:val="002A3348"/>
    <w:rsid w:val="002A5410"/>
    <w:rsid w:val="002A684D"/>
    <w:rsid w:val="002B47A6"/>
    <w:rsid w:val="002C396D"/>
    <w:rsid w:val="002E66D3"/>
    <w:rsid w:val="002F6167"/>
    <w:rsid w:val="00310D8C"/>
    <w:rsid w:val="00320B3A"/>
    <w:rsid w:val="00326C73"/>
    <w:rsid w:val="003300CC"/>
    <w:rsid w:val="00340EAB"/>
    <w:rsid w:val="00345FC5"/>
    <w:rsid w:val="00351598"/>
    <w:rsid w:val="003920FB"/>
    <w:rsid w:val="003A2AFB"/>
    <w:rsid w:val="003A5889"/>
    <w:rsid w:val="003A7F4A"/>
    <w:rsid w:val="003B758A"/>
    <w:rsid w:val="003C0711"/>
    <w:rsid w:val="003C64BC"/>
    <w:rsid w:val="003E006D"/>
    <w:rsid w:val="003E0193"/>
    <w:rsid w:val="003E5326"/>
    <w:rsid w:val="003F0C17"/>
    <w:rsid w:val="003F125C"/>
    <w:rsid w:val="003F2F4C"/>
    <w:rsid w:val="003F4540"/>
    <w:rsid w:val="003F733F"/>
    <w:rsid w:val="0040462C"/>
    <w:rsid w:val="00411E34"/>
    <w:rsid w:val="00451CA4"/>
    <w:rsid w:val="00464031"/>
    <w:rsid w:val="00467873"/>
    <w:rsid w:val="00484FDB"/>
    <w:rsid w:val="004861D4"/>
    <w:rsid w:val="004877A1"/>
    <w:rsid w:val="00491265"/>
    <w:rsid w:val="00497273"/>
    <w:rsid w:val="004A05B0"/>
    <w:rsid w:val="004A1A7E"/>
    <w:rsid w:val="004A36B9"/>
    <w:rsid w:val="004B180B"/>
    <w:rsid w:val="004B5804"/>
    <w:rsid w:val="004C4687"/>
    <w:rsid w:val="004D0758"/>
    <w:rsid w:val="004D0DF7"/>
    <w:rsid w:val="004D2803"/>
    <w:rsid w:val="004D62ED"/>
    <w:rsid w:val="004F435C"/>
    <w:rsid w:val="004F6D08"/>
    <w:rsid w:val="005053AD"/>
    <w:rsid w:val="0051385C"/>
    <w:rsid w:val="00523E65"/>
    <w:rsid w:val="00525398"/>
    <w:rsid w:val="00527D55"/>
    <w:rsid w:val="0053263F"/>
    <w:rsid w:val="0054196B"/>
    <w:rsid w:val="00545BA3"/>
    <w:rsid w:val="005A2E0C"/>
    <w:rsid w:val="005C0C10"/>
    <w:rsid w:val="005D2406"/>
    <w:rsid w:val="005F1DAF"/>
    <w:rsid w:val="00617C00"/>
    <w:rsid w:val="006219ED"/>
    <w:rsid w:val="006261E6"/>
    <w:rsid w:val="00633CB2"/>
    <w:rsid w:val="00644565"/>
    <w:rsid w:val="00654E06"/>
    <w:rsid w:val="00666572"/>
    <w:rsid w:val="00671E48"/>
    <w:rsid w:val="006902D9"/>
    <w:rsid w:val="00694918"/>
    <w:rsid w:val="006B13D9"/>
    <w:rsid w:val="006C7D31"/>
    <w:rsid w:val="006D095C"/>
    <w:rsid w:val="006D667E"/>
    <w:rsid w:val="00706493"/>
    <w:rsid w:val="00716325"/>
    <w:rsid w:val="0074216E"/>
    <w:rsid w:val="007421A6"/>
    <w:rsid w:val="007504FC"/>
    <w:rsid w:val="00763A91"/>
    <w:rsid w:val="00764FD6"/>
    <w:rsid w:val="007654AB"/>
    <w:rsid w:val="00775FB9"/>
    <w:rsid w:val="00777DB1"/>
    <w:rsid w:val="00797218"/>
    <w:rsid w:val="007A3D0F"/>
    <w:rsid w:val="007A420A"/>
    <w:rsid w:val="007B49E4"/>
    <w:rsid w:val="007C670E"/>
    <w:rsid w:val="007D54D1"/>
    <w:rsid w:val="007D6345"/>
    <w:rsid w:val="007E188B"/>
    <w:rsid w:val="007F1012"/>
    <w:rsid w:val="007F4226"/>
    <w:rsid w:val="007F58B5"/>
    <w:rsid w:val="007F7F19"/>
    <w:rsid w:val="00804D1F"/>
    <w:rsid w:val="008213BF"/>
    <w:rsid w:val="00821EBB"/>
    <w:rsid w:val="00827FFA"/>
    <w:rsid w:val="0083361D"/>
    <w:rsid w:val="0084294E"/>
    <w:rsid w:val="00845967"/>
    <w:rsid w:val="0085079E"/>
    <w:rsid w:val="00863627"/>
    <w:rsid w:val="0088460D"/>
    <w:rsid w:val="008908A8"/>
    <w:rsid w:val="008934F6"/>
    <w:rsid w:val="008A1523"/>
    <w:rsid w:val="008A1FF2"/>
    <w:rsid w:val="008C2DB1"/>
    <w:rsid w:val="008C4A06"/>
    <w:rsid w:val="008E5726"/>
    <w:rsid w:val="008E78DC"/>
    <w:rsid w:val="008F2FBD"/>
    <w:rsid w:val="008F7395"/>
    <w:rsid w:val="00906475"/>
    <w:rsid w:val="009120BF"/>
    <w:rsid w:val="0092232A"/>
    <w:rsid w:val="00937B03"/>
    <w:rsid w:val="009532C4"/>
    <w:rsid w:val="00956891"/>
    <w:rsid w:val="009831D3"/>
    <w:rsid w:val="009840BD"/>
    <w:rsid w:val="0099567F"/>
    <w:rsid w:val="009A35C3"/>
    <w:rsid w:val="009A5EBA"/>
    <w:rsid w:val="009B5062"/>
    <w:rsid w:val="009C0440"/>
    <w:rsid w:val="009E4AB6"/>
    <w:rsid w:val="009F2682"/>
    <w:rsid w:val="009F2E90"/>
    <w:rsid w:val="00A01FE2"/>
    <w:rsid w:val="00A17AAE"/>
    <w:rsid w:val="00A42055"/>
    <w:rsid w:val="00A4303E"/>
    <w:rsid w:val="00A635B9"/>
    <w:rsid w:val="00A65AE4"/>
    <w:rsid w:val="00A67831"/>
    <w:rsid w:val="00A853F1"/>
    <w:rsid w:val="00A85A88"/>
    <w:rsid w:val="00A91AF8"/>
    <w:rsid w:val="00A91D59"/>
    <w:rsid w:val="00A921E0"/>
    <w:rsid w:val="00A93522"/>
    <w:rsid w:val="00A96714"/>
    <w:rsid w:val="00AA19B2"/>
    <w:rsid w:val="00AA68D1"/>
    <w:rsid w:val="00AC783F"/>
    <w:rsid w:val="00AD182F"/>
    <w:rsid w:val="00AD379A"/>
    <w:rsid w:val="00AD54A9"/>
    <w:rsid w:val="00AD6543"/>
    <w:rsid w:val="00AD6BCD"/>
    <w:rsid w:val="00AD76D8"/>
    <w:rsid w:val="00AE010F"/>
    <w:rsid w:val="00AE0545"/>
    <w:rsid w:val="00AF0FF1"/>
    <w:rsid w:val="00AF3A05"/>
    <w:rsid w:val="00B02501"/>
    <w:rsid w:val="00B025FB"/>
    <w:rsid w:val="00B0742B"/>
    <w:rsid w:val="00B34F9D"/>
    <w:rsid w:val="00B43042"/>
    <w:rsid w:val="00B46E2B"/>
    <w:rsid w:val="00B5405C"/>
    <w:rsid w:val="00B571E7"/>
    <w:rsid w:val="00B60A0C"/>
    <w:rsid w:val="00B6616E"/>
    <w:rsid w:val="00B86D0C"/>
    <w:rsid w:val="00B90FB0"/>
    <w:rsid w:val="00B911BF"/>
    <w:rsid w:val="00B92EE8"/>
    <w:rsid w:val="00B94CE1"/>
    <w:rsid w:val="00B95991"/>
    <w:rsid w:val="00B96DB8"/>
    <w:rsid w:val="00BA4E15"/>
    <w:rsid w:val="00BC5174"/>
    <w:rsid w:val="00BC57CB"/>
    <w:rsid w:val="00BE37C6"/>
    <w:rsid w:val="00BF48E2"/>
    <w:rsid w:val="00C10648"/>
    <w:rsid w:val="00C178DA"/>
    <w:rsid w:val="00C37EDA"/>
    <w:rsid w:val="00C53D16"/>
    <w:rsid w:val="00C75D0E"/>
    <w:rsid w:val="00CB311F"/>
    <w:rsid w:val="00CC0157"/>
    <w:rsid w:val="00CD77B9"/>
    <w:rsid w:val="00CF1312"/>
    <w:rsid w:val="00CF4319"/>
    <w:rsid w:val="00CF4B6A"/>
    <w:rsid w:val="00CF5FCF"/>
    <w:rsid w:val="00CF6FA1"/>
    <w:rsid w:val="00CF78F4"/>
    <w:rsid w:val="00CF7B25"/>
    <w:rsid w:val="00D05772"/>
    <w:rsid w:val="00D05B04"/>
    <w:rsid w:val="00D064C5"/>
    <w:rsid w:val="00D23EE1"/>
    <w:rsid w:val="00D24114"/>
    <w:rsid w:val="00D40B64"/>
    <w:rsid w:val="00D40F19"/>
    <w:rsid w:val="00D41385"/>
    <w:rsid w:val="00D43F24"/>
    <w:rsid w:val="00D52DF1"/>
    <w:rsid w:val="00D54303"/>
    <w:rsid w:val="00D64989"/>
    <w:rsid w:val="00D76BA6"/>
    <w:rsid w:val="00D81113"/>
    <w:rsid w:val="00D9678A"/>
    <w:rsid w:val="00DA1C80"/>
    <w:rsid w:val="00DA59CE"/>
    <w:rsid w:val="00DB03B2"/>
    <w:rsid w:val="00DB4B65"/>
    <w:rsid w:val="00DB5360"/>
    <w:rsid w:val="00DC0058"/>
    <w:rsid w:val="00DC0BC1"/>
    <w:rsid w:val="00DC453E"/>
    <w:rsid w:val="00DD0161"/>
    <w:rsid w:val="00DD663A"/>
    <w:rsid w:val="00DE2878"/>
    <w:rsid w:val="00DE7F0F"/>
    <w:rsid w:val="00DF156D"/>
    <w:rsid w:val="00DF6987"/>
    <w:rsid w:val="00E045B9"/>
    <w:rsid w:val="00E07267"/>
    <w:rsid w:val="00E10F65"/>
    <w:rsid w:val="00E114AF"/>
    <w:rsid w:val="00E17298"/>
    <w:rsid w:val="00E227B7"/>
    <w:rsid w:val="00E274F4"/>
    <w:rsid w:val="00E303B2"/>
    <w:rsid w:val="00E51514"/>
    <w:rsid w:val="00E57D4A"/>
    <w:rsid w:val="00E83C31"/>
    <w:rsid w:val="00EA1DF7"/>
    <w:rsid w:val="00ED294A"/>
    <w:rsid w:val="00ED5ED4"/>
    <w:rsid w:val="00EE7283"/>
    <w:rsid w:val="00F035B6"/>
    <w:rsid w:val="00F27F46"/>
    <w:rsid w:val="00F3037E"/>
    <w:rsid w:val="00F3146D"/>
    <w:rsid w:val="00F31908"/>
    <w:rsid w:val="00F42521"/>
    <w:rsid w:val="00F61DFB"/>
    <w:rsid w:val="00F63275"/>
    <w:rsid w:val="00F65CD9"/>
    <w:rsid w:val="00F65E3D"/>
    <w:rsid w:val="00F73683"/>
    <w:rsid w:val="00F73F65"/>
    <w:rsid w:val="00F811EC"/>
    <w:rsid w:val="00F90738"/>
    <w:rsid w:val="00F96A41"/>
    <w:rsid w:val="00FA2083"/>
    <w:rsid w:val="00FA45F6"/>
    <w:rsid w:val="00FB67B4"/>
    <w:rsid w:val="00FC4D87"/>
    <w:rsid w:val="00FC5817"/>
    <w:rsid w:val="00FC65B9"/>
    <w:rsid w:val="00FC748E"/>
    <w:rsid w:val="00FD4F5E"/>
    <w:rsid w:val="00FD6EC3"/>
    <w:rsid w:val="00FE2F7E"/>
    <w:rsid w:val="00FE5B87"/>
    <w:rsid w:val="00FE71EA"/>
    <w:rsid w:val="00FF3BAA"/>
    <w:rsid w:val="00FF5B66"/>
    <w:rsid w:val="0B2972F3"/>
    <w:rsid w:val="1C0420F1"/>
    <w:rsid w:val="39C95242"/>
    <w:rsid w:val="45E749DD"/>
    <w:rsid w:val="4A0D50A7"/>
    <w:rsid w:val="4D91776F"/>
    <w:rsid w:val="519E5A98"/>
    <w:rsid w:val="5E794D3F"/>
    <w:rsid w:val="70751AD3"/>
    <w:rsid w:val="7E20521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Plain Text"/>
    <w:basedOn w:val="1"/>
    <w:link w:val="14"/>
    <w:qFormat/>
    <w:uiPriority w:val="99"/>
    <w:rPr>
      <w:rFonts w:ascii="宋体" w:hAnsi="Courier New" w:cs="楷体_GB2312"/>
      <w:szCs w:val="21"/>
    </w:r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3"/>
    <w:semiHidden/>
    <w:uiPriority w:val="99"/>
    <w:rPr>
      <w:kern w:val="0"/>
      <w:sz w:val="18"/>
      <w:szCs w:val="18"/>
    </w:rPr>
  </w:style>
  <w:style w:type="paragraph" w:styleId="5">
    <w:name w:val="footer"/>
    <w:basedOn w:val="1"/>
    <w:link w:val="12"/>
    <w:qFormat/>
    <w:uiPriority w:val="99"/>
    <w:pPr>
      <w:tabs>
        <w:tab w:val="center" w:pos="4153"/>
        <w:tab w:val="right" w:pos="8306"/>
      </w:tabs>
      <w:snapToGrid w:val="0"/>
      <w:jc w:val="left"/>
    </w:pPr>
    <w:rPr>
      <w:kern w:val="0"/>
      <w:sz w:val="18"/>
      <w:szCs w:val="18"/>
    </w:rPr>
  </w:style>
  <w:style w:type="paragraph" w:styleId="6">
    <w:name w:val="header"/>
    <w:basedOn w:val="1"/>
    <w:link w:val="11"/>
    <w:uiPriority w:val="99"/>
    <w:pPr>
      <w:pBdr>
        <w:bottom w:val="single" w:color="auto" w:sz="6" w:space="1"/>
      </w:pBdr>
      <w:tabs>
        <w:tab w:val="center" w:pos="4153"/>
        <w:tab w:val="right" w:pos="8306"/>
      </w:tabs>
      <w:snapToGrid w:val="0"/>
      <w:jc w:val="center"/>
    </w:pPr>
    <w:rPr>
      <w:kern w:val="0"/>
      <w:sz w:val="18"/>
      <w:szCs w:val="18"/>
    </w:rPr>
  </w:style>
  <w:style w:type="paragraph" w:styleId="7">
    <w:name w:val="Normal (Web)"/>
    <w:basedOn w:val="1"/>
    <w:qFormat/>
    <w:uiPriority w:val="0"/>
    <w:pPr>
      <w:jc w:val="left"/>
    </w:pPr>
    <w:rPr>
      <w:kern w:val="0"/>
      <w:sz w:val="24"/>
    </w:rPr>
  </w:style>
  <w:style w:type="character" w:styleId="10">
    <w:name w:val="Strong"/>
    <w:qFormat/>
    <w:uiPriority w:val="0"/>
    <w:rPr>
      <w:rFonts w:cs="Times New Roman"/>
      <w:b/>
    </w:rPr>
  </w:style>
  <w:style w:type="character" w:customStyle="1" w:styleId="11">
    <w:name w:val="页眉 Char"/>
    <w:link w:val="6"/>
    <w:qFormat/>
    <w:locked/>
    <w:uiPriority w:val="99"/>
    <w:rPr>
      <w:sz w:val="18"/>
    </w:rPr>
  </w:style>
  <w:style w:type="character" w:customStyle="1" w:styleId="12">
    <w:name w:val="页脚 Char"/>
    <w:link w:val="5"/>
    <w:qFormat/>
    <w:locked/>
    <w:uiPriority w:val="99"/>
    <w:rPr>
      <w:sz w:val="18"/>
    </w:rPr>
  </w:style>
  <w:style w:type="character" w:customStyle="1" w:styleId="13">
    <w:name w:val="批注框文本 Char"/>
    <w:link w:val="4"/>
    <w:semiHidden/>
    <w:qFormat/>
    <w:locked/>
    <w:uiPriority w:val="99"/>
    <w:rPr>
      <w:sz w:val="18"/>
    </w:rPr>
  </w:style>
  <w:style w:type="character" w:customStyle="1" w:styleId="14">
    <w:name w:val="纯文本 Char"/>
    <w:link w:val="2"/>
    <w:qFormat/>
    <w:locked/>
    <w:uiPriority w:val="99"/>
    <w:rPr>
      <w:rFonts w:ascii="宋体" w:hAnsi="Courier New" w:eastAsia="宋体"/>
      <w:kern w:val="2"/>
      <w:sz w:val="21"/>
      <w:lang w:val="en-US" w:eastAsia="zh-CN"/>
    </w:rPr>
  </w:style>
  <w:style w:type="paragraph" w:customStyle="1" w:styleId="15">
    <w:name w:val="List Paragraph1"/>
    <w:basedOn w:val="1"/>
    <w:qFormat/>
    <w:uiPriority w:val="99"/>
    <w:pPr>
      <w:ind w:firstLine="420" w:firstLineChars="200"/>
    </w:pPr>
    <w:rPr>
      <w:rFonts w:ascii="Times New Roman" w:hAnsi="Times New Roman"/>
      <w:szCs w:val="24"/>
    </w:rPr>
  </w:style>
  <w:style w:type="paragraph" w:customStyle="1" w:styleId="16">
    <w:name w:val="普通(网站)1"/>
    <w:basedOn w:val="1"/>
    <w:uiPriority w:val="0"/>
    <w:pPr>
      <w:widowControl/>
      <w:spacing w:before="100" w:beforeAutospacing="1" w:after="100" w:afterAutospacing="1"/>
      <w:jc w:val="left"/>
    </w:pPr>
    <w:rPr>
      <w:rFonts w:ascii="宋体" w:hAnsi="宋体" w:cs="宋体"/>
      <w:kern w:val="0"/>
      <w:sz w:val="24"/>
      <w:szCs w:val="24"/>
    </w:rPr>
  </w:style>
  <w:style w:type="character" w:customStyle="1" w:styleId="17">
    <w:name w:val="日期 Char"/>
    <w:link w:val="3"/>
    <w:semiHidden/>
    <w:qFormat/>
    <w:uiPriority w:val="99"/>
    <w:rPr>
      <w:kern w:val="2"/>
      <w:sz w:val="21"/>
      <w:szCs w:val="22"/>
    </w:rPr>
  </w:style>
  <w:style w:type="paragraph" w:customStyle="1" w:styleId="18">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6</Pages>
  <Words>468</Words>
  <Characters>2673</Characters>
  <Lines>22</Lines>
  <Paragraphs>6</Paragraphs>
  <TotalTime>3</TotalTime>
  <ScaleCrop>false</ScaleCrop>
  <LinksUpToDate>false</LinksUpToDate>
  <CharactersWithSpaces>3135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2017-03-22T01:18:00Z</dcterms:created>
  <dc:creator>lb</dc:creator>
  <cp:lastModifiedBy>Administrator</cp:lastModifiedBy>
  <cp:lastPrinted>2017-03-24T01:56:00Z</cp:lastPrinted>
  <dcterms:modified xsi:type="dcterms:W3CDTF">2020-06-30T13:20:05Z</dcterms:modified>
  <cp:revision>263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