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b/>
          <w:sz w:val="44"/>
          <w:szCs w:val="44"/>
        </w:rPr>
      </w:pPr>
      <w:r>
        <w:rPr>
          <w:rFonts w:hint="eastAsia" w:ascii="宋体" w:hAnsi="宋体"/>
          <w:b/>
          <w:sz w:val="44"/>
          <w:szCs w:val="44"/>
        </w:rPr>
        <w:t>高青县</w:t>
      </w:r>
      <w:r>
        <w:rPr>
          <w:rFonts w:hint="eastAsia" w:ascii="宋体" w:hAnsi="宋体"/>
          <w:b/>
          <w:sz w:val="44"/>
          <w:szCs w:val="44"/>
          <w:lang w:eastAsia="zh-CN"/>
        </w:rPr>
        <w:t>司法局</w:t>
      </w:r>
      <w:r>
        <w:rPr>
          <w:rFonts w:ascii="宋体" w:hAnsi="宋体"/>
          <w:b/>
          <w:sz w:val="44"/>
          <w:szCs w:val="44"/>
        </w:rPr>
        <w:t>2017</w:t>
      </w:r>
      <w:r>
        <w:rPr>
          <w:rFonts w:hint="eastAsia" w:ascii="宋体" w:hAnsi="宋体"/>
          <w:b/>
          <w:sz w:val="44"/>
          <w:szCs w:val="44"/>
        </w:rPr>
        <w:t>年政府信息公开工作</w:t>
      </w:r>
    </w:p>
    <w:p>
      <w:pPr>
        <w:spacing w:line="540" w:lineRule="exact"/>
        <w:jc w:val="center"/>
        <w:rPr>
          <w:rFonts w:ascii="宋体"/>
          <w:b/>
          <w:sz w:val="44"/>
          <w:szCs w:val="44"/>
        </w:rPr>
      </w:pPr>
      <w:r>
        <w:rPr>
          <w:rFonts w:hint="eastAsia" w:ascii="宋体" w:hAnsi="宋体"/>
          <w:b/>
          <w:sz w:val="44"/>
          <w:szCs w:val="44"/>
        </w:rPr>
        <w:t>年度报告</w:t>
      </w:r>
    </w:p>
    <w:p>
      <w:pPr>
        <w:spacing w:line="540" w:lineRule="exact"/>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eastAsia="仿宋_GB2312"/>
          <w:sz w:val="32"/>
          <w:szCs w:val="32"/>
        </w:rPr>
      </w:pPr>
      <w:r>
        <w:rPr>
          <w:rFonts w:hint="eastAsia" w:ascii="仿宋_GB2312" w:eastAsia="仿宋_GB2312"/>
          <w:sz w:val="32"/>
          <w:szCs w:val="32"/>
        </w:rPr>
        <w:t>本报告按照《中华人民共和国政府信息公开条例》（以下简称《条例》）和《山东省政府信息公开办法》（以下简称《办法》）规定编制。报告全文由概述、主动公开政府信息情况、依申请公开政府信息情况、政府信息公开复议诉讼和举报情况、政府信息公开工作机构和人员情况、存在的不足及改进措施六个部分组成，并附有相关统计表格。</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eastAsia="仿宋_GB2312"/>
          <w:sz w:val="32"/>
          <w:szCs w:val="32"/>
        </w:rPr>
      </w:pPr>
      <w:r>
        <w:rPr>
          <w:rFonts w:hint="eastAsia" w:ascii="仿宋_GB2312" w:eastAsia="仿宋_GB2312"/>
          <w:sz w:val="32"/>
          <w:szCs w:val="32"/>
        </w:rPr>
        <w:t>报告中所列数据统计期限自2017年1月1日始，至2017年12月31日止。报告电子版可在高青县人民政府门户网站（www.gaoqing.gov.cn）查阅和下载。如对报告内容有疑问，请与高青县司法局联系（地址：高青县城黄河路29号；邮编：256300；电话：0533-6981237；传真：0533-6981237）。</w:t>
      </w:r>
    </w:p>
    <w:p>
      <w:pPr>
        <w:pStyle w:val="7"/>
        <w:keepNext w:val="0"/>
        <w:keepLines w:val="0"/>
        <w:widowControl/>
        <w:suppressLineNumbers w:val="0"/>
        <w:spacing w:before="75" w:beforeAutospacing="0" w:after="75" w:afterAutospacing="0"/>
        <w:ind w:left="0" w:right="0" w:firstLine="420"/>
        <w:jc w:val="left"/>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一、概述</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2017年，高青县司法局认真贯彻落实党的十九大精神，以落实国务院办公厅《关于印发2017年政务公开工作要点的通知》（国办发〔2017〕24号）、省政府办公厅《关于印发2017年山东省政务公开工作要点的通知》（鲁政办发〔2017〕39号）和市政府办公厅《关于印发2017年淄博市政务公开工作要点的通知》（淄政办发〔2017〕17号）等文件为重点，高度重视，从实际出发，结合工作职能特点，积极推进信息公开工作，不断增强司法工作透明度，积极回应社会关切和公众期盼，全力保障人民群众的知情权、参与权和监督权。 </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加强组织领导，优化队伍建设。政务公开工作列入单位领导分工,成立了局信息公开工作领导小组，由局长任组长，分管局长任副组长，机关各科室处所主要负责人担任成员。进一步明确局办公室作为政务公开工作主管科室，具体负责组织协调、指导推进、监督检查全县政务公开工作，切实做到机构到位、责任到位、人员到位，政务公开工作队伍建设进一步加强。建立了由“主要领导亲自抓、分管领导具体抓、各科室各司其职，办公室协调办理”的工作机制，为深化政府信息公开工作提供强有力的保证。</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完善制度机制，强力部署推进。建立预先审查、保密审查、主动公开、依申请公开等工作制度，严格落实《2017年高青县政务公开工作要点》有关要求，坚持及时、准确、规范公开政务信息，确保政务公开工作落实到位。</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（三）加强平台建设，拓展公开渠道。充分发挥政府网站作为政务公开第一平台的作用，按时维护更新政府信息公开目录、政府信息依申请公开、政府信息公开监督信箱等栏目。</w:t>
      </w:r>
    </w:p>
    <w:p>
      <w:pPr>
        <w:pStyle w:val="7"/>
        <w:keepNext w:val="0"/>
        <w:keepLines w:val="0"/>
        <w:widowControl/>
        <w:suppressLineNumbers w:val="0"/>
        <w:spacing w:before="75" w:beforeAutospacing="0" w:after="75" w:afterAutospacing="0"/>
        <w:ind w:left="0" w:right="0" w:firstLine="420"/>
        <w:jc w:val="left"/>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二、主动公开政府信息情况</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司法行政领域信息公开情况：2017年，县司法局共主动公开政府信息357条。</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我局在高青县人民政府门户网站（原高青政务网“法治高青”专栏）、网站红页“www.高青县司法局.政务”积极进行信息公开，建立开通“高青司法行政法律服务”微信公众号，主动公开信息，此外，我局通过《今日高青》、“政风行风热线”、“高青新闻”等平台，及时公开需要社会公众广泛知晓的信息。在局院内设置信息告知栏，积极公开政府信息，丰富信息公开内容。2017年，我局在县政务网《法治高青》专题栏目刊发普法信息350条，今日高青报纸刊发文章50篇，“高青司法行政法律服务”微信公众号播发法律服务信息240篇。</w:t>
      </w:r>
    </w:p>
    <w:p>
      <w:pPr>
        <w:pStyle w:val="7"/>
        <w:keepNext w:val="0"/>
        <w:keepLines w:val="0"/>
        <w:widowControl/>
        <w:suppressLineNumbers w:val="0"/>
        <w:spacing w:before="75" w:beforeAutospacing="0" w:after="75" w:afterAutospacing="0"/>
        <w:ind w:left="0" w:right="0" w:firstLine="420"/>
        <w:jc w:val="left"/>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三、依申请公开政府信息情况</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（一）依申请公开处理情况</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2017年度，未收到公民、法人或其他组织提出的政府信息公开的申请。</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（二）收费及减免情况</w:t>
      </w:r>
    </w:p>
    <w:p>
      <w:pPr>
        <w:pStyle w:val="7"/>
        <w:keepNext w:val="0"/>
        <w:keepLines w:val="0"/>
        <w:widowControl/>
        <w:suppressLineNumbers w:val="0"/>
        <w:spacing w:before="75" w:beforeAutospacing="0" w:after="75" w:afterAutospacing="0"/>
        <w:ind w:right="0" w:firstLine="640" w:firstLineChars="20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2017年度，无政府信息公开收费及减免情况。</w:t>
      </w:r>
    </w:p>
    <w:p>
      <w:pPr>
        <w:pStyle w:val="7"/>
        <w:keepNext w:val="0"/>
        <w:keepLines w:val="0"/>
        <w:widowControl/>
        <w:suppressLineNumbers w:val="0"/>
        <w:spacing w:before="75" w:beforeAutospacing="0" w:after="75" w:afterAutospacing="0"/>
        <w:ind w:right="0" w:firstLine="640" w:firstLineChars="200"/>
        <w:jc w:val="left"/>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四、政府信息公开复议诉讼和举报情况</w:t>
      </w:r>
    </w:p>
    <w:p>
      <w:pPr>
        <w:pStyle w:val="7"/>
        <w:keepNext w:val="0"/>
        <w:keepLines w:val="0"/>
        <w:widowControl/>
        <w:suppressLineNumbers w:val="0"/>
        <w:spacing w:before="75" w:beforeAutospacing="0" w:after="75"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2017年度，我局未收到因政府信息公开申请行政复议、提起行政诉讼的情况。</w:t>
      </w:r>
    </w:p>
    <w:p>
      <w:pPr>
        <w:spacing w:line="54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五、政府信息公开工作机构和人员情况</w:t>
      </w:r>
    </w:p>
    <w:p>
      <w:pPr>
        <w:spacing w:line="540" w:lineRule="exact"/>
        <w:ind w:firstLine="648"/>
        <w:rPr>
          <w:rFonts w:hint="eastAsia" w:ascii="仿宋_GB2312" w:hAnsi="仿宋_GB2312" w:eastAsia="仿宋_GB2312" w:cs="仿宋_GB2312"/>
          <w:color w:val="000000" w:themeColor="text1"/>
          <w:kern w:val="22"/>
          <w:sz w:val="32"/>
          <w:szCs w:val="32"/>
          <w14:textFill>
            <w14:solidFill>
              <w14:schemeClr w14:val="tx1"/>
            </w14:solidFill>
          </w14:textFill>
        </w:rPr>
      </w:pPr>
      <w:r>
        <w:rPr>
          <w:rFonts w:hint="eastAsia" w:ascii="仿宋_GB2312" w:hAnsi="仿宋_GB2312" w:eastAsia="仿宋_GB2312" w:cs="仿宋_GB2312"/>
          <w:color w:val="000000" w:themeColor="text1"/>
          <w:kern w:val="22"/>
          <w:sz w:val="32"/>
          <w:szCs w:val="32"/>
          <w14:textFill>
            <w14:solidFill>
              <w14:schemeClr w14:val="tx1"/>
            </w14:solidFill>
          </w14:textFill>
        </w:rPr>
        <w:t>县</w:t>
      </w:r>
      <w:r>
        <w:rPr>
          <w:rFonts w:hint="eastAsia" w:ascii="仿宋_GB2312" w:hAnsi="仿宋_GB2312" w:eastAsia="仿宋_GB2312" w:cs="仿宋_GB2312"/>
          <w:color w:val="000000" w:themeColor="text1"/>
          <w:kern w:val="22"/>
          <w:sz w:val="32"/>
          <w:szCs w:val="32"/>
          <w:lang w:eastAsia="zh-CN"/>
          <w14:textFill>
            <w14:solidFill>
              <w14:schemeClr w14:val="tx1"/>
            </w14:solidFill>
          </w14:textFill>
        </w:rPr>
        <w:t>司法局</w:t>
      </w:r>
      <w:r>
        <w:rPr>
          <w:rFonts w:hint="eastAsia" w:ascii="仿宋_GB2312" w:hAnsi="仿宋_GB2312" w:eastAsia="仿宋_GB2312" w:cs="仿宋_GB2312"/>
          <w:color w:val="000000" w:themeColor="text1"/>
          <w:kern w:val="22"/>
          <w:sz w:val="32"/>
          <w:szCs w:val="32"/>
          <w14:textFill>
            <w14:solidFill>
              <w14:schemeClr w14:val="tx1"/>
            </w14:solidFill>
          </w14:textFill>
        </w:rPr>
        <w:t>办公室作为全</w:t>
      </w:r>
      <w:r>
        <w:rPr>
          <w:rFonts w:hint="eastAsia" w:ascii="仿宋_GB2312" w:hAnsi="仿宋_GB2312" w:eastAsia="仿宋_GB2312" w:cs="仿宋_GB2312"/>
          <w:color w:val="000000" w:themeColor="text1"/>
          <w:kern w:val="22"/>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kern w:val="22"/>
          <w:sz w:val="32"/>
          <w:szCs w:val="32"/>
          <w14:textFill>
            <w14:solidFill>
              <w14:schemeClr w14:val="tx1"/>
            </w14:solidFill>
          </w14:textFill>
        </w:rPr>
        <w:t>政府信息公开</w:t>
      </w:r>
      <w:r>
        <w:rPr>
          <w:rFonts w:hint="eastAsia" w:ascii="仿宋_GB2312" w:hAnsi="仿宋_GB2312" w:eastAsia="仿宋_GB2312" w:cs="仿宋_GB2312"/>
          <w:color w:val="000000" w:themeColor="text1"/>
          <w:kern w:val="22"/>
          <w:sz w:val="32"/>
          <w:szCs w:val="32"/>
          <w:lang w:eastAsia="zh-CN"/>
          <w14:textFill>
            <w14:solidFill>
              <w14:schemeClr w14:val="tx1"/>
            </w14:solidFill>
          </w14:textFill>
        </w:rPr>
        <w:t>牵头</w:t>
      </w:r>
      <w:r>
        <w:rPr>
          <w:rFonts w:hint="eastAsia" w:ascii="仿宋_GB2312" w:hAnsi="仿宋_GB2312" w:eastAsia="仿宋_GB2312" w:cs="仿宋_GB2312"/>
          <w:color w:val="000000" w:themeColor="text1"/>
          <w:kern w:val="22"/>
          <w:sz w:val="32"/>
          <w:szCs w:val="32"/>
          <w14:textFill>
            <w14:solidFill>
              <w14:schemeClr w14:val="tx1"/>
            </w14:solidFill>
          </w14:textFill>
        </w:rPr>
        <w:t>部门，统筹负责全</w:t>
      </w:r>
      <w:r>
        <w:rPr>
          <w:rFonts w:hint="eastAsia" w:ascii="仿宋_GB2312" w:hAnsi="仿宋_GB2312" w:eastAsia="仿宋_GB2312" w:cs="仿宋_GB2312"/>
          <w:color w:val="000000" w:themeColor="text1"/>
          <w:kern w:val="22"/>
          <w:sz w:val="32"/>
          <w:szCs w:val="32"/>
          <w:lang w:eastAsia="zh-CN"/>
          <w14:textFill>
            <w14:solidFill>
              <w14:schemeClr w14:val="tx1"/>
            </w14:solidFill>
          </w14:textFill>
        </w:rPr>
        <w:t>局</w:t>
      </w:r>
      <w:r>
        <w:rPr>
          <w:rFonts w:hint="eastAsia" w:ascii="仿宋_GB2312" w:hAnsi="仿宋_GB2312" w:eastAsia="仿宋_GB2312" w:cs="仿宋_GB2312"/>
          <w:color w:val="000000" w:themeColor="text1"/>
          <w:kern w:val="22"/>
          <w:sz w:val="32"/>
          <w:szCs w:val="32"/>
          <w14:textFill>
            <w14:solidFill>
              <w14:schemeClr w14:val="tx1"/>
            </w14:solidFill>
          </w14:textFill>
        </w:rPr>
        <w:t>政府信息公开组织协调、指导推进、监督检查等工作。县</w:t>
      </w:r>
      <w:r>
        <w:rPr>
          <w:rFonts w:hint="eastAsia" w:ascii="仿宋_GB2312" w:hAnsi="仿宋_GB2312" w:eastAsia="仿宋_GB2312" w:cs="仿宋_GB2312"/>
          <w:color w:val="000000" w:themeColor="text1"/>
          <w:kern w:val="22"/>
          <w:sz w:val="32"/>
          <w:szCs w:val="32"/>
          <w:lang w:eastAsia="zh-CN"/>
          <w14:textFill>
            <w14:solidFill>
              <w14:schemeClr w14:val="tx1"/>
            </w14:solidFill>
          </w14:textFill>
        </w:rPr>
        <w:t>司法局</w:t>
      </w:r>
      <w:r>
        <w:rPr>
          <w:rFonts w:hint="eastAsia" w:ascii="仿宋_GB2312" w:hAnsi="仿宋_GB2312" w:eastAsia="仿宋_GB2312" w:cs="仿宋_GB2312"/>
          <w:color w:val="000000" w:themeColor="text1"/>
          <w:kern w:val="22"/>
          <w:sz w:val="32"/>
          <w:szCs w:val="32"/>
          <w14:textFill>
            <w14:solidFill>
              <w14:schemeClr w14:val="tx1"/>
            </w14:solidFill>
          </w14:textFill>
        </w:rPr>
        <w:t>办公室作为政府信息公开工作具体科室，</w:t>
      </w:r>
      <w:r>
        <w:rPr>
          <w:rFonts w:hint="eastAsia" w:ascii="仿宋_GB2312" w:hAnsi="仿宋_GB2312" w:eastAsia="仿宋_GB2312" w:cs="仿宋_GB2312"/>
          <w:color w:val="000000" w:themeColor="text1"/>
          <w:kern w:val="2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22"/>
          <w:sz w:val="32"/>
          <w:szCs w:val="32"/>
          <w14:textFill>
            <w14:solidFill>
              <w14:schemeClr w14:val="tx1"/>
            </w14:solidFill>
          </w14:textFill>
        </w:rPr>
        <w:t>人负责政务公开工作。</w:t>
      </w:r>
    </w:p>
    <w:p>
      <w:pPr>
        <w:spacing w:line="540" w:lineRule="exact"/>
        <w:ind w:firstLine="648"/>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六、存在的不足及改进措施</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我县政府信息公开工作虽然取得了一定的成效，但与建设法治政府的新要求、人民群众的新期待，还存在一些差距。主要表现为：信息公开不够及时主动；政策解读形式单一、解读质量不高；政府信息公开目录不够规范，不便于公众查询信息等。</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2018年，我县将重点抓好以下几方面工作：一是进一步丰富政府信息公开内容，扩大公开范围，拓展公开渠道，把与人民群众切身利益密切相关的政府信息作为政府信息公开的主要内容，多运用数字化、图标图解等方式，增强政策解读的易读性;二是加大学习和宣传，深化对政府信息公开工作的了解和认识，调动大家参与政府信息公开工作的积极性和主动性，增强政府信息公开工作的活力;三是围绕我局普法宣传、法律服务、法律保障等职能特点，充分利用网站、微信公众号等媒体，努力提高政府信息公开服务水平，推动司法行政事业实现新跨越。</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附件：2017年度政府信息公开工作情况统计表</w:t>
      </w:r>
    </w:p>
    <w:p>
      <w:pPr>
        <w:pStyle w:val="7"/>
        <w:keepNext w:val="0"/>
        <w:keepLines w:val="0"/>
        <w:widowControl/>
        <w:suppressLineNumbers w:val="0"/>
        <w:spacing w:before="75" w:beforeAutospacing="0" w:after="75" w:afterAutospacing="0"/>
        <w:ind w:left="0" w:right="0" w:firstLine="420"/>
        <w:jc w:val="left"/>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p>
    <w:p>
      <w:pPr>
        <w:ind w:left="6090" w:leftChars="2900" w:firstLine="320" w:firstLineChars="1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高青县司法局                                                                                                                                     2018年3月20日</w:t>
      </w:r>
    </w:p>
    <w:p>
      <w:pPr>
        <w:rPr>
          <w:rFonts w:hint="eastAsia" w:ascii="黑体" w:hAnsi="宋体" w:eastAsia="黑体"/>
          <w:szCs w:val="32"/>
        </w:rPr>
      </w:pPr>
    </w:p>
    <w:p>
      <w:pPr>
        <w:rPr>
          <w:rFonts w:hint="eastAsia" w:ascii="黑体" w:hAnsi="宋体" w:eastAsia="黑体"/>
          <w:szCs w:val="32"/>
        </w:rPr>
      </w:pPr>
    </w:p>
    <w:p>
      <w:pPr>
        <w:rPr>
          <w:rFonts w:hint="eastAsia" w:ascii="黑体" w:hAnsi="宋体" w:eastAsia="黑体"/>
          <w:szCs w:val="32"/>
        </w:rPr>
      </w:pPr>
    </w:p>
    <w:p>
      <w:pPr>
        <w:rPr>
          <w:rFonts w:hint="eastAsia" w:ascii="黑体" w:hAnsi="宋体" w:eastAsia="黑体"/>
          <w:szCs w:val="32"/>
        </w:rPr>
      </w:pPr>
    </w:p>
    <w:p>
      <w:pPr>
        <w:rPr>
          <w:rFonts w:hint="eastAsia" w:ascii="黑体" w:hAnsi="宋体" w:eastAsia="黑体"/>
          <w:sz w:val="32"/>
          <w:szCs w:val="32"/>
        </w:rPr>
      </w:pPr>
      <w:bookmarkStart w:id="0" w:name="_GoBack"/>
      <w:bookmarkEnd w:id="0"/>
      <w:r>
        <w:rPr>
          <w:rFonts w:hint="eastAsia" w:ascii="黑体" w:hAnsi="宋体" w:eastAsia="黑体"/>
          <w:sz w:val="32"/>
          <w:szCs w:val="32"/>
        </w:rPr>
        <w:t>附件1</w:t>
      </w:r>
    </w:p>
    <w:p>
      <w:pPr>
        <w:jc w:val="center"/>
        <w:rPr>
          <w:rFonts w:hint="eastAsia" w:ascii="宋体" w:hAnsi="宋体"/>
          <w:b/>
        </w:rPr>
      </w:pPr>
      <w:r>
        <w:rPr>
          <w:rFonts w:hint="eastAsia" w:ascii="宋体" w:hAnsi="宋体"/>
          <w:b/>
          <w:sz w:val="36"/>
          <w:szCs w:val="36"/>
        </w:rPr>
        <w:t>2017年度政府信息公开工作情况统计表</w:t>
      </w:r>
    </w:p>
    <w:p>
      <w:pPr>
        <w:jc w:val="center"/>
        <w:rPr>
          <w:rFonts w:hint="eastAsia" w:ascii="宋体" w:hAnsi="宋体"/>
          <w:b/>
          <w:sz w:val="28"/>
          <w:szCs w:val="28"/>
        </w:rPr>
      </w:pPr>
      <w:r>
        <w:rPr>
          <w:rFonts w:hint="eastAsia" w:ascii="宋体" w:hAnsi="宋体"/>
          <w:b/>
          <w:sz w:val="28"/>
          <w:szCs w:val="28"/>
        </w:rPr>
        <w:t>（高青县</w:t>
      </w:r>
      <w:r>
        <w:rPr>
          <w:rFonts w:hint="eastAsia" w:ascii="宋体" w:hAnsi="宋体"/>
          <w:b/>
          <w:sz w:val="28"/>
          <w:szCs w:val="28"/>
          <w:lang w:eastAsia="zh-CN"/>
        </w:rPr>
        <w:t>司法局</w:t>
      </w:r>
      <w:r>
        <w:rPr>
          <w:rFonts w:hint="eastAsia" w:ascii="宋体" w:hAnsi="宋体"/>
          <w:b/>
          <w:sz w:val="28"/>
          <w:szCs w:val="28"/>
        </w:rPr>
        <w:t>）</w:t>
      </w:r>
    </w:p>
    <w:tbl>
      <w:tblPr>
        <w:tblStyle w:val="8"/>
        <w:tblW w:w="9458"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02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r>
              <w:rPr>
                <w:rStyle w:val="10"/>
                <w:rFonts w:hint="eastAsia"/>
                <w:color w:val="000000"/>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Style w:val="10"/>
                <w:rFonts w:hint="eastAsia" w:ascii="宋体" w:hAnsi="宋体"/>
                <w:color w:val="000000"/>
                <w:sz w:val="20"/>
                <w:szCs w:val="20"/>
              </w:rPr>
              <w:t>单位</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Style w:val="10"/>
                <w:rFonts w:hint="eastAsia" w:ascii="宋体" w:hAnsi="宋体"/>
                <w:color w:val="000000"/>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（一）主动公开政府信息数</w:t>
            </w:r>
            <w:r>
              <w:rPr>
                <w:rFonts w:hint="eastAsia" w:ascii="宋体" w:hAnsi="宋体"/>
                <w:color w:val="000000"/>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40" w:firstLineChars="100"/>
              <w:jc w:val="center"/>
              <w:rPr>
                <w:rFonts w:ascii="宋体" w:hAnsi="宋体" w:cs="宋体"/>
                <w:color w:val="000000"/>
                <w:sz w:val="24"/>
              </w:rPr>
            </w:pPr>
            <w:r>
              <w:rPr>
                <w:rFonts w:hint="eastAsia" w:ascii="宋体" w:hAnsi="宋体" w:cs="宋体"/>
                <w:color w:val="000000"/>
                <w:sz w:val="24"/>
              </w:rPr>
              <w:t>357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eastAsia="宋体" w:cs="宋体"/>
                <w:color w:val="000000"/>
                <w:sz w:val="24"/>
                <w:lang w:val="en-US" w:eastAsia="zh-CN"/>
              </w:rPr>
            </w:pPr>
            <w:r>
              <w:rPr>
                <w:rFonts w:hint="eastAsia" w:ascii="宋体" w:hAnsi="宋体"/>
                <w:color w:val="000000"/>
                <w:sz w:val="20"/>
                <w:szCs w:val="20"/>
                <w:lang w:val="en-US" w:eastAsia="zh-CN"/>
              </w:rPr>
              <w:t>357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eastAsia="宋体" w:cs="宋体"/>
                <w:color w:val="000000"/>
                <w:sz w:val="24"/>
                <w:lang w:val="en-US" w:eastAsia="zh-CN"/>
              </w:rPr>
            </w:pPr>
            <w:r>
              <w:rPr>
                <w:rFonts w:hint="eastAsia" w:ascii="宋体" w:hAnsi="宋体"/>
                <w:color w:val="000000"/>
                <w:sz w:val="20"/>
                <w:szCs w:val="20"/>
                <w:lang w:val="en-US" w:eastAsia="zh-CN"/>
              </w:rPr>
              <w:t>240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eastAsia="宋体" w:cs="宋体"/>
                <w:color w:val="000000"/>
                <w:sz w:val="24"/>
                <w:lang w:val="en-US" w:eastAsia="zh-CN"/>
              </w:rPr>
            </w:pPr>
            <w:r>
              <w:rPr>
                <w:rFonts w:hint="eastAsia" w:ascii="宋体" w:hAnsi="宋体"/>
                <w:color w:val="000000"/>
                <w:sz w:val="20"/>
                <w:szCs w:val="20"/>
                <w:lang w:val="en-US" w:eastAsia="zh-CN"/>
              </w:rPr>
              <w:t>50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b/>
                <w:color w:val="000000"/>
                <w:sz w:val="24"/>
              </w:rPr>
            </w:pPr>
            <w:r>
              <w:rPr>
                <w:rFonts w:hint="eastAsia" w:ascii="黑体" w:hAnsi="宋体" w:eastAsia="黑体"/>
                <w:color w:val="000000"/>
                <w:sz w:val="20"/>
                <w:szCs w:val="20"/>
              </w:rPr>
              <w:t>二、回应解读情况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jc w:val="cente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400" w:firstLineChars="200"/>
              <w:rPr>
                <w:color w:val="000000"/>
                <w:highlight w:val="yellow"/>
              </w:rPr>
            </w:pPr>
            <w:r>
              <w:rPr>
                <w:rFonts w:cs="Times New Roman"/>
                <w:color w:val="000000"/>
                <w:kern w:val="2"/>
                <w:sz w:val="20"/>
                <w:szCs w:val="20"/>
              </w:rPr>
              <w:t>（一）回应公众关注热点或重大舆情数</w:t>
            </w:r>
            <w:r>
              <w:rPr>
                <w:rFonts w:hint="eastAsia" w:cs="Times New Roman"/>
                <w:color w:val="000000"/>
                <w:kern w:val="2"/>
                <w:sz w:val="20"/>
                <w:szCs w:val="20"/>
              </w:rPr>
              <w:t>（不同方式回应同一热点或舆情计1次）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篇</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jc w:val="cente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hint="eastAsia" w:ascii="宋体" w:hAnsi="宋体"/>
                <w:color w:val="000000"/>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384"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hint="eastAsia" w:ascii="黑体" w:hAnsi="宋体" w:eastAsia="黑体"/>
                <w:color w:val="000000"/>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黑体" w:hAnsi="宋体" w:eastAsia="黑体"/>
                <w:color w:val="000000"/>
                <w:sz w:val="20"/>
                <w:szCs w:val="20"/>
              </w:rPr>
            </w:pPr>
            <w:r>
              <w:rPr>
                <w:rFonts w:hint="eastAsia" w:ascii="黑体" w:hAnsi="宋体" w:eastAsia="黑体"/>
                <w:color w:val="000000"/>
                <w:sz w:val="20"/>
                <w:szCs w:val="20"/>
              </w:rPr>
              <w:t>七、向图书馆、档案馆等查阅场所报送信息数</w:t>
            </w:r>
          </w:p>
          <w:p>
            <w:pPr>
              <w:spacing w:line="420" w:lineRule="atLeast"/>
              <w:rPr>
                <w:rFonts w:hint="eastAsia" w:ascii="宋体" w:hAnsi="宋体"/>
                <w:color w:val="000000"/>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ascii="宋体" w:hAnsi="宋体"/>
                <w:color w:val="000000"/>
                <w:sz w:val="20"/>
                <w:szCs w:val="20"/>
              </w:rPr>
              <w:t>　　（一）</w:t>
            </w:r>
            <w:r>
              <w:rPr>
                <w:rFonts w:hint="eastAsia" w:ascii="宋体" w:hAnsi="宋体"/>
                <w:color w:val="000000"/>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ascii="宋体" w:hAnsi="宋体"/>
                <w:color w:val="000000"/>
                <w:sz w:val="20"/>
                <w:szCs w:val="20"/>
              </w:rPr>
              <w:t>　　（二）</w:t>
            </w:r>
            <w:r>
              <w:rPr>
                <w:rFonts w:hint="eastAsia" w:ascii="宋体" w:hAnsi="宋体"/>
                <w:color w:val="000000"/>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（一）</w:t>
            </w:r>
            <w:r>
              <w:rPr>
                <w:rFonts w:hint="eastAsia" w:ascii="宋体" w:hAnsi="宋体"/>
                <w:color w:val="000000"/>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000000"/>
                <w:sz w:val="20"/>
                <w:szCs w:val="20"/>
              </w:rPr>
            </w:pPr>
          </w:p>
        </w:tc>
        <w:tc>
          <w:tcPr>
            <w:tcW w:w="1023"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ind w:firstLine="1000" w:firstLineChars="500"/>
              <w:jc w:val="center"/>
              <w:rPr>
                <w:rFonts w:ascii="黑体" w:hAnsi="宋体" w:eastAsia="黑体"/>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rPr>
            </w:pPr>
            <w:r>
              <w:rPr>
                <w:rFonts w:hint="eastAsia" w:ascii="黑体" w:hAnsi="宋体" w:eastAsia="黑体"/>
                <w:color w:val="000000"/>
                <w:sz w:val="20"/>
                <w:szCs w:val="20"/>
              </w:rPr>
              <w:t>期</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000000"/>
                <w:sz w:val="20"/>
                <w:szCs w:val="20"/>
              </w:rPr>
            </w:pPr>
            <w:r>
              <w:rPr>
                <w:rFonts w:hint="eastAsia" w:ascii="宋体" w:hAnsi="宋体"/>
                <w:color w:val="000000"/>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rPr>
            </w:pPr>
            <w:r>
              <w:rPr>
                <w:rFonts w:hint="eastAsia" w:ascii="黑体" w:hAnsi="宋体" w:eastAsia="黑体"/>
                <w:color w:val="000000"/>
                <w:sz w:val="20"/>
                <w:szCs w:val="20"/>
              </w:rPr>
              <w:t>份</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ind w:firstLine="400" w:firstLineChars="200"/>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olor w:val="000000"/>
                <w:sz w:val="20"/>
                <w:szCs w:val="20"/>
              </w:rPr>
            </w:pPr>
            <w:r>
              <w:rPr>
                <w:rFonts w:hint="eastAsia" w:ascii="黑体" w:hAnsi="宋体" w:eastAsia="黑体"/>
                <w:color w:val="000000"/>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个</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二</w:t>
            </w:r>
            <w:r>
              <w:rPr>
                <w:rFonts w:ascii="宋体" w:hAnsi="宋体"/>
                <w:color w:val="000000"/>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三</w:t>
            </w:r>
            <w:r>
              <w:rPr>
                <w:rFonts w:ascii="宋体" w:hAnsi="宋体"/>
                <w:color w:val="000000"/>
                <w:sz w:val="20"/>
                <w:szCs w:val="20"/>
              </w:rPr>
              <w:t>）政府信息公开专项经费（不包括政府公报编辑管理及政府网站建设</w:t>
            </w:r>
            <w:r>
              <w:rPr>
                <w:rFonts w:hint="eastAsia" w:ascii="宋体" w:hAnsi="宋体"/>
                <w:color w:val="000000"/>
                <w:sz w:val="20"/>
                <w:szCs w:val="20"/>
              </w:rPr>
              <w:t>）</w:t>
            </w:r>
            <w:r>
              <w:rPr>
                <w:rFonts w:ascii="宋体" w:hAnsi="宋体"/>
                <w:color w:val="000000"/>
                <w:sz w:val="20"/>
                <w:szCs w:val="20"/>
              </w:rPr>
              <w:br w:type="textWrapping"/>
            </w:r>
            <w:r>
              <w:rPr>
                <w:rFonts w:ascii="宋体" w:hAnsi="宋体"/>
                <w:color w:val="000000"/>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万元</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bl>
    <w:p>
      <w:pPr>
        <w:rPr>
          <w:rFonts w:ascii="黑体" w:hAnsi="宋体" w:eastAsia="黑体"/>
          <w:szCs w:val="32"/>
        </w:rPr>
      </w:pPr>
    </w:p>
    <w:p>
      <w:pPr>
        <w:widowControl/>
        <w:jc w:val="left"/>
        <w:rPr>
          <w:rFonts w:hint="eastAsia" w:ascii="黑体" w:hAnsi="宋体" w:eastAsia="黑体"/>
          <w:szCs w:val="32"/>
        </w:rPr>
      </w:pPr>
    </w:p>
    <w:p>
      <w:pPr>
        <w:widowControl/>
        <w:jc w:val="left"/>
      </w:pPr>
      <w:r>
        <w:t xml:space="preserve"> </w:t>
      </w:r>
    </w:p>
    <w:p>
      <w:pPr>
        <w:spacing w:line="540" w:lineRule="exact"/>
        <w:ind w:right="160" w:firstLine="640" w:firstLineChars="200"/>
        <w:jc w:val="left"/>
        <w:rPr>
          <w:rFonts w:hint="eastAsia" w:ascii="仿宋_GB2312" w:hAnsi="Times New Roman" w:eastAsia="仿宋_GB2312"/>
          <w:kern w:val="0"/>
          <w:sz w:val="32"/>
          <w:szCs w:val="32"/>
        </w:rPr>
      </w:pPr>
    </w:p>
    <w:p>
      <w:pPr>
        <w:spacing w:line="540" w:lineRule="exact"/>
        <w:ind w:right="160" w:firstLine="640" w:firstLineChars="200"/>
        <w:jc w:val="left"/>
        <w:rPr>
          <w:rFonts w:hint="eastAsia" w:ascii="仿宋_GB2312" w:hAnsi="Times New Roman" w:eastAsia="仿宋_GB2312"/>
          <w:kern w:val="0"/>
          <w:sz w:val="32"/>
          <w:szCs w:val="32"/>
        </w:rPr>
      </w:pPr>
    </w:p>
    <w:p>
      <w:pPr>
        <w:spacing w:line="540" w:lineRule="exact"/>
        <w:ind w:right="160" w:firstLine="640" w:firstLineChars="200"/>
        <w:jc w:val="left"/>
        <w:rPr>
          <w:rFonts w:ascii="仿宋_GB2312" w:hAnsi="Times New Roman" w:eastAsia="仿宋_GB2312"/>
          <w:kern w:val="0"/>
          <w:sz w:val="32"/>
          <w:szCs w:val="32"/>
        </w:rPr>
      </w:pPr>
    </w:p>
    <w:sectPr>
      <w:footerReference r:id="rId3" w:type="default"/>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E34"/>
    <w:rsid w:val="000000EA"/>
    <w:rsid w:val="00002DCF"/>
    <w:rsid w:val="0001761C"/>
    <w:rsid w:val="00030987"/>
    <w:rsid w:val="00034201"/>
    <w:rsid w:val="000364D1"/>
    <w:rsid w:val="000378C6"/>
    <w:rsid w:val="00041EE7"/>
    <w:rsid w:val="00045B3C"/>
    <w:rsid w:val="000511D6"/>
    <w:rsid w:val="000537BF"/>
    <w:rsid w:val="00057599"/>
    <w:rsid w:val="00060DC3"/>
    <w:rsid w:val="00066860"/>
    <w:rsid w:val="00085C19"/>
    <w:rsid w:val="00086543"/>
    <w:rsid w:val="00092D07"/>
    <w:rsid w:val="0009560C"/>
    <w:rsid w:val="000B692D"/>
    <w:rsid w:val="000C1080"/>
    <w:rsid w:val="000C74F7"/>
    <w:rsid w:val="000E594E"/>
    <w:rsid w:val="000E6E84"/>
    <w:rsid w:val="00116297"/>
    <w:rsid w:val="00116A31"/>
    <w:rsid w:val="00123040"/>
    <w:rsid w:val="001244DA"/>
    <w:rsid w:val="00132600"/>
    <w:rsid w:val="00143BBA"/>
    <w:rsid w:val="00145D4A"/>
    <w:rsid w:val="00152C78"/>
    <w:rsid w:val="00170F9D"/>
    <w:rsid w:val="001752E7"/>
    <w:rsid w:val="001761FC"/>
    <w:rsid w:val="0019453E"/>
    <w:rsid w:val="00194854"/>
    <w:rsid w:val="001953C6"/>
    <w:rsid w:val="001B0104"/>
    <w:rsid w:val="001C2E5E"/>
    <w:rsid w:val="001C381E"/>
    <w:rsid w:val="001C57C2"/>
    <w:rsid w:val="001D133A"/>
    <w:rsid w:val="001D5CB7"/>
    <w:rsid w:val="001E70CB"/>
    <w:rsid w:val="001E76B5"/>
    <w:rsid w:val="001F0E29"/>
    <w:rsid w:val="0020710E"/>
    <w:rsid w:val="00246AC2"/>
    <w:rsid w:val="00261196"/>
    <w:rsid w:val="00277BF4"/>
    <w:rsid w:val="00285C01"/>
    <w:rsid w:val="00285F45"/>
    <w:rsid w:val="002A3348"/>
    <w:rsid w:val="002A5410"/>
    <w:rsid w:val="002A684D"/>
    <w:rsid w:val="002B47A6"/>
    <w:rsid w:val="002C396D"/>
    <w:rsid w:val="002E66D3"/>
    <w:rsid w:val="002F6167"/>
    <w:rsid w:val="00310D8C"/>
    <w:rsid w:val="00320B3A"/>
    <w:rsid w:val="00326C73"/>
    <w:rsid w:val="003300CC"/>
    <w:rsid w:val="00340EAB"/>
    <w:rsid w:val="00345FC5"/>
    <w:rsid w:val="00351598"/>
    <w:rsid w:val="003920FB"/>
    <w:rsid w:val="003A2AFB"/>
    <w:rsid w:val="003A5889"/>
    <w:rsid w:val="003A7F4A"/>
    <w:rsid w:val="003B758A"/>
    <w:rsid w:val="003C0711"/>
    <w:rsid w:val="003C64BC"/>
    <w:rsid w:val="003E006D"/>
    <w:rsid w:val="003E0193"/>
    <w:rsid w:val="003E5326"/>
    <w:rsid w:val="003F0C17"/>
    <w:rsid w:val="003F125C"/>
    <w:rsid w:val="003F2F4C"/>
    <w:rsid w:val="003F4540"/>
    <w:rsid w:val="003F733F"/>
    <w:rsid w:val="0040462C"/>
    <w:rsid w:val="00411E34"/>
    <w:rsid w:val="00451CA4"/>
    <w:rsid w:val="00464031"/>
    <w:rsid w:val="00467873"/>
    <w:rsid w:val="00484FDB"/>
    <w:rsid w:val="004861D4"/>
    <w:rsid w:val="004877A1"/>
    <w:rsid w:val="00491265"/>
    <w:rsid w:val="00497273"/>
    <w:rsid w:val="004A05B0"/>
    <w:rsid w:val="004A1A7E"/>
    <w:rsid w:val="004A36B9"/>
    <w:rsid w:val="004B180B"/>
    <w:rsid w:val="004B5804"/>
    <w:rsid w:val="004C4687"/>
    <w:rsid w:val="004D0758"/>
    <w:rsid w:val="004D0DF7"/>
    <w:rsid w:val="004D2803"/>
    <w:rsid w:val="004D62ED"/>
    <w:rsid w:val="004F435C"/>
    <w:rsid w:val="004F6D08"/>
    <w:rsid w:val="005053AD"/>
    <w:rsid w:val="0051385C"/>
    <w:rsid w:val="00523E65"/>
    <w:rsid w:val="00525398"/>
    <w:rsid w:val="00527D55"/>
    <w:rsid w:val="0053263F"/>
    <w:rsid w:val="0054196B"/>
    <w:rsid w:val="00545BA3"/>
    <w:rsid w:val="005A2E0C"/>
    <w:rsid w:val="005C0C10"/>
    <w:rsid w:val="005D2406"/>
    <w:rsid w:val="005F1DAF"/>
    <w:rsid w:val="00617C00"/>
    <w:rsid w:val="006219ED"/>
    <w:rsid w:val="006261E6"/>
    <w:rsid w:val="00633CB2"/>
    <w:rsid w:val="00644565"/>
    <w:rsid w:val="00654E06"/>
    <w:rsid w:val="00666572"/>
    <w:rsid w:val="00671E48"/>
    <w:rsid w:val="006902D9"/>
    <w:rsid w:val="00694918"/>
    <w:rsid w:val="006B13D9"/>
    <w:rsid w:val="006C7D31"/>
    <w:rsid w:val="006D095C"/>
    <w:rsid w:val="006D667E"/>
    <w:rsid w:val="00706493"/>
    <w:rsid w:val="00716325"/>
    <w:rsid w:val="0074216E"/>
    <w:rsid w:val="007421A6"/>
    <w:rsid w:val="007504FC"/>
    <w:rsid w:val="00763A91"/>
    <w:rsid w:val="00764FD6"/>
    <w:rsid w:val="007654AB"/>
    <w:rsid w:val="00775FB9"/>
    <w:rsid w:val="00777DB1"/>
    <w:rsid w:val="00797218"/>
    <w:rsid w:val="007A3D0F"/>
    <w:rsid w:val="007A420A"/>
    <w:rsid w:val="007B49E4"/>
    <w:rsid w:val="007C670E"/>
    <w:rsid w:val="007D54D1"/>
    <w:rsid w:val="007D6345"/>
    <w:rsid w:val="007E188B"/>
    <w:rsid w:val="007F1012"/>
    <w:rsid w:val="007F4226"/>
    <w:rsid w:val="007F58B5"/>
    <w:rsid w:val="007F7F19"/>
    <w:rsid w:val="00804D1F"/>
    <w:rsid w:val="008213BF"/>
    <w:rsid w:val="00821EBB"/>
    <w:rsid w:val="00827FFA"/>
    <w:rsid w:val="0083361D"/>
    <w:rsid w:val="0084294E"/>
    <w:rsid w:val="00845967"/>
    <w:rsid w:val="0085079E"/>
    <w:rsid w:val="00863627"/>
    <w:rsid w:val="0088460D"/>
    <w:rsid w:val="008908A8"/>
    <w:rsid w:val="008934F6"/>
    <w:rsid w:val="008A1523"/>
    <w:rsid w:val="008A1FF2"/>
    <w:rsid w:val="008C2DB1"/>
    <w:rsid w:val="008C4A06"/>
    <w:rsid w:val="008E5726"/>
    <w:rsid w:val="008E78DC"/>
    <w:rsid w:val="008F2FBD"/>
    <w:rsid w:val="008F7395"/>
    <w:rsid w:val="00906475"/>
    <w:rsid w:val="009120BF"/>
    <w:rsid w:val="0092232A"/>
    <w:rsid w:val="00937B03"/>
    <w:rsid w:val="009532C4"/>
    <w:rsid w:val="00956891"/>
    <w:rsid w:val="009831D3"/>
    <w:rsid w:val="009840BD"/>
    <w:rsid w:val="0099567F"/>
    <w:rsid w:val="009A35C3"/>
    <w:rsid w:val="009A5EBA"/>
    <w:rsid w:val="009B5062"/>
    <w:rsid w:val="009C0440"/>
    <w:rsid w:val="009E4AB6"/>
    <w:rsid w:val="009F2682"/>
    <w:rsid w:val="009F2E90"/>
    <w:rsid w:val="00A01FE2"/>
    <w:rsid w:val="00A17AAE"/>
    <w:rsid w:val="00A42055"/>
    <w:rsid w:val="00A4303E"/>
    <w:rsid w:val="00A635B9"/>
    <w:rsid w:val="00A65AE4"/>
    <w:rsid w:val="00A67831"/>
    <w:rsid w:val="00A853F1"/>
    <w:rsid w:val="00A85A88"/>
    <w:rsid w:val="00A91AF8"/>
    <w:rsid w:val="00A91D59"/>
    <w:rsid w:val="00A921E0"/>
    <w:rsid w:val="00A93522"/>
    <w:rsid w:val="00A96714"/>
    <w:rsid w:val="00AA19B2"/>
    <w:rsid w:val="00AA68D1"/>
    <w:rsid w:val="00AC783F"/>
    <w:rsid w:val="00AD182F"/>
    <w:rsid w:val="00AD379A"/>
    <w:rsid w:val="00AD54A9"/>
    <w:rsid w:val="00AD6543"/>
    <w:rsid w:val="00AD6BCD"/>
    <w:rsid w:val="00AD76D8"/>
    <w:rsid w:val="00AE010F"/>
    <w:rsid w:val="00AE0545"/>
    <w:rsid w:val="00AF0FF1"/>
    <w:rsid w:val="00AF3A05"/>
    <w:rsid w:val="00B02501"/>
    <w:rsid w:val="00B025FB"/>
    <w:rsid w:val="00B0742B"/>
    <w:rsid w:val="00B34F9D"/>
    <w:rsid w:val="00B43042"/>
    <w:rsid w:val="00B46E2B"/>
    <w:rsid w:val="00B5405C"/>
    <w:rsid w:val="00B571E7"/>
    <w:rsid w:val="00B60A0C"/>
    <w:rsid w:val="00B6616E"/>
    <w:rsid w:val="00B86D0C"/>
    <w:rsid w:val="00B90FB0"/>
    <w:rsid w:val="00B911BF"/>
    <w:rsid w:val="00B92EE8"/>
    <w:rsid w:val="00B94CE1"/>
    <w:rsid w:val="00B95991"/>
    <w:rsid w:val="00B96DB8"/>
    <w:rsid w:val="00BA4E15"/>
    <w:rsid w:val="00BC5174"/>
    <w:rsid w:val="00BC57CB"/>
    <w:rsid w:val="00BE37C6"/>
    <w:rsid w:val="00BF48E2"/>
    <w:rsid w:val="00C10648"/>
    <w:rsid w:val="00C178DA"/>
    <w:rsid w:val="00C37EDA"/>
    <w:rsid w:val="00C53D16"/>
    <w:rsid w:val="00C75D0E"/>
    <w:rsid w:val="00CB311F"/>
    <w:rsid w:val="00CC0157"/>
    <w:rsid w:val="00CD77B9"/>
    <w:rsid w:val="00CF1312"/>
    <w:rsid w:val="00CF4319"/>
    <w:rsid w:val="00CF4B6A"/>
    <w:rsid w:val="00CF5FCF"/>
    <w:rsid w:val="00CF6FA1"/>
    <w:rsid w:val="00CF78F4"/>
    <w:rsid w:val="00CF7B25"/>
    <w:rsid w:val="00D05772"/>
    <w:rsid w:val="00D05B04"/>
    <w:rsid w:val="00D064C5"/>
    <w:rsid w:val="00D23EE1"/>
    <w:rsid w:val="00D24114"/>
    <w:rsid w:val="00D40B64"/>
    <w:rsid w:val="00D40F19"/>
    <w:rsid w:val="00D41385"/>
    <w:rsid w:val="00D43F24"/>
    <w:rsid w:val="00D52DF1"/>
    <w:rsid w:val="00D54303"/>
    <w:rsid w:val="00D64989"/>
    <w:rsid w:val="00D76BA6"/>
    <w:rsid w:val="00D81113"/>
    <w:rsid w:val="00D9678A"/>
    <w:rsid w:val="00DA1C80"/>
    <w:rsid w:val="00DA59CE"/>
    <w:rsid w:val="00DB03B2"/>
    <w:rsid w:val="00DB4B65"/>
    <w:rsid w:val="00DB5360"/>
    <w:rsid w:val="00DC0058"/>
    <w:rsid w:val="00DC0BC1"/>
    <w:rsid w:val="00DC453E"/>
    <w:rsid w:val="00DD0161"/>
    <w:rsid w:val="00DD663A"/>
    <w:rsid w:val="00DE2878"/>
    <w:rsid w:val="00DE7F0F"/>
    <w:rsid w:val="00DF156D"/>
    <w:rsid w:val="00DF6987"/>
    <w:rsid w:val="00E045B9"/>
    <w:rsid w:val="00E07267"/>
    <w:rsid w:val="00E10F65"/>
    <w:rsid w:val="00E114AF"/>
    <w:rsid w:val="00E17298"/>
    <w:rsid w:val="00E227B7"/>
    <w:rsid w:val="00E274F4"/>
    <w:rsid w:val="00E303B2"/>
    <w:rsid w:val="00E51514"/>
    <w:rsid w:val="00E57D4A"/>
    <w:rsid w:val="00E83C31"/>
    <w:rsid w:val="00EA1DF7"/>
    <w:rsid w:val="00ED294A"/>
    <w:rsid w:val="00ED5ED4"/>
    <w:rsid w:val="00EE7283"/>
    <w:rsid w:val="00F035B6"/>
    <w:rsid w:val="00F27F46"/>
    <w:rsid w:val="00F3037E"/>
    <w:rsid w:val="00F3146D"/>
    <w:rsid w:val="00F31908"/>
    <w:rsid w:val="00F42521"/>
    <w:rsid w:val="00F61DFB"/>
    <w:rsid w:val="00F63275"/>
    <w:rsid w:val="00F65CD9"/>
    <w:rsid w:val="00F65E3D"/>
    <w:rsid w:val="00F73683"/>
    <w:rsid w:val="00F73F65"/>
    <w:rsid w:val="00F811EC"/>
    <w:rsid w:val="00F90738"/>
    <w:rsid w:val="00F96A41"/>
    <w:rsid w:val="00FA2083"/>
    <w:rsid w:val="00FA45F6"/>
    <w:rsid w:val="00FB67B4"/>
    <w:rsid w:val="00FC4D87"/>
    <w:rsid w:val="00FC5817"/>
    <w:rsid w:val="00FC65B9"/>
    <w:rsid w:val="00FC748E"/>
    <w:rsid w:val="00FD4F5E"/>
    <w:rsid w:val="00FD6EC3"/>
    <w:rsid w:val="00FE2F7E"/>
    <w:rsid w:val="00FE5B87"/>
    <w:rsid w:val="00FE71EA"/>
    <w:rsid w:val="00FF3BAA"/>
    <w:rsid w:val="00FF5B66"/>
    <w:rsid w:val="0B2972F3"/>
    <w:rsid w:val="1C0420F1"/>
    <w:rsid w:val="39C95242"/>
    <w:rsid w:val="45E749DD"/>
    <w:rsid w:val="4A0D50A7"/>
    <w:rsid w:val="4D91776F"/>
    <w:rsid w:val="519E5A98"/>
    <w:rsid w:val="5E794D3F"/>
    <w:rsid w:val="70751AD3"/>
    <w:rsid w:val="7E2052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99"/>
    <w:rPr>
      <w:rFonts w:ascii="宋体" w:hAnsi="Courier New" w:cs="楷体_GB2312"/>
      <w:szCs w:val="21"/>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3"/>
    <w:semiHidden/>
    <w:uiPriority w:val="99"/>
    <w:rPr>
      <w:kern w:val="0"/>
      <w:sz w:val="18"/>
      <w:szCs w:val="18"/>
    </w:rPr>
  </w:style>
  <w:style w:type="paragraph" w:styleId="5">
    <w:name w:val="footer"/>
    <w:basedOn w:val="1"/>
    <w:link w:val="12"/>
    <w:qFormat/>
    <w:uiPriority w:val="99"/>
    <w:pPr>
      <w:tabs>
        <w:tab w:val="center" w:pos="4153"/>
        <w:tab w:val="right" w:pos="8306"/>
      </w:tabs>
      <w:snapToGrid w:val="0"/>
      <w:jc w:val="left"/>
    </w:pPr>
    <w:rPr>
      <w:kern w:val="0"/>
      <w:sz w:val="18"/>
      <w:szCs w:val="18"/>
    </w:rPr>
  </w:style>
  <w:style w:type="paragraph" w:styleId="6">
    <w:name w:val="header"/>
    <w:basedOn w:val="1"/>
    <w:link w:val="11"/>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jc w:val="left"/>
    </w:pPr>
    <w:rPr>
      <w:kern w:val="0"/>
      <w:sz w:val="24"/>
    </w:rPr>
  </w:style>
  <w:style w:type="character" w:styleId="10">
    <w:name w:val="Strong"/>
    <w:qFormat/>
    <w:uiPriority w:val="0"/>
    <w:rPr>
      <w:rFonts w:cs="Times New Roman"/>
      <w:b/>
    </w:rPr>
  </w:style>
  <w:style w:type="character" w:customStyle="1" w:styleId="11">
    <w:name w:val="页眉 Char"/>
    <w:link w:val="6"/>
    <w:qFormat/>
    <w:locked/>
    <w:uiPriority w:val="99"/>
    <w:rPr>
      <w:sz w:val="18"/>
    </w:rPr>
  </w:style>
  <w:style w:type="character" w:customStyle="1" w:styleId="12">
    <w:name w:val="页脚 Char"/>
    <w:link w:val="5"/>
    <w:qFormat/>
    <w:locked/>
    <w:uiPriority w:val="99"/>
    <w:rPr>
      <w:sz w:val="18"/>
    </w:rPr>
  </w:style>
  <w:style w:type="character" w:customStyle="1" w:styleId="13">
    <w:name w:val="批注框文本 Char"/>
    <w:link w:val="4"/>
    <w:semiHidden/>
    <w:qFormat/>
    <w:locked/>
    <w:uiPriority w:val="99"/>
    <w:rPr>
      <w:sz w:val="18"/>
    </w:rPr>
  </w:style>
  <w:style w:type="character" w:customStyle="1" w:styleId="14">
    <w:name w:val="纯文本 Char"/>
    <w:link w:val="2"/>
    <w:qFormat/>
    <w:locked/>
    <w:uiPriority w:val="99"/>
    <w:rPr>
      <w:rFonts w:ascii="宋体" w:hAnsi="Courier New" w:eastAsia="宋体"/>
      <w:kern w:val="2"/>
      <w:sz w:val="21"/>
      <w:lang w:val="en-US" w:eastAsia="zh-CN"/>
    </w:rPr>
  </w:style>
  <w:style w:type="paragraph" w:customStyle="1" w:styleId="15">
    <w:name w:val="List Paragraph1"/>
    <w:basedOn w:val="1"/>
    <w:qFormat/>
    <w:uiPriority w:val="99"/>
    <w:pPr>
      <w:ind w:firstLine="420" w:firstLineChars="200"/>
    </w:pPr>
    <w:rPr>
      <w:rFonts w:ascii="Times New Roman" w:hAnsi="Times New Roman"/>
      <w:szCs w:val="24"/>
    </w:rPr>
  </w:style>
  <w:style w:type="paragraph" w:customStyle="1" w:styleId="16">
    <w:name w:val="普通(网站)1"/>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7">
    <w:name w:val="日期 Char"/>
    <w:link w:val="3"/>
    <w:semiHidden/>
    <w:qFormat/>
    <w:uiPriority w:val="99"/>
    <w:rPr>
      <w:kern w:val="2"/>
      <w:sz w:val="21"/>
      <w:szCs w:val="22"/>
    </w:rPr>
  </w:style>
  <w:style w:type="paragraph" w:customStyle="1"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6</Pages>
  <Words>468</Words>
  <Characters>2673</Characters>
  <Lines>22</Lines>
  <Paragraphs>6</Paragraphs>
  <TotalTime>3</TotalTime>
  <ScaleCrop>false</ScaleCrop>
  <LinksUpToDate>false</LinksUpToDate>
  <CharactersWithSpaces>3135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Administrator</cp:lastModifiedBy>
  <cp:lastPrinted>2017-03-24T01:56:00Z</cp:lastPrinted>
  <dcterms:modified xsi:type="dcterms:W3CDTF">2020-06-30T13:20:05Z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