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bookmarkStart w:id="0" w:name="_GoBack"/>
      <w:r>
        <w:rPr>
          <w:rFonts w:hint="eastAsia" w:asciiTheme="majorEastAsia" w:hAnsiTheme="majorEastAsia" w:eastAsiaTheme="majorEastAsia"/>
          <w:b/>
          <w:sz w:val="44"/>
          <w:szCs w:val="44"/>
        </w:rPr>
        <w:t>高青县</w:t>
      </w:r>
      <w:r>
        <w:rPr>
          <w:rFonts w:hint="eastAsia" w:asciiTheme="majorEastAsia" w:hAnsiTheme="majorEastAsia" w:eastAsiaTheme="majorEastAsia"/>
          <w:b/>
          <w:sz w:val="44"/>
          <w:szCs w:val="44"/>
          <w:lang w:eastAsia="zh-CN"/>
        </w:rPr>
        <w:t>司法局</w:t>
      </w:r>
      <w:r>
        <w:rPr>
          <w:rFonts w:hint="eastAsia" w:asciiTheme="majorEastAsia" w:hAnsiTheme="majorEastAsia" w:eastAsiaTheme="majorEastAsia"/>
          <w:b/>
          <w:sz w:val="44"/>
          <w:szCs w:val="44"/>
        </w:rPr>
        <w:t>2016年政府信息公开工作</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年度报告</w:t>
      </w:r>
    </w:p>
    <w:bookmarkEnd w:id="0"/>
    <w:p>
      <w:pPr>
        <w:spacing w:line="560" w:lineRule="exact"/>
        <w:jc w:val="center"/>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本报告由高青县</w:t>
      </w:r>
      <w:r>
        <w:rPr>
          <w:rFonts w:hint="eastAsia" w:ascii="仿宋_GB2312" w:eastAsia="仿宋_GB2312"/>
          <w:sz w:val="32"/>
          <w:szCs w:val="32"/>
          <w:lang w:eastAsia="zh-CN"/>
        </w:rPr>
        <w:t>司法局</w:t>
      </w:r>
      <w:r>
        <w:rPr>
          <w:rFonts w:hint="eastAsia" w:ascii="仿宋_GB2312" w:eastAsia="仿宋_GB2312"/>
          <w:sz w:val="32"/>
          <w:szCs w:val="32"/>
        </w:rPr>
        <w:t>按照《中华人民共和国政府信息公开条例》（以下简称《条例》）和《山东省政府信息公开办法》要求编制，报告中所列数据的统计期限是2016年1月1日至12月31日，报告电子版可在高青县人民政府门户网站（www.gaoqing.gov.cn）查阅和下载。如对报告内容有疑问，请与</w:t>
      </w:r>
      <w:r>
        <w:rPr>
          <w:rFonts w:hint="eastAsia" w:ascii="仿宋_GB2312" w:eastAsia="仿宋_GB2312"/>
          <w:sz w:val="32"/>
          <w:szCs w:val="32"/>
          <w:lang w:eastAsia="zh-CN"/>
        </w:rPr>
        <w:t>高青</w:t>
      </w:r>
      <w:r>
        <w:rPr>
          <w:rFonts w:hint="eastAsia" w:ascii="仿宋_GB2312" w:eastAsia="仿宋_GB2312"/>
          <w:sz w:val="32"/>
          <w:szCs w:val="32"/>
        </w:rPr>
        <w:t>县司法局办公室联系（地址：高青县黄河路29号；邮编：256300；电话：0533-6981237；传真：0533-6981237）</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一、工作概述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2016年，在县委、县政府的正确领导下，县司法局深入贯彻国家和省、市、县关于政务公开和政府信息公开的有关要求，高度重视信息公开工作，从实际出发，结合工作职能特点，积极推进政府信息公开工作，不断增强司法工作透明度，切实保障人民群众的知情权、参与权、表达权和监督权。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加强组织领导。成立了局信息公开工作领导小组，由局长任组长，分管局长任副组长，机关各科室处所主要负责人担任成员，局办公室具体负责信息公开相关事宜。建立了由“主要领导亲自抓、分管领导具体抓、各科室各司其职，办公室协调办理”的工作机制，为深化政府信息公开工作提供强有力的保证。</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强化制度落实。建立预先审查、保密审查、主动公开、依申请公开等工作制度，严格落实《高青县人民政府关于全面推进政务公开的意见》（高政发〔2016〕12号）、《高青县人民政府办公室关于印发高青县2016年政务公开工作要点的通知》（高政办字〔2016〕32号）有关要求，坚持及时、准确、规范公开政务信息，确保政务公开工作落实到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加强解读回应。探索建立政策解读机制,明确解读范围,强化解读责任,规范解读程序。建立舆情收集、研判、报告和回应机制。进一步加强政府与群众的互动交流，解决群众问题，回应社会关切，征求意见建议，消除不实传言，正面引导舆论。</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我局在高青政务网“法治高青”专栏、网站红页“www.高青县司法局.政务”积极进行信息公开，建立开通“高青司法行政法律服务”微信公众号，主动公开信息，此外，我局通过《今日高青》、“政风行风热线”、“高青新闻”等平台，及时公开需要社会公众广泛知晓的信息。在局院内设置信息告知栏，积极公开政府信息，丰富信息公开内容。2016年，我局在县政务网《法治高青》专题栏目刊发普法信息258条，今日高青报纸《法在身边》栏目刊发和播出以案释法文章58篇，“高青司法行政法律服务”微信公众号播发法律服务信息380篇。</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三、依申请公开政府信息情况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（一）依申请公开情况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2016年度，未收到公民、法人或其他组织提出的政府信息公开的申请。</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（二）收费及减免情况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2016年度，无政府信息公开收费及减免情况。</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四、涉及政府信息公开的复议诉讼和举报情况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2016年度，我局未收到因政府信息公开申请行政复议、提起行政诉讼的情况。</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五、存在的不足及改进措施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2016年，我局切实加大政府信息公开工作力度、完善政府信息公开相关制度，但信息公开工作中还存在一些不足：一是信息更新还不够及时；二是在政府信息公开的深度方面，与人民群众对司法行政信息公开工作的期待还有差距。</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我局将进一步加大政府信息的推进力度，一是进一步丰富政府信息公开内容，扩大公开范围，拓展公开渠道，把与人民群众切身利益密切相关的政府信息作为政府信息公开的主要内容。二是加大学习和宣传，深化对政府信息公开工作的了解和认识，调动大家参与政府信息公开工作的积极性和主动性，增强政府信息公开工作的活力。三是努力提高信息员业务素质，充分发挥网络信息公开的功能，进一步提高信息质量和时效，确保网站的规范化运行。四是围绕我局法律宣传、法律服务、法律保障等职能特点，充分利用网站、微信公众号等媒体，努力提高政府信息公开服务水平，推动司法行政事业实现新跨越。</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附：2016年度高青县</w:t>
      </w:r>
      <w:r>
        <w:rPr>
          <w:rFonts w:hint="eastAsia" w:ascii="仿宋_GB2312" w:eastAsia="仿宋_GB2312"/>
          <w:sz w:val="32"/>
          <w:szCs w:val="32"/>
          <w:lang w:eastAsia="zh-CN"/>
        </w:rPr>
        <w:t>司法局</w:t>
      </w:r>
      <w:r>
        <w:rPr>
          <w:rFonts w:hint="eastAsia" w:ascii="仿宋_GB2312" w:eastAsia="仿宋_GB2312"/>
          <w:sz w:val="32"/>
          <w:szCs w:val="32"/>
        </w:rPr>
        <w:t>政府信息公开工作情况统计表</w:t>
      </w: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高青县</w:t>
      </w:r>
      <w:r>
        <w:rPr>
          <w:rFonts w:hint="eastAsia" w:ascii="仿宋_GB2312" w:hAnsi="仿宋_GB2312" w:eastAsia="仿宋_GB2312" w:cs="仿宋_GB2312"/>
          <w:kern w:val="0"/>
          <w:sz w:val="32"/>
          <w:szCs w:val="32"/>
          <w:lang w:eastAsia="zh-CN"/>
        </w:rPr>
        <w:t>司法局</w:t>
      </w:r>
    </w:p>
    <w:p>
      <w:pPr>
        <w:spacing w:line="580" w:lineRule="exact"/>
        <w:ind w:firstLine="640" w:firstLineChars="200"/>
        <w:jc w:val="righ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2017年3月</w:t>
      </w:r>
      <w:r>
        <w:rPr>
          <w:rFonts w:hint="eastAsia" w:ascii="仿宋_GB2312" w:hAnsi="仿宋_GB2312" w:eastAsia="仿宋_GB2312" w:cs="仿宋_GB2312"/>
          <w:kern w:val="0"/>
          <w:sz w:val="32"/>
          <w:szCs w:val="32"/>
          <w:lang w:val="en-US" w:eastAsia="zh-CN"/>
        </w:rPr>
        <w:t>17</w:t>
      </w:r>
      <w:r>
        <w:rPr>
          <w:rFonts w:ascii="仿宋_GB2312" w:hAnsi="仿宋_GB2312" w:eastAsia="仿宋_GB2312" w:cs="仿宋_GB2312"/>
          <w:kern w:val="0"/>
          <w:sz w:val="32"/>
          <w:szCs w:val="32"/>
        </w:rPr>
        <w:t>日</w:t>
      </w: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80" w:lineRule="exact"/>
        <w:ind w:firstLine="640" w:firstLineChars="200"/>
        <w:jc w:val="righ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jc w:val="center"/>
        <w:rPr>
          <w:rFonts w:ascii="宋体" w:hAnsi="宋体" w:eastAsia="宋体"/>
          <w:b/>
        </w:rPr>
      </w:pPr>
      <w:r>
        <w:rPr>
          <w:rFonts w:hint="eastAsia" w:ascii="宋体" w:hAnsi="宋体" w:eastAsia="宋体"/>
          <w:b/>
          <w:sz w:val="36"/>
          <w:szCs w:val="36"/>
        </w:rPr>
        <w:t>2016年度高青县</w:t>
      </w:r>
      <w:r>
        <w:rPr>
          <w:rFonts w:hint="eastAsia" w:ascii="宋体" w:hAnsi="宋体" w:eastAsia="宋体"/>
          <w:b/>
          <w:sz w:val="36"/>
          <w:szCs w:val="36"/>
          <w:lang w:eastAsia="zh-CN"/>
        </w:rPr>
        <w:t>司法局</w:t>
      </w:r>
      <w:r>
        <w:rPr>
          <w:rFonts w:hint="eastAsia" w:ascii="宋体" w:hAnsi="宋体" w:eastAsia="宋体"/>
          <w:b/>
          <w:sz w:val="36"/>
          <w:szCs w:val="36"/>
        </w:rPr>
        <w:t>政府信息公开工作情况统计表</w:t>
      </w:r>
    </w:p>
    <w:p>
      <w:pPr>
        <w:jc w:val="center"/>
        <w:rPr>
          <w:rFonts w:ascii="宋体" w:hAnsi="宋体" w:eastAsia="宋体"/>
          <w:b/>
          <w:sz w:val="28"/>
          <w:szCs w:val="28"/>
        </w:rPr>
      </w:pPr>
    </w:p>
    <w:tbl>
      <w:tblPr>
        <w:tblStyle w:val="6"/>
        <w:tblW w:w="9742"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307"/>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685"/>
              <w:jc w:val="center"/>
              <w:rPr>
                <w:color w:val="000000"/>
              </w:rPr>
            </w:pPr>
            <w:r>
              <w:rPr>
                <w:rStyle w:val="8"/>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单位</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（一）主动公开政府信息数</w:t>
            </w:r>
            <w:r>
              <w:rPr>
                <w:rFonts w:hint="eastAsia" w:ascii="宋体" w:hAnsi="宋体" w:eastAsia="宋体"/>
                <w:color w:val="000000"/>
                <w:sz w:val="20"/>
                <w:szCs w:val="20"/>
              </w:rPr>
              <w:t>（不同渠道和方式公开相同信息计1条）</w:t>
            </w:r>
            <w:r>
              <w:rPr>
                <w:rFonts w:ascii="宋体" w:hAnsi="宋体" w:eastAsia="宋体"/>
                <w:color w:val="000000"/>
                <w:sz w:val="20"/>
                <w:szCs w:val="20"/>
              </w:rPr>
              <w:br w:type="textWrapping"/>
            </w:r>
            <w:r>
              <w:rPr>
                <w:rFonts w:ascii="宋体" w:hAnsi="宋体" w:eastAsia="宋体"/>
                <w:color w:val="000000"/>
                <w:sz w:val="20"/>
                <w:szCs w:val="20"/>
              </w:rPr>
              <w:t>　　　　（不同渠道和方式公开相同信息计1条）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eastAsia="宋体"/>
                <w:color w:val="000000"/>
                <w:sz w:val="20"/>
                <w:szCs w:val="20"/>
                <w:lang w:val="en-US" w:eastAsia="zh-CN"/>
              </w:rPr>
              <w:t>380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olor w:val="000000"/>
                <w:sz w:val="20"/>
                <w:szCs w:val="20"/>
                <w:lang w:val="en-US" w:eastAsia="zh-CN"/>
              </w:rPr>
              <w:t>268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olor w:val="000000"/>
                <w:sz w:val="20"/>
                <w:szCs w:val="20"/>
                <w:lang w:val="en-US" w:eastAsia="zh-CN"/>
              </w:rPr>
              <w:t>380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olor w:val="000000"/>
                <w:sz w:val="20"/>
                <w:szCs w:val="20"/>
                <w:lang w:val="en-US" w:eastAsia="zh-CN"/>
              </w:rPr>
              <w:t>58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b/>
                <w:color w:val="000000"/>
                <w:sz w:val="24"/>
              </w:rPr>
            </w:pPr>
            <w:r>
              <w:rPr>
                <w:rFonts w:hint="eastAsia" w:ascii="黑体" w:hAnsi="宋体" w:eastAsia="黑体"/>
                <w:color w:val="000000"/>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400" w:firstLineChars="200"/>
              <w:rPr>
                <w:color w:val="000000"/>
              </w:rPr>
            </w:pPr>
            <w:r>
              <w:rPr>
                <w:color w:val="000000"/>
                <w:kern w:val="2"/>
                <w:sz w:val="20"/>
                <w:szCs w:val="20"/>
              </w:rPr>
              <w:t>（一）回应公众关注热点或重大舆情数</w:t>
            </w:r>
            <w:r>
              <w:rPr>
                <w:color w:val="000000"/>
                <w:kern w:val="2"/>
                <w:sz w:val="20"/>
                <w:szCs w:val="20"/>
              </w:rPr>
              <w:br w:type="textWrapping"/>
            </w:r>
            <w:r>
              <w:rPr>
                <w:color w:val="000000"/>
                <w:kern w:val="2"/>
                <w:sz w:val="20"/>
                <w:szCs w:val="20"/>
              </w:rPr>
              <w:t>　　　　 （不同方式回应同一热点或舆情计1次）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篇</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宋体" w:hAnsi="宋体" w:eastAsia="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ascii="宋体" w:hAnsi="宋体" w:eastAsia="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w:t>
            </w:r>
            <w:r>
              <w:rPr>
                <w:rFonts w:hint="eastAsia" w:ascii="宋体" w:hAnsi="宋体" w:eastAsia="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1000" w:firstLineChars="500"/>
              <w:jc w:val="center"/>
              <w:rPr>
                <w:rFonts w:ascii="黑体" w:hAnsi="宋体" w:eastAsia="黑体"/>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期</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hint="eastAsia" w:ascii="宋体" w:hAnsi="宋体" w:eastAsia="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份</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十二、依申请公开信息收取的费用</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十三、机构建设和保障经费情况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个</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二</w:t>
            </w:r>
            <w:r>
              <w:rPr>
                <w:rFonts w:ascii="宋体" w:hAnsi="宋体" w:eastAsia="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三</w:t>
            </w:r>
            <w:r>
              <w:rPr>
                <w:rFonts w:ascii="宋体" w:hAnsi="宋体" w:eastAsia="宋体"/>
                <w:color w:val="000000"/>
                <w:sz w:val="20"/>
                <w:szCs w:val="20"/>
              </w:rPr>
              <w:t>）政府信息公开专项经费（不包括政府公报编辑管理及政府网站建设</w:t>
            </w:r>
            <w:r>
              <w:rPr>
                <w:rFonts w:hint="eastAsia" w:ascii="宋体" w:hAnsi="宋体" w:eastAsia="宋体"/>
                <w:color w:val="000000"/>
                <w:sz w:val="20"/>
                <w:szCs w:val="20"/>
              </w:rPr>
              <w:t>）</w:t>
            </w:r>
            <w:r>
              <w:rPr>
                <w:rFonts w:ascii="宋体" w:hAnsi="宋体" w:eastAsia="宋体"/>
                <w:color w:val="000000"/>
                <w:sz w:val="20"/>
                <w:szCs w:val="20"/>
              </w:rPr>
              <w:br w:type="textWrapping"/>
            </w:r>
            <w:r>
              <w:rPr>
                <w:rFonts w:ascii="宋体" w:hAnsi="宋体" w:eastAsia="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十四、政府信息公开会议和培训情况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eastAsia="宋体"/>
                <w:color w:val="000000"/>
                <w:sz w:val="20"/>
                <w:szCs w:val="20"/>
                <w:lang w:val="en-US" w:eastAsia="zh-CN"/>
              </w:rPr>
              <w:t>0</w:t>
            </w:r>
          </w:p>
        </w:tc>
      </w:tr>
    </w:tbl>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58735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2DCF"/>
    <w:rsid w:val="00030987"/>
    <w:rsid w:val="00034201"/>
    <w:rsid w:val="000364D1"/>
    <w:rsid w:val="00041EE7"/>
    <w:rsid w:val="000511D6"/>
    <w:rsid w:val="000537BF"/>
    <w:rsid w:val="00066860"/>
    <w:rsid w:val="00086543"/>
    <w:rsid w:val="000B692D"/>
    <w:rsid w:val="000C74F7"/>
    <w:rsid w:val="000E594E"/>
    <w:rsid w:val="00123040"/>
    <w:rsid w:val="00132600"/>
    <w:rsid w:val="00152C78"/>
    <w:rsid w:val="00170F9D"/>
    <w:rsid w:val="001752E7"/>
    <w:rsid w:val="001C2E5E"/>
    <w:rsid w:val="001C381E"/>
    <w:rsid w:val="001D133A"/>
    <w:rsid w:val="001D5CB7"/>
    <w:rsid w:val="001E70CB"/>
    <w:rsid w:val="001F0E29"/>
    <w:rsid w:val="00261196"/>
    <w:rsid w:val="002A684D"/>
    <w:rsid w:val="002B47A6"/>
    <w:rsid w:val="00310D8C"/>
    <w:rsid w:val="003300CC"/>
    <w:rsid w:val="00340EAB"/>
    <w:rsid w:val="00345FC5"/>
    <w:rsid w:val="00351598"/>
    <w:rsid w:val="003A2AFB"/>
    <w:rsid w:val="003A5889"/>
    <w:rsid w:val="003F4540"/>
    <w:rsid w:val="00411E34"/>
    <w:rsid w:val="00464031"/>
    <w:rsid w:val="00467873"/>
    <w:rsid w:val="00484FDB"/>
    <w:rsid w:val="004861D4"/>
    <w:rsid w:val="00491265"/>
    <w:rsid w:val="00497273"/>
    <w:rsid w:val="004A1A7E"/>
    <w:rsid w:val="004D62ED"/>
    <w:rsid w:val="004F6D08"/>
    <w:rsid w:val="005053AD"/>
    <w:rsid w:val="0051385C"/>
    <w:rsid w:val="00527D55"/>
    <w:rsid w:val="0053263F"/>
    <w:rsid w:val="00545BA3"/>
    <w:rsid w:val="005A2E0C"/>
    <w:rsid w:val="005C0C10"/>
    <w:rsid w:val="005F1DAF"/>
    <w:rsid w:val="00617C00"/>
    <w:rsid w:val="00633CB2"/>
    <w:rsid w:val="00644565"/>
    <w:rsid w:val="00654E06"/>
    <w:rsid w:val="00666572"/>
    <w:rsid w:val="00694918"/>
    <w:rsid w:val="006B13D9"/>
    <w:rsid w:val="006C7D31"/>
    <w:rsid w:val="006D095C"/>
    <w:rsid w:val="006D667E"/>
    <w:rsid w:val="00706493"/>
    <w:rsid w:val="00716325"/>
    <w:rsid w:val="0074216E"/>
    <w:rsid w:val="007504FC"/>
    <w:rsid w:val="00764FD6"/>
    <w:rsid w:val="007654AB"/>
    <w:rsid w:val="00775FB9"/>
    <w:rsid w:val="00797218"/>
    <w:rsid w:val="007B49E4"/>
    <w:rsid w:val="007C670E"/>
    <w:rsid w:val="007D54D1"/>
    <w:rsid w:val="007E188B"/>
    <w:rsid w:val="007F1012"/>
    <w:rsid w:val="007F58B5"/>
    <w:rsid w:val="008213BF"/>
    <w:rsid w:val="00821EBB"/>
    <w:rsid w:val="00827FFA"/>
    <w:rsid w:val="0083361D"/>
    <w:rsid w:val="0084294E"/>
    <w:rsid w:val="00845967"/>
    <w:rsid w:val="00863627"/>
    <w:rsid w:val="008934F6"/>
    <w:rsid w:val="008A1523"/>
    <w:rsid w:val="008A1FF2"/>
    <w:rsid w:val="008C2DB1"/>
    <w:rsid w:val="008F2FBD"/>
    <w:rsid w:val="00937B03"/>
    <w:rsid w:val="009532C4"/>
    <w:rsid w:val="00956891"/>
    <w:rsid w:val="00965458"/>
    <w:rsid w:val="0099567F"/>
    <w:rsid w:val="009A35C3"/>
    <w:rsid w:val="009B5062"/>
    <w:rsid w:val="009C0440"/>
    <w:rsid w:val="00A4303E"/>
    <w:rsid w:val="00A635B9"/>
    <w:rsid w:val="00A65AE4"/>
    <w:rsid w:val="00A91D59"/>
    <w:rsid w:val="00A96714"/>
    <w:rsid w:val="00AA68D1"/>
    <w:rsid w:val="00AC783F"/>
    <w:rsid w:val="00B02501"/>
    <w:rsid w:val="00B025FB"/>
    <w:rsid w:val="00B1334F"/>
    <w:rsid w:val="00B46E2B"/>
    <w:rsid w:val="00B571E7"/>
    <w:rsid w:val="00B60A0C"/>
    <w:rsid w:val="00B96DB8"/>
    <w:rsid w:val="00BC5174"/>
    <w:rsid w:val="00BE37C6"/>
    <w:rsid w:val="00C178DA"/>
    <w:rsid w:val="00CB1217"/>
    <w:rsid w:val="00CB311F"/>
    <w:rsid w:val="00CF4B6A"/>
    <w:rsid w:val="00CF78F4"/>
    <w:rsid w:val="00CF7B25"/>
    <w:rsid w:val="00D05B04"/>
    <w:rsid w:val="00D23EE1"/>
    <w:rsid w:val="00D40B64"/>
    <w:rsid w:val="00D41385"/>
    <w:rsid w:val="00D43F24"/>
    <w:rsid w:val="00D6099E"/>
    <w:rsid w:val="00D64989"/>
    <w:rsid w:val="00D76BA6"/>
    <w:rsid w:val="00D9678A"/>
    <w:rsid w:val="00DA1C80"/>
    <w:rsid w:val="00DA59CE"/>
    <w:rsid w:val="00DB7B4F"/>
    <w:rsid w:val="00DD0161"/>
    <w:rsid w:val="00DE2878"/>
    <w:rsid w:val="00DF6987"/>
    <w:rsid w:val="00E07267"/>
    <w:rsid w:val="00E17298"/>
    <w:rsid w:val="00E227B7"/>
    <w:rsid w:val="00E303B2"/>
    <w:rsid w:val="00E83C31"/>
    <w:rsid w:val="00F035B6"/>
    <w:rsid w:val="00F27F46"/>
    <w:rsid w:val="00F3037E"/>
    <w:rsid w:val="00F3146D"/>
    <w:rsid w:val="00F42521"/>
    <w:rsid w:val="00F65CD9"/>
    <w:rsid w:val="00F90738"/>
    <w:rsid w:val="00FA45F6"/>
    <w:rsid w:val="00FB60AA"/>
    <w:rsid w:val="00FC5817"/>
    <w:rsid w:val="00FC748E"/>
    <w:rsid w:val="00FF3BAA"/>
    <w:rsid w:val="19AF60FF"/>
    <w:rsid w:val="1A3177F4"/>
    <w:rsid w:val="2CFA02B7"/>
    <w:rsid w:val="35E67552"/>
    <w:rsid w:val="3A1F6DA8"/>
    <w:rsid w:val="3C601810"/>
    <w:rsid w:val="3E7756DE"/>
    <w:rsid w:val="3FC21787"/>
    <w:rsid w:val="45465671"/>
    <w:rsid w:val="4753036D"/>
    <w:rsid w:val="4E2C0EBD"/>
    <w:rsid w:val="50AD49AD"/>
    <w:rsid w:val="51C325E9"/>
    <w:rsid w:val="687C5A12"/>
    <w:rsid w:val="75030EFB"/>
    <w:rsid w:val="762B0EF1"/>
    <w:rsid w:val="76D3227A"/>
    <w:rsid w:val="7C642022"/>
    <w:rsid w:val="7DCD3479"/>
    <w:rsid w:val="7FD8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ascii="Calibri" w:hAnsi="Calibri" w:eastAsia="宋体" w:cs="Times New Roman"/>
      <w:kern w:val="0"/>
      <w:sz w:val="24"/>
    </w:rPr>
  </w:style>
  <w:style w:type="character" w:styleId="8">
    <w:name w:val="Strong"/>
    <w:qFormat/>
    <w:uiPriority w:val="0"/>
    <w:rPr>
      <w:rFonts w:cs="Times New Roman"/>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357</Words>
  <Characters>2041</Characters>
  <Lines>17</Lines>
  <Paragraphs>4</Paragraphs>
  <TotalTime>592</TotalTime>
  <ScaleCrop>false</ScaleCrop>
  <LinksUpToDate>false</LinksUpToDate>
  <CharactersWithSpaces>2394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大哥爱去图书馆</cp:lastModifiedBy>
  <cp:lastPrinted>2017-03-24T01:56:00Z</cp:lastPrinted>
  <dcterms:modified xsi:type="dcterms:W3CDTF">2021-05-26T03:09:33Z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4C418599FE7645429144FCDB5C72F927</vt:lpwstr>
  </property>
</Properties>
</file>