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color w:val="000000" w:themeColor="text1"/>
          <w:sz w:val="40"/>
          <w:szCs w:val="40"/>
        </w:rPr>
      </w:pPr>
      <w:r>
        <w:rPr>
          <w:rFonts w:hint="eastAsia" w:ascii="宋体" w:hAnsi="宋体" w:cs="宋体"/>
          <w:b/>
          <w:color w:val="000000" w:themeColor="text1"/>
          <w:sz w:val="40"/>
          <w:szCs w:val="40"/>
        </w:rPr>
        <w:t>2019年高青县司法局信息公开工作年度报告</w:t>
      </w:r>
    </w:p>
    <w:p>
      <w:pPr>
        <w:rPr>
          <w:color w:val="000000" w:themeColor="text1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本报告按照《中华人民共和国政府信息公开条例》（以下简称《条例》）和《山东省政府信息公开办法》（以下简称《办法》）规定，由高青县司法局根据本单位信息公开工作情况编制。</w:t>
      </w:r>
    </w:p>
    <w:p>
      <w:pPr>
        <w:spacing w:line="560" w:lineRule="exact"/>
        <w:ind w:firstLine="640" w:firstLineChars="200"/>
        <w:jc w:val="left"/>
        <w:outlineLvl w:val="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报告全文由总体情况，主动公开政府信息情况，收到和处理政府信息公开申请情况，政府信息公开行政复议、行政诉讼情况，存在的主要问题及改进情况，其他需要报告的事项6个部分组成。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2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报告中所列数据统计期限自2019年1月1日始，至2019年12月31日止。报告电子版可在高青县人民政府门户网站（www.gaoqing.gov.cn）查阅和下载。如对报告内容有疑问，请与高青县司法局联系（地址：高青县清河路9号机关综合办公楼9楼；邮编：256300；电话：0533-6981237；传真：0533-6981237）。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/>
          <w:color w:val="000000" w:themeColor="text1"/>
          <w:kern w:val="22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kern w:val="22"/>
          <w:sz w:val="32"/>
          <w:szCs w:val="32"/>
        </w:rPr>
        <w:t>一、总体情况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kern w:val="2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2"/>
          <w:sz w:val="32"/>
          <w:szCs w:val="32"/>
        </w:rPr>
        <w:t>2019年，高青县司法局继续深入贯彻《中华人民共和国政府信息公开条例》，认真落实《国务院办公厅关于印发2019年政务公开工作要点的通知》（国办发〔2019〕14号）、《山东省人民政府办公厅关于印发2019年山东省政务公开工作要点的通知》（鲁政办发〔2019〕15号）和《淄博市人民政府办公室关于印发2019年淄博市政务公开工作方案的通知》（淄政办发〔2019〕5号）部署的各项任务，紧紧围绕县委、县政府中心工作及群众关注关切，以司法行政各项职能为着力点，强化组织领导，完善工作机制，不断丰富公开内容，</w:t>
      </w:r>
    </w:p>
    <w:p>
      <w:pPr>
        <w:pStyle w:val="8"/>
        <w:widowControl/>
        <w:spacing w:after="0" w:line="560" w:lineRule="exact"/>
        <w:jc w:val="both"/>
        <w:rPr>
          <w:rFonts w:ascii="Times New Roman" w:hAnsi="Times New Roman" w:eastAsia="仿宋_GB2312"/>
          <w:color w:val="000000" w:themeColor="text1"/>
          <w:kern w:val="2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2"/>
          <w:sz w:val="32"/>
          <w:szCs w:val="32"/>
        </w:rPr>
        <w:t>切实拓宽政务公开渠道，保障人民群众的知情权、参与权和监督权，有效提升了政务公开的传播力和影响力。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kern w:val="22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22"/>
          <w:sz w:val="32"/>
          <w:szCs w:val="32"/>
        </w:rPr>
        <w:t>（一）加强组织领导。</w:t>
      </w:r>
      <w:r>
        <w:rPr>
          <w:rFonts w:hint="eastAsia" w:ascii="仿宋_GB2312" w:hAnsi="仿宋_GB2312" w:eastAsia="仿宋_GB2312" w:cs="仿宋_GB2312"/>
          <w:color w:val="000000" w:themeColor="text1"/>
          <w:kern w:val="22"/>
          <w:sz w:val="32"/>
          <w:szCs w:val="32"/>
        </w:rPr>
        <w:t>把信息公开工作同其它业务工作紧密结合起来，同步规划、同步管理。根据局领导的分工调整，明确分管领导，指定一名工作人员专门负责信息的整理发布。将信息公开要求落实到公文办理程序，按照“谁发布谁审查、谁审查谁负责”的原则，做好对拟发布信息的审核工作，准确把握公开的内容、范围、形式和时间，严格限制不公开事项的范围。及时听取、收集群众的意见，对群众提出的合理建议积极采纳，对群众反映的问题，及时研究解决或做出说明解释工作。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color w:val="000000" w:themeColor="text1"/>
          <w:kern w:val="22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22"/>
          <w:sz w:val="32"/>
          <w:szCs w:val="32"/>
        </w:rPr>
        <w:t>（二）丰富公开内容。</w:t>
      </w:r>
      <w:r>
        <w:rPr>
          <w:rFonts w:hint="eastAsia" w:ascii="仿宋_GB2312" w:hAnsi="仿宋_GB2312" w:eastAsia="仿宋_GB2312" w:cs="仿宋_GB2312"/>
          <w:color w:val="000000" w:themeColor="text1"/>
          <w:kern w:val="22"/>
          <w:sz w:val="32"/>
          <w:szCs w:val="32"/>
        </w:rPr>
        <w:t>将县司法局的职能、各科室的职责以及局领导分管工作、部门预算决算等通过局公示栏、县政府网站进行公开、公示。实时发布司法行政各项工作计划、政策性文件、重要会议、重大活动、重要工作等信息。实行“三重一大”</w:t>
      </w:r>
      <w:r>
        <w:rPr>
          <w:rFonts w:hint="eastAsia" w:ascii="仿宋_GB2312" w:hAnsi="仿宋_GB2312" w:eastAsia="仿宋_GB2312" w:cs="仿宋_GB2312"/>
          <w:color w:val="000000" w:themeColor="text1"/>
          <w:kern w:val="22"/>
          <w:sz w:val="32"/>
          <w:szCs w:val="32"/>
          <w:lang w:eastAsia="zh-CN"/>
        </w:rPr>
        <w:t>事项</w:t>
      </w:r>
      <w:r>
        <w:rPr>
          <w:rFonts w:hint="eastAsia" w:ascii="仿宋_GB2312" w:hAnsi="仿宋_GB2312" w:eastAsia="仿宋_GB2312" w:cs="仿宋_GB2312"/>
          <w:color w:val="000000" w:themeColor="text1"/>
          <w:kern w:val="22"/>
          <w:sz w:val="32"/>
          <w:szCs w:val="32"/>
        </w:rPr>
        <w:t>集体研究决定，凡是涉及到需面向群众公开的事项，均主动公示，对职工关心的事项及一些涉及财物的专项工作也进行公开或通报。主动公布咨询、监督投诉电话，接受有关部门、新闻媒体、广大群众的评议监督检查。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kern w:val="22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22"/>
          <w:sz w:val="32"/>
          <w:szCs w:val="32"/>
        </w:rPr>
        <w:t>（三）拓宽公开渠道。</w:t>
      </w:r>
      <w:r>
        <w:rPr>
          <w:rFonts w:hint="eastAsia" w:ascii="仿宋_GB2312" w:hAnsi="仿宋_GB2312" w:eastAsia="仿宋_GB2312" w:cs="仿宋_GB2312"/>
          <w:color w:val="000000" w:themeColor="text1"/>
          <w:kern w:val="22"/>
          <w:sz w:val="32"/>
          <w:szCs w:val="32"/>
        </w:rPr>
        <w:t>以政府网站公开为主要形式，主动公开机构概况、领导信息、业务工作、法规文件等内容。创新政府信息公开形式，积极拓展政府信息公开的载体，通过政务微信等各类新媒体公开政府信息，畅通受理渠道，完善工作机制，提高工作效率。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楷体_GB2312" w:hAnsi="Times New Roman" w:eastAsia="楷体_GB2312"/>
          <w:color w:val="000000" w:themeColor="text1"/>
          <w:kern w:val="22"/>
          <w:sz w:val="32"/>
          <w:szCs w:val="32"/>
        </w:rPr>
        <w:t>（四）做好人大代表建议和政协委员提案办理结果公开。</w:t>
      </w:r>
      <w:r>
        <w:rPr>
          <w:rFonts w:hint="eastAsia" w:ascii="仿宋_GB2312" w:hAnsi="仿宋_GB2312" w:eastAsia="仿宋_GB2312" w:cs="仿宋_GB2312"/>
          <w:color w:val="000000" w:themeColor="text1"/>
          <w:kern w:val="22"/>
          <w:sz w:val="32"/>
          <w:szCs w:val="32"/>
        </w:rPr>
        <w:t>本单位2019年未收到人大代表建议和政协委员提案，因此无法公开办理结果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。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/>
          <w:color w:val="000000" w:themeColor="text1"/>
          <w:kern w:val="22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kern w:val="22"/>
          <w:sz w:val="32"/>
          <w:szCs w:val="32"/>
        </w:rPr>
        <w:t>二、主动公开政府信息情况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2"/>
          <w:sz w:val="32"/>
          <w:szCs w:val="32"/>
        </w:rPr>
        <w:t>2019年，我局制发政府规章</w:t>
      </w:r>
      <w:r>
        <w:rPr>
          <w:rFonts w:hint="eastAsia" w:ascii="仿宋_GB2312" w:hAnsi="仿宋_GB2312" w:eastAsia="仿宋_GB2312" w:cs="仿宋_GB2312"/>
          <w:color w:val="000000" w:themeColor="text1"/>
          <w:kern w:val="22"/>
          <w:sz w:val="32"/>
          <w:szCs w:val="32"/>
          <w:u w:val="single"/>
        </w:rPr>
        <w:t>0</w:t>
      </w:r>
      <w:r>
        <w:rPr>
          <w:rFonts w:hint="eastAsia" w:ascii="仿宋_GB2312" w:hAnsi="仿宋_GB2312" w:eastAsia="仿宋_GB2312" w:cs="仿宋_GB2312"/>
          <w:color w:val="000000" w:themeColor="text1"/>
          <w:kern w:val="22"/>
          <w:sz w:val="32"/>
          <w:szCs w:val="32"/>
        </w:rPr>
        <w:t>件，规范性文件</w:t>
      </w:r>
      <w:r>
        <w:rPr>
          <w:rFonts w:hint="eastAsia" w:ascii="仿宋_GB2312" w:hAnsi="仿宋_GB2312" w:eastAsia="仿宋_GB2312" w:cs="仿宋_GB2312"/>
          <w:color w:val="000000" w:themeColor="text1"/>
          <w:kern w:val="22"/>
          <w:sz w:val="32"/>
          <w:szCs w:val="32"/>
          <w:u w:val="single"/>
        </w:rPr>
        <w:t>0</w:t>
      </w:r>
      <w:r>
        <w:rPr>
          <w:rFonts w:hint="eastAsia" w:ascii="仿宋_GB2312" w:hAnsi="仿宋_GB2312" w:eastAsia="仿宋_GB2312" w:cs="仿宋_GB2312"/>
          <w:color w:val="000000" w:themeColor="text1"/>
          <w:kern w:val="22"/>
          <w:sz w:val="32"/>
          <w:szCs w:val="32"/>
        </w:rPr>
        <w:t>件，行政许可、行政处罚、行政强制、行政事业性收费、政府集中采购等事项公开情况详见下表。</w:t>
      </w:r>
    </w:p>
    <w:tbl>
      <w:tblPr>
        <w:tblStyle w:val="10"/>
        <w:tblW w:w="8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1985"/>
        <w:gridCol w:w="2030"/>
        <w:gridCol w:w="2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694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本年新制作数量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本年新</w:t>
            </w:r>
          </w:p>
          <w:p>
            <w:pPr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公开数量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对外公开</w:t>
            </w:r>
          </w:p>
          <w:p>
            <w:pPr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总数量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694" w:type="dxa"/>
            <w:vAlign w:val="center"/>
          </w:tcPr>
          <w:p>
            <w:pPr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规章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694" w:type="dxa"/>
            <w:vAlign w:val="center"/>
          </w:tcPr>
          <w:p>
            <w:pPr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规范性文件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694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上一年项目数量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本年增/减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694" w:type="dxa"/>
            <w:vAlign w:val="center"/>
          </w:tcPr>
          <w:p>
            <w:pPr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行政许可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eastAsia="宋体"/>
                <w:color w:val="000000" w:themeColor="text1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694" w:type="dxa"/>
            <w:vAlign w:val="center"/>
          </w:tcPr>
          <w:p>
            <w:pPr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其他对外管理服务事项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lang w:val="en-US" w:eastAsia="zh-CN"/>
              </w:rPr>
              <w:t>56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694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上一年项目数量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本年增/减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694" w:type="dxa"/>
            <w:vAlign w:val="center"/>
          </w:tcPr>
          <w:p>
            <w:pPr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行政处罚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eastAsia="宋体"/>
                <w:color w:val="000000" w:themeColor="text1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694" w:type="dxa"/>
            <w:vAlign w:val="center"/>
          </w:tcPr>
          <w:p>
            <w:pPr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行政强制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694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上一年项目数量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本年增/减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694" w:type="dxa"/>
            <w:vAlign w:val="center"/>
          </w:tcPr>
          <w:p>
            <w:pPr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行政事业性收费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第二十条第（九）项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694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采购项目数量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采购总金额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694" w:type="dxa"/>
            <w:vAlign w:val="center"/>
          </w:tcPr>
          <w:p>
            <w:pPr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政府集中采购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694" w:type="dxa"/>
            <w:vAlign w:val="center"/>
          </w:tcPr>
          <w:p>
            <w:pPr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政府采购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3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283630.76</w:t>
            </w:r>
          </w:p>
        </w:tc>
      </w:tr>
    </w:tbl>
    <w:p>
      <w:pPr>
        <w:spacing w:line="560" w:lineRule="exact"/>
        <w:ind w:firstLine="640" w:firstLineChars="200"/>
        <w:jc w:val="left"/>
        <w:rPr>
          <w:rFonts w:ascii="黑体" w:hAnsi="黑体" w:eastAsia="黑体"/>
          <w:color w:val="000000" w:themeColor="text1"/>
          <w:kern w:val="2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黑体" w:hAnsi="黑体" w:eastAsia="黑体"/>
          <w:color w:val="000000" w:themeColor="text1"/>
          <w:kern w:val="22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kern w:val="22"/>
          <w:sz w:val="32"/>
          <w:szCs w:val="32"/>
        </w:rPr>
        <w:t>三、收到和处理政府信息公开申请情况</w:t>
      </w:r>
    </w:p>
    <w:p>
      <w:pPr>
        <w:pStyle w:val="8"/>
        <w:widowControl/>
        <w:spacing w:after="0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2019年度，</w:t>
      </w:r>
      <w:r>
        <w:rPr>
          <w:rFonts w:hint="eastAsia" w:ascii="仿宋_GB2312" w:hAnsi="仿宋_GB2312" w:eastAsia="仿宋_GB2312" w:cs="仿宋_GB2312"/>
          <w:color w:val="000000" w:themeColor="text1"/>
          <w:kern w:val="22"/>
          <w:sz w:val="32"/>
          <w:szCs w:val="32"/>
        </w:rPr>
        <w:t>我局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共收到政府信息公开申请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</w:rPr>
        <w:t>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件，结转下年度继续办理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</w:rPr>
        <w:t>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件，上年结转政府信息公开申请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</w:rPr>
        <w:t>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件。</w:t>
      </w:r>
    </w:p>
    <w:tbl>
      <w:tblPr>
        <w:tblStyle w:val="10"/>
        <w:tblW w:w="9781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560"/>
        <w:gridCol w:w="2693"/>
        <w:gridCol w:w="567"/>
        <w:gridCol w:w="709"/>
        <w:gridCol w:w="708"/>
        <w:gridCol w:w="709"/>
        <w:gridCol w:w="709"/>
        <w:gridCol w:w="709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4820" w:type="dxa"/>
            <w:gridSpan w:val="3"/>
            <w:vMerge w:val="restart"/>
            <w:vAlign w:val="center"/>
          </w:tcPr>
          <w:p>
            <w:pPr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（本列数据的勾稽关系为：第一项加第二项之和，等于第三项加第四项之和）</w:t>
            </w:r>
          </w:p>
        </w:tc>
        <w:tc>
          <w:tcPr>
            <w:tcW w:w="4961" w:type="dxa"/>
            <w:gridSpan w:val="7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4820" w:type="dxa"/>
            <w:gridSpan w:val="3"/>
            <w:vMerge w:val="continue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</w:rPr>
              <w:t>自然人</w:t>
            </w:r>
          </w:p>
        </w:tc>
        <w:tc>
          <w:tcPr>
            <w:tcW w:w="3544" w:type="dxa"/>
            <w:gridSpan w:val="5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</w:rPr>
              <w:t>法人或其他组织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4820" w:type="dxa"/>
            <w:gridSpan w:val="3"/>
            <w:vMerge w:val="continue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567" w:type="dxa"/>
            <w:vMerge w:val="continue"/>
          </w:tcPr>
          <w:p>
            <w:pPr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</w:rPr>
              <w:t>商业企业</w:t>
            </w:r>
          </w:p>
        </w:tc>
        <w:tc>
          <w:tcPr>
            <w:tcW w:w="708" w:type="dxa"/>
            <w:vAlign w:val="center"/>
          </w:tcPr>
          <w:p>
            <w:pPr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</w:rPr>
              <w:t>科研机构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</w:rPr>
              <w:t>社会公益组织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</w:rPr>
              <w:t>法律服务机构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</w:rPr>
              <w:t>其他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rPr>
                <w:color w:val="000000" w:themeColor="text1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4820" w:type="dxa"/>
            <w:gridSpan w:val="3"/>
          </w:tcPr>
          <w:p>
            <w:pPr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一、本年新收政府信息公开申请数量</w:t>
            </w:r>
          </w:p>
        </w:tc>
        <w:tc>
          <w:tcPr>
            <w:tcW w:w="567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4820" w:type="dxa"/>
            <w:gridSpan w:val="3"/>
          </w:tcPr>
          <w:p>
            <w:pPr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二、上年结转政府信息公开申请数量</w:t>
            </w:r>
          </w:p>
        </w:tc>
        <w:tc>
          <w:tcPr>
            <w:tcW w:w="567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8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850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567" w:type="dxa"/>
            <w:vMerge w:val="restart"/>
            <w:vAlign w:val="center"/>
          </w:tcPr>
          <w:p>
            <w:pPr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三、本年度办理结果</w:t>
            </w:r>
          </w:p>
        </w:tc>
        <w:tc>
          <w:tcPr>
            <w:tcW w:w="4253" w:type="dxa"/>
            <w:gridSpan w:val="2"/>
          </w:tcPr>
          <w:p>
            <w:pPr>
              <w:rPr>
                <w:rFonts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18"/>
                <w:szCs w:val="18"/>
              </w:rPr>
              <w:t>（一）予以公开</w:t>
            </w:r>
          </w:p>
        </w:tc>
        <w:tc>
          <w:tcPr>
            <w:tcW w:w="567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8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850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4253" w:type="dxa"/>
            <w:gridSpan w:val="2"/>
          </w:tcPr>
          <w:p>
            <w:pPr>
              <w:rPr>
                <w:rFonts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67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8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850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67" w:type="dxa"/>
            <w:vMerge w:val="continue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rPr>
                <w:rFonts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18"/>
                <w:szCs w:val="18"/>
              </w:rPr>
              <w:t>（三）不予公开</w:t>
            </w: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18"/>
                <w:szCs w:val="18"/>
              </w:rPr>
              <w:t>．属于国家秘密</w:t>
            </w:r>
          </w:p>
        </w:tc>
        <w:tc>
          <w:tcPr>
            <w:tcW w:w="567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8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850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567" w:type="dxa"/>
            <w:vMerge w:val="continue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18"/>
                <w:szCs w:val="18"/>
              </w:rPr>
              <w:t>2．其他法律行政法规禁止公开</w:t>
            </w:r>
          </w:p>
        </w:tc>
        <w:tc>
          <w:tcPr>
            <w:tcW w:w="567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8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850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67" w:type="dxa"/>
            <w:vMerge w:val="continue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18"/>
                <w:szCs w:val="18"/>
              </w:rPr>
              <w:t>3．危及“三安全一稳定”</w:t>
            </w:r>
          </w:p>
        </w:tc>
        <w:tc>
          <w:tcPr>
            <w:tcW w:w="567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8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850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7" w:type="dxa"/>
            <w:vMerge w:val="continue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18"/>
                <w:szCs w:val="18"/>
              </w:rPr>
              <w:t>4．保护第三方合法权益</w:t>
            </w:r>
          </w:p>
        </w:tc>
        <w:tc>
          <w:tcPr>
            <w:tcW w:w="567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8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850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67" w:type="dxa"/>
            <w:vMerge w:val="continue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18"/>
                <w:szCs w:val="18"/>
              </w:rPr>
              <w:t>5．属于三类内部事务信息</w:t>
            </w:r>
          </w:p>
        </w:tc>
        <w:tc>
          <w:tcPr>
            <w:tcW w:w="567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8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850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567" w:type="dxa"/>
            <w:vMerge w:val="continue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18"/>
                <w:szCs w:val="18"/>
              </w:rPr>
              <w:t>6．属于四类过程性信息</w:t>
            </w:r>
          </w:p>
        </w:tc>
        <w:tc>
          <w:tcPr>
            <w:tcW w:w="567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8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850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67" w:type="dxa"/>
            <w:vMerge w:val="continue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18"/>
                <w:szCs w:val="18"/>
              </w:rPr>
              <w:t>7．属于行政执法案卷</w:t>
            </w:r>
          </w:p>
        </w:tc>
        <w:tc>
          <w:tcPr>
            <w:tcW w:w="567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8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850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67" w:type="dxa"/>
            <w:vMerge w:val="continue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18"/>
                <w:szCs w:val="18"/>
              </w:rPr>
              <w:t>8．属于行政查询事项</w:t>
            </w:r>
          </w:p>
        </w:tc>
        <w:tc>
          <w:tcPr>
            <w:tcW w:w="567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8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850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567" w:type="dxa"/>
            <w:vMerge w:val="continue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rPr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（四）无法提供</w:t>
            </w: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18"/>
                <w:szCs w:val="18"/>
              </w:rPr>
              <w:t>1．本机关不掌握相关政府信息</w:t>
            </w:r>
          </w:p>
        </w:tc>
        <w:tc>
          <w:tcPr>
            <w:tcW w:w="567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8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850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567" w:type="dxa"/>
            <w:vMerge w:val="continue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18"/>
                <w:szCs w:val="18"/>
              </w:rPr>
              <w:t>2．没有现成信息需要另行制作</w:t>
            </w:r>
          </w:p>
        </w:tc>
        <w:tc>
          <w:tcPr>
            <w:tcW w:w="567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8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850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18"/>
                <w:szCs w:val="18"/>
              </w:rPr>
              <w:t>3．补正后申请内容仍不明确</w:t>
            </w:r>
          </w:p>
        </w:tc>
        <w:tc>
          <w:tcPr>
            <w:tcW w:w="567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8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850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567" w:type="dxa"/>
            <w:vMerge w:val="continue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rPr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（五）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18"/>
                <w:szCs w:val="18"/>
              </w:rPr>
              <w:t>不予处理</w:t>
            </w: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18"/>
                <w:szCs w:val="18"/>
              </w:rPr>
              <w:t>1．信访举报投诉类申请</w:t>
            </w:r>
          </w:p>
        </w:tc>
        <w:tc>
          <w:tcPr>
            <w:tcW w:w="567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8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850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18"/>
                <w:szCs w:val="18"/>
              </w:rPr>
              <w:t>2．重复申请</w:t>
            </w:r>
          </w:p>
        </w:tc>
        <w:tc>
          <w:tcPr>
            <w:tcW w:w="567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8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850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567" w:type="dxa"/>
            <w:vMerge w:val="continue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 w:themeColor="text1"/>
                <w:kern w:val="0"/>
                <w:sz w:val="18"/>
                <w:szCs w:val="18"/>
              </w:rPr>
              <w:t>3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18"/>
                <w:szCs w:val="18"/>
              </w:rPr>
              <w:t>．要求提供公开出版物</w:t>
            </w:r>
          </w:p>
        </w:tc>
        <w:tc>
          <w:tcPr>
            <w:tcW w:w="567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8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850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67" w:type="dxa"/>
            <w:vMerge w:val="continue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18"/>
                <w:szCs w:val="18"/>
              </w:rPr>
              <w:t>4．无正当理由大量反复申请</w:t>
            </w:r>
          </w:p>
        </w:tc>
        <w:tc>
          <w:tcPr>
            <w:tcW w:w="567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8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850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2693" w:type="dxa"/>
          </w:tcPr>
          <w:p>
            <w:pPr>
              <w:ind w:left="180" w:hanging="180" w:hangingChars="100"/>
              <w:rPr>
                <w:rFonts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18"/>
                <w:szCs w:val="18"/>
              </w:rPr>
              <w:t>5．要求行政机关确认或重新出具已获取信息</w:t>
            </w:r>
          </w:p>
        </w:tc>
        <w:tc>
          <w:tcPr>
            <w:tcW w:w="567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8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850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67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rPr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（六）其他处理</w:t>
            </w:r>
          </w:p>
        </w:tc>
        <w:tc>
          <w:tcPr>
            <w:tcW w:w="567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8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850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67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rPr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（七）总计</w:t>
            </w:r>
          </w:p>
        </w:tc>
        <w:tc>
          <w:tcPr>
            <w:tcW w:w="567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8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850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0" w:type="dxa"/>
            <w:gridSpan w:val="3"/>
            <w:vAlign w:val="center"/>
          </w:tcPr>
          <w:p>
            <w:pPr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四、结转下年度继续办理</w:t>
            </w:r>
          </w:p>
        </w:tc>
        <w:tc>
          <w:tcPr>
            <w:tcW w:w="567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8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850" w:type="dxa"/>
          </w:tcPr>
          <w:p>
            <w:pPr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0</w:t>
            </w:r>
          </w:p>
        </w:tc>
      </w:tr>
    </w:tbl>
    <w:p>
      <w:pPr>
        <w:pStyle w:val="8"/>
        <w:widowControl/>
        <w:spacing w:after="0"/>
        <w:ind w:firstLine="640" w:firstLineChars="200"/>
        <w:rPr>
          <w:rFonts w:ascii="仿宋_GB2312" w:hAnsi="仿宋" w:eastAsia="仿宋_GB2312" w:cs="仿宋"/>
          <w:color w:val="000000" w:themeColor="text1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黑体" w:hAnsi="黑体" w:eastAsia="黑体"/>
          <w:color w:val="000000" w:themeColor="text1"/>
          <w:kern w:val="22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kern w:val="22"/>
          <w:sz w:val="32"/>
          <w:szCs w:val="32"/>
        </w:rPr>
        <w:t>四、政府信息公开行政复议、行政诉讼情况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kern w:val="2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2019年，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我局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因政府信息公开引起的行政复议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件，行政诉讼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件。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/>
          <w:color w:val="000000" w:themeColor="text1"/>
          <w:kern w:val="22"/>
          <w:sz w:val="32"/>
          <w:szCs w:val="32"/>
        </w:rPr>
      </w:pPr>
    </w:p>
    <w:tbl>
      <w:tblPr>
        <w:tblStyle w:val="10"/>
        <w:tblW w:w="10206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08"/>
        <w:gridCol w:w="709"/>
        <w:gridCol w:w="682"/>
        <w:gridCol w:w="594"/>
        <w:gridCol w:w="709"/>
        <w:gridCol w:w="709"/>
        <w:gridCol w:w="709"/>
        <w:gridCol w:w="708"/>
        <w:gridCol w:w="567"/>
        <w:gridCol w:w="851"/>
        <w:gridCol w:w="650"/>
        <w:gridCol w:w="767"/>
        <w:gridCol w:w="709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</w:rPr>
              <w:t>行政复议</w:t>
            </w:r>
          </w:p>
        </w:tc>
        <w:tc>
          <w:tcPr>
            <w:tcW w:w="6804" w:type="dxa"/>
            <w:gridSpan w:val="10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</w:rPr>
              <w:t>结果维持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</w:rPr>
              <w:t>结果纠正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</w:rPr>
              <w:t>其他结果</w:t>
            </w:r>
          </w:p>
        </w:tc>
        <w:tc>
          <w:tcPr>
            <w:tcW w:w="682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</w:rPr>
              <w:t>尚未审结</w:t>
            </w:r>
          </w:p>
        </w:tc>
        <w:tc>
          <w:tcPr>
            <w:tcW w:w="594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</w:rPr>
              <w:t>总计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</w:rPr>
              <w:t>未经复议直接起诉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82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594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</w:rPr>
              <w:t>结果维持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</w:rPr>
              <w:t>其他结果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</w:rPr>
              <w:t>尚未审结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</w:rPr>
              <w:t>总计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</w:rPr>
              <w:t>结果维持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</w:rPr>
              <w:t>结果纠正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</w:rPr>
              <w:t>其他结果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="宋体"/>
                <w:color w:val="000000" w:themeColor="text1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eastAsia="宋体"/>
                <w:color w:val="000000" w:themeColor="text1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="宋体"/>
                <w:color w:val="000000" w:themeColor="text1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hint="eastAsia" w:eastAsia="宋体"/>
                <w:color w:val="000000" w:themeColor="text1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594" w:type="dxa"/>
            <w:vAlign w:val="center"/>
          </w:tcPr>
          <w:p>
            <w:pPr>
              <w:jc w:val="center"/>
              <w:rPr>
                <w:rFonts w:hint="eastAsia" w:eastAsia="宋体"/>
                <w:color w:val="000000" w:themeColor="text1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="宋体"/>
                <w:color w:val="000000" w:themeColor="text1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="宋体"/>
                <w:color w:val="000000" w:themeColor="text1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="宋体"/>
                <w:color w:val="000000" w:themeColor="text1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eastAsia="宋体"/>
                <w:color w:val="000000" w:themeColor="text1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eastAsia="宋体"/>
                <w:color w:val="000000" w:themeColor="text1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eastAsia="宋体"/>
                <w:color w:val="000000" w:themeColor="text1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Fonts w:hint="eastAsia" w:eastAsia="宋体"/>
                <w:color w:val="000000" w:themeColor="text1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hint="eastAsia" w:eastAsia="宋体"/>
                <w:color w:val="000000" w:themeColor="text1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="宋体"/>
                <w:color w:val="000000" w:themeColor="text1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hint="eastAsia" w:eastAsia="宋体"/>
                <w:color w:val="000000" w:themeColor="text1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560" w:lineRule="exact"/>
        <w:ind w:firstLine="640" w:firstLineChars="200"/>
        <w:jc w:val="left"/>
        <w:rPr>
          <w:rFonts w:ascii="黑体" w:hAnsi="黑体" w:eastAsia="黑体"/>
          <w:color w:val="000000" w:themeColor="text1"/>
          <w:kern w:val="2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仿宋"/>
          <w:color w:val="000000" w:themeColor="text1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kern w:val="22"/>
          <w:sz w:val="32"/>
          <w:szCs w:val="32"/>
        </w:rPr>
        <w:t>五、存在的主要问题及改进情况</w:t>
      </w:r>
    </w:p>
    <w:p>
      <w:pPr>
        <w:spacing w:line="560" w:lineRule="exact"/>
        <w:ind w:firstLine="640" w:firstLineChars="200"/>
        <w:jc w:val="left"/>
        <w:outlineLvl w:val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2019年，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我局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信息公开工作进展顺利，公开力度加大，但是也还存在着一些问题：</w:t>
      </w:r>
    </w:p>
    <w:p>
      <w:pPr>
        <w:spacing w:line="560" w:lineRule="exact"/>
        <w:ind w:firstLine="640" w:firstLineChars="200"/>
        <w:jc w:val="left"/>
        <w:outlineLvl w:val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一是对政府信息公开工作认识有待进一步增强，主动公开内容还有待进一步充实和完善。二是信息更新还不够及时有力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，信息公开的载体和形式还需要进一步丰富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。三是公开信息的内容与群众需求还存在一些差距。</w:t>
      </w:r>
    </w:p>
    <w:p>
      <w:pPr>
        <w:spacing w:line="560" w:lineRule="exact"/>
        <w:ind w:firstLine="640" w:firstLineChars="200"/>
        <w:jc w:val="left"/>
        <w:outlineLvl w:val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2020年，我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将加强以下工作，全力推动全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政府信息公开工作深入开展。</w:t>
      </w:r>
    </w:p>
    <w:p>
      <w:pPr>
        <w:spacing w:line="560" w:lineRule="exact"/>
        <w:ind w:firstLine="640" w:firstLineChars="200"/>
        <w:jc w:val="left"/>
        <w:outlineLvl w:val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一是加强学习和培训。加强对全体干部的政府信息公开工作知识的学习和培训,促进广大干部进一步领会和贯彻落实《中华人民共和国政府信息公开条例》,强化干部职工政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府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信息公开责任意识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不断提高政府信息公开工作的质量和水平。</w:t>
      </w:r>
    </w:p>
    <w:p>
      <w:pPr>
        <w:spacing w:line="560" w:lineRule="exact"/>
        <w:ind w:firstLine="640" w:firstLineChars="200"/>
        <w:jc w:val="left"/>
        <w:outlineLvl w:val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二是健全工作制度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健全机关政务信息公开有关规定，加强政府信息公开的内部审查、协调发布、监督检查等制度，促进政务公开工作走上制度化、规范化的轨道。</w:t>
      </w:r>
    </w:p>
    <w:p>
      <w:pPr>
        <w:spacing w:line="560" w:lineRule="exact"/>
        <w:ind w:firstLine="640" w:firstLineChars="200"/>
        <w:jc w:val="left"/>
        <w:outlineLvl w:val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三是加大工作力度。及时发布和更新依法应主动公开的政府信息，确保政府信息及时公开，并认真做好答复依申请公开政府信息工作。进一步完善政府信息公开制度，不断建立健全工作机制，维护政府信息公开工作的正常秩序。</w:t>
      </w:r>
    </w:p>
    <w:p>
      <w:pPr>
        <w:spacing w:line="560" w:lineRule="exact"/>
        <w:ind w:firstLine="640" w:firstLineChars="200"/>
        <w:jc w:val="left"/>
        <w:outlineLvl w:val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四是坚持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群众需求导向。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把群众最关心、最需要了解的事项公开作为政务公开的重点，严格按照《条例》要求公开工作内容，确保完整、及时、准确地向社会公开政府信息。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/>
          <w:color w:val="000000" w:themeColor="text1"/>
          <w:kern w:val="22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kern w:val="22"/>
          <w:sz w:val="32"/>
          <w:szCs w:val="32"/>
        </w:rPr>
        <w:t>六、其他需要报告的事项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hint="eastAsia" w:ascii="仿宋_GB2312" w:hAnsi="仿宋" w:eastAsia="仿宋_GB2312" w:cs="仿宋"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</w:rPr>
        <w:t>我局暂无其他需要报告的事项。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ascii="仿宋_GB2312" w:hAnsi="仿宋" w:eastAsia="仿宋_GB2312" w:cs="仿宋"/>
          <w:color w:val="000000" w:themeColor="text1"/>
          <w:sz w:val="32"/>
          <w:szCs w:val="32"/>
        </w:rPr>
      </w:pP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ascii="仿宋_GB2312" w:hAnsi="仿宋" w:eastAsia="仿宋_GB2312" w:cs="仿宋"/>
          <w:color w:val="000000" w:themeColor="text1"/>
          <w:sz w:val="32"/>
          <w:szCs w:val="32"/>
        </w:rPr>
      </w:pPr>
    </w:p>
    <w:p>
      <w:pPr>
        <w:pStyle w:val="8"/>
        <w:widowControl/>
        <w:spacing w:after="0" w:line="560" w:lineRule="exact"/>
        <w:ind w:firstLine="640" w:firstLineChars="200"/>
        <w:jc w:val="center"/>
        <w:rPr>
          <w:rFonts w:hint="eastAsia" w:ascii="仿宋_GB2312" w:hAnsi="仿宋" w:eastAsia="仿宋_GB2312" w:cs="仿宋"/>
          <w:color w:val="000000" w:themeColor="text1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</w:rPr>
        <w:t>高青县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lang w:eastAsia="zh-CN"/>
        </w:rPr>
        <w:t>司法局</w:t>
      </w:r>
    </w:p>
    <w:p>
      <w:pPr>
        <w:pStyle w:val="8"/>
        <w:widowControl/>
        <w:spacing w:after="0" w:line="560" w:lineRule="exact"/>
        <w:ind w:firstLine="640" w:firstLineChars="200"/>
        <w:jc w:val="center"/>
        <w:rPr>
          <w:rFonts w:ascii="仿宋_GB2312" w:hAnsi="仿宋" w:eastAsia="仿宋_GB2312" w:cs="仿宋"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</w:rPr>
        <w:t>20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</w:rPr>
        <w:t>年1月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lang w:val="en-US" w:eastAsia="zh-CN"/>
        </w:rPr>
        <w:t>21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</w:rPr>
        <w:t>日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ascii="仿宋_GB2312" w:hAnsi="仿宋" w:eastAsia="仿宋_GB2312" w:cs="仿宋"/>
          <w:color w:val="000000" w:themeColor="text1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B4557"/>
    <w:rsid w:val="00004CF5"/>
    <w:rsid w:val="00024E42"/>
    <w:rsid w:val="000345B4"/>
    <w:rsid w:val="00035216"/>
    <w:rsid w:val="00061B07"/>
    <w:rsid w:val="0006501F"/>
    <w:rsid w:val="000C22ED"/>
    <w:rsid w:val="000D3D1E"/>
    <w:rsid w:val="000F383D"/>
    <w:rsid w:val="001215E4"/>
    <w:rsid w:val="001551B9"/>
    <w:rsid w:val="00156800"/>
    <w:rsid w:val="00165287"/>
    <w:rsid w:val="00172237"/>
    <w:rsid w:val="00177AFC"/>
    <w:rsid w:val="00195112"/>
    <w:rsid w:val="00195C7C"/>
    <w:rsid w:val="00195D72"/>
    <w:rsid w:val="001A4452"/>
    <w:rsid w:val="001B463C"/>
    <w:rsid w:val="001C2DCD"/>
    <w:rsid w:val="001E256B"/>
    <w:rsid w:val="001E7B38"/>
    <w:rsid w:val="001F3CA4"/>
    <w:rsid w:val="001F3D15"/>
    <w:rsid w:val="001F53D4"/>
    <w:rsid w:val="00203EC3"/>
    <w:rsid w:val="00213531"/>
    <w:rsid w:val="00221CC4"/>
    <w:rsid w:val="00244E3E"/>
    <w:rsid w:val="00263B33"/>
    <w:rsid w:val="002B625C"/>
    <w:rsid w:val="002C58DB"/>
    <w:rsid w:val="002E5D54"/>
    <w:rsid w:val="002E67E1"/>
    <w:rsid w:val="002F35E4"/>
    <w:rsid w:val="0031159C"/>
    <w:rsid w:val="003441BE"/>
    <w:rsid w:val="003539B4"/>
    <w:rsid w:val="00361762"/>
    <w:rsid w:val="00363DDF"/>
    <w:rsid w:val="0039205B"/>
    <w:rsid w:val="003A230F"/>
    <w:rsid w:val="003A3153"/>
    <w:rsid w:val="003A57D1"/>
    <w:rsid w:val="003B2EF6"/>
    <w:rsid w:val="003C27DE"/>
    <w:rsid w:val="003C3846"/>
    <w:rsid w:val="003E2D20"/>
    <w:rsid w:val="003F52B2"/>
    <w:rsid w:val="003F6FE9"/>
    <w:rsid w:val="004076B3"/>
    <w:rsid w:val="00410A4A"/>
    <w:rsid w:val="004155DE"/>
    <w:rsid w:val="00416BC8"/>
    <w:rsid w:val="004449B9"/>
    <w:rsid w:val="004518C4"/>
    <w:rsid w:val="0045219A"/>
    <w:rsid w:val="00455BE3"/>
    <w:rsid w:val="0045733C"/>
    <w:rsid w:val="00462BD1"/>
    <w:rsid w:val="0046641C"/>
    <w:rsid w:val="0048058E"/>
    <w:rsid w:val="004A2D10"/>
    <w:rsid w:val="004D50F5"/>
    <w:rsid w:val="004E0762"/>
    <w:rsid w:val="004E1E7F"/>
    <w:rsid w:val="004E30D9"/>
    <w:rsid w:val="004F0C56"/>
    <w:rsid w:val="005113D1"/>
    <w:rsid w:val="0051560E"/>
    <w:rsid w:val="00546499"/>
    <w:rsid w:val="0054791A"/>
    <w:rsid w:val="00592243"/>
    <w:rsid w:val="005930D6"/>
    <w:rsid w:val="005F2577"/>
    <w:rsid w:val="00605185"/>
    <w:rsid w:val="0062262B"/>
    <w:rsid w:val="00622752"/>
    <w:rsid w:val="006373B2"/>
    <w:rsid w:val="006457E7"/>
    <w:rsid w:val="00653E08"/>
    <w:rsid w:val="00673AB3"/>
    <w:rsid w:val="00681292"/>
    <w:rsid w:val="006854F7"/>
    <w:rsid w:val="006B416F"/>
    <w:rsid w:val="006E0DFF"/>
    <w:rsid w:val="006F1D2B"/>
    <w:rsid w:val="0071110A"/>
    <w:rsid w:val="0071441F"/>
    <w:rsid w:val="0073505F"/>
    <w:rsid w:val="0075631C"/>
    <w:rsid w:val="00773F1C"/>
    <w:rsid w:val="00776A6F"/>
    <w:rsid w:val="0078711F"/>
    <w:rsid w:val="007F701A"/>
    <w:rsid w:val="008074D5"/>
    <w:rsid w:val="00807FE9"/>
    <w:rsid w:val="008226FB"/>
    <w:rsid w:val="0082402B"/>
    <w:rsid w:val="00831B01"/>
    <w:rsid w:val="00843B00"/>
    <w:rsid w:val="008560C3"/>
    <w:rsid w:val="00893EF5"/>
    <w:rsid w:val="008A7057"/>
    <w:rsid w:val="008B43DB"/>
    <w:rsid w:val="008D04B4"/>
    <w:rsid w:val="008E7927"/>
    <w:rsid w:val="008F28A6"/>
    <w:rsid w:val="00904CA4"/>
    <w:rsid w:val="009102B2"/>
    <w:rsid w:val="009160F6"/>
    <w:rsid w:val="009231FA"/>
    <w:rsid w:val="009413F6"/>
    <w:rsid w:val="00973EB1"/>
    <w:rsid w:val="009A72A5"/>
    <w:rsid w:val="009B314C"/>
    <w:rsid w:val="009B6A99"/>
    <w:rsid w:val="009C1854"/>
    <w:rsid w:val="009C7FFB"/>
    <w:rsid w:val="009D0157"/>
    <w:rsid w:val="009E6762"/>
    <w:rsid w:val="00A07E74"/>
    <w:rsid w:val="00A126E1"/>
    <w:rsid w:val="00A17F65"/>
    <w:rsid w:val="00A36890"/>
    <w:rsid w:val="00A40BEE"/>
    <w:rsid w:val="00A43397"/>
    <w:rsid w:val="00A77CA1"/>
    <w:rsid w:val="00A81B6C"/>
    <w:rsid w:val="00AA1919"/>
    <w:rsid w:val="00AA2CFC"/>
    <w:rsid w:val="00AB4557"/>
    <w:rsid w:val="00AE4342"/>
    <w:rsid w:val="00AF0A0B"/>
    <w:rsid w:val="00B03267"/>
    <w:rsid w:val="00B20805"/>
    <w:rsid w:val="00B4577F"/>
    <w:rsid w:val="00B76FE3"/>
    <w:rsid w:val="00BB08FE"/>
    <w:rsid w:val="00BD7155"/>
    <w:rsid w:val="00BE00D7"/>
    <w:rsid w:val="00C0791E"/>
    <w:rsid w:val="00C20AB8"/>
    <w:rsid w:val="00C24168"/>
    <w:rsid w:val="00C32825"/>
    <w:rsid w:val="00C34FCB"/>
    <w:rsid w:val="00C35E2F"/>
    <w:rsid w:val="00C45260"/>
    <w:rsid w:val="00C727B3"/>
    <w:rsid w:val="00C95677"/>
    <w:rsid w:val="00C9768C"/>
    <w:rsid w:val="00CA1A71"/>
    <w:rsid w:val="00CA3057"/>
    <w:rsid w:val="00CB2E2A"/>
    <w:rsid w:val="00CC518B"/>
    <w:rsid w:val="00CD12B9"/>
    <w:rsid w:val="00D22310"/>
    <w:rsid w:val="00D23448"/>
    <w:rsid w:val="00D54B8B"/>
    <w:rsid w:val="00D6313B"/>
    <w:rsid w:val="00D75309"/>
    <w:rsid w:val="00D77BF0"/>
    <w:rsid w:val="00D821EE"/>
    <w:rsid w:val="00DD499D"/>
    <w:rsid w:val="00DE7F16"/>
    <w:rsid w:val="00DF3350"/>
    <w:rsid w:val="00E151D4"/>
    <w:rsid w:val="00E322B9"/>
    <w:rsid w:val="00ED48D7"/>
    <w:rsid w:val="00ED6409"/>
    <w:rsid w:val="00EE7323"/>
    <w:rsid w:val="00EE7AD5"/>
    <w:rsid w:val="00F2143F"/>
    <w:rsid w:val="00F40E98"/>
    <w:rsid w:val="00F665AB"/>
    <w:rsid w:val="00FB5EF6"/>
    <w:rsid w:val="00FC2F58"/>
    <w:rsid w:val="00FC53FA"/>
    <w:rsid w:val="00FD4423"/>
    <w:rsid w:val="00FD78D3"/>
    <w:rsid w:val="00FE729E"/>
    <w:rsid w:val="00FF041C"/>
    <w:rsid w:val="014746EA"/>
    <w:rsid w:val="0275433E"/>
    <w:rsid w:val="032D5C2F"/>
    <w:rsid w:val="0636232C"/>
    <w:rsid w:val="067009FC"/>
    <w:rsid w:val="09552C38"/>
    <w:rsid w:val="0A601FD5"/>
    <w:rsid w:val="0AB274D5"/>
    <w:rsid w:val="0C9F7342"/>
    <w:rsid w:val="0D1E2C07"/>
    <w:rsid w:val="0E08435F"/>
    <w:rsid w:val="0E8C358C"/>
    <w:rsid w:val="101B6CF7"/>
    <w:rsid w:val="10EB649B"/>
    <w:rsid w:val="121578E6"/>
    <w:rsid w:val="146F0B24"/>
    <w:rsid w:val="14A42B61"/>
    <w:rsid w:val="15C174DE"/>
    <w:rsid w:val="17587D65"/>
    <w:rsid w:val="179C5BAE"/>
    <w:rsid w:val="17C34087"/>
    <w:rsid w:val="17E2697C"/>
    <w:rsid w:val="19184F51"/>
    <w:rsid w:val="195F7D99"/>
    <w:rsid w:val="1A000B36"/>
    <w:rsid w:val="1B67047A"/>
    <w:rsid w:val="1C671E78"/>
    <w:rsid w:val="1C8F7372"/>
    <w:rsid w:val="1EC352F1"/>
    <w:rsid w:val="1F38524A"/>
    <w:rsid w:val="219F1DF7"/>
    <w:rsid w:val="21C70E72"/>
    <w:rsid w:val="222F5ABD"/>
    <w:rsid w:val="24563222"/>
    <w:rsid w:val="249F7D79"/>
    <w:rsid w:val="2562791D"/>
    <w:rsid w:val="25CD32BE"/>
    <w:rsid w:val="26806AC0"/>
    <w:rsid w:val="26FF6F23"/>
    <w:rsid w:val="270B40FF"/>
    <w:rsid w:val="27181E8B"/>
    <w:rsid w:val="27A82B8C"/>
    <w:rsid w:val="281D3646"/>
    <w:rsid w:val="2AF40CC0"/>
    <w:rsid w:val="2DC02C31"/>
    <w:rsid w:val="30B94DD5"/>
    <w:rsid w:val="3149542E"/>
    <w:rsid w:val="32BF6035"/>
    <w:rsid w:val="33834A1F"/>
    <w:rsid w:val="33F07367"/>
    <w:rsid w:val="34007697"/>
    <w:rsid w:val="34AC45EB"/>
    <w:rsid w:val="35B54504"/>
    <w:rsid w:val="35FD0467"/>
    <w:rsid w:val="362B59A7"/>
    <w:rsid w:val="374B464D"/>
    <w:rsid w:val="374C7B94"/>
    <w:rsid w:val="38194762"/>
    <w:rsid w:val="38603849"/>
    <w:rsid w:val="3ADB629C"/>
    <w:rsid w:val="3E2328CE"/>
    <w:rsid w:val="3F1C7DAF"/>
    <w:rsid w:val="41D06353"/>
    <w:rsid w:val="420A57AA"/>
    <w:rsid w:val="423F6F62"/>
    <w:rsid w:val="424628BB"/>
    <w:rsid w:val="43403782"/>
    <w:rsid w:val="44774AFF"/>
    <w:rsid w:val="44801D3D"/>
    <w:rsid w:val="448D0C02"/>
    <w:rsid w:val="468A2E42"/>
    <w:rsid w:val="4703181A"/>
    <w:rsid w:val="47426F0F"/>
    <w:rsid w:val="49A139FE"/>
    <w:rsid w:val="4A241056"/>
    <w:rsid w:val="4DC97136"/>
    <w:rsid w:val="51760B02"/>
    <w:rsid w:val="525665CB"/>
    <w:rsid w:val="52CC6E13"/>
    <w:rsid w:val="53B7460A"/>
    <w:rsid w:val="57190A4D"/>
    <w:rsid w:val="5C221042"/>
    <w:rsid w:val="5E2A4F10"/>
    <w:rsid w:val="5EF012AC"/>
    <w:rsid w:val="5EF7344D"/>
    <w:rsid w:val="5F284785"/>
    <w:rsid w:val="5F985130"/>
    <w:rsid w:val="5FC44B42"/>
    <w:rsid w:val="5FFA25BD"/>
    <w:rsid w:val="60467529"/>
    <w:rsid w:val="61DA73D9"/>
    <w:rsid w:val="624B31E7"/>
    <w:rsid w:val="62A51973"/>
    <w:rsid w:val="646D0E79"/>
    <w:rsid w:val="64F4117E"/>
    <w:rsid w:val="663B73A0"/>
    <w:rsid w:val="66F25ACA"/>
    <w:rsid w:val="67944E7E"/>
    <w:rsid w:val="67A765D1"/>
    <w:rsid w:val="698F64E9"/>
    <w:rsid w:val="69F20F8A"/>
    <w:rsid w:val="6AB35395"/>
    <w:rsid w:val="6B496E44"/>
    <w:rsid w:val="6BE21E1D"/>
    <w:rsid w:val="6CF95BE5"/>
    <w:rsid w:val="6D63006F"/>
    <w:rsid w:val="6E4B3573"/>
    <w:rsid w:val="6E914368"/>
    <w:rsid w:val="70BB3B47"/>
    <w:rsid w:val="70EE0B66"/>
    <w:rsid w:val="746239CD"/>
    <w:rsid w:val="75F506B4"/>
    <w:rsid w:val="764E2C4E"/>
    <w:rsid w:val="77057C03"/>
    <w:rsid w:val="776C0FC2"/>
    <w:rsid w:val="783E0BEF"/>
    <w:rsid w:val="78543B40"/>
    <w:rsid w:val="785E748A"/>
    <w:rsid w:val="78CC40B6"/>
    <w:rsid w:val="798A4BBC"/>
    <w:rsid w:val="7B60692B"/>
    <w:rsid w:val="7B83218A"/>
    <w:rsid w:val="7B951E2F"/>
    <w:rsid w:val="7C021746"/>
    <w:rsid w:val="7CF11D4C"/>
    <w:rsid w:val="7DE345C9"/>
    <w:rsid w:val="7E7205BB"/>
    <w:rsid w:val="7F7408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23"/>
    <w:qFormat/>
    <w:uiPriority w:val="99"/>
    <w:pPr>
      <w:keepNext/>
      <w:keepLines/>
      <w:spacing w:before="260" w:after="260" w:line="416" w:lineRule="auto"/>
      <w:outlineLvl w:val="2"/>
    </w:pPr>
    <w:rPr>
      <w:rFonts w:ascii="??" w:hAnsi="??" w:cs="??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7"/>
    <w:qFormat/>
    <w:uiPriority w:val="0"/>
    <w:pPr>
      <w:spacing w:after="120"/>
    </w:pPr>
    <w:rPr>
      <w:rFonts w:ascii="Times New Roman" w:hAnsi="Times New Roman" w:eastAsia="仿宋_GB2312" w:cs="仿宋_GB2312"/>
      <w:bCs/>
      <w:sz w:val="32"/>
      <w:szCs w:val="32"/>
    </w:rPr>
  </w:style>
  <w:style w:type="paragraph" w:styleId="4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footnote text"/>
    <w:basedOn w:val="1"/>
    <w:link w:val="26"/>
    <w:qFormat/>
    <w:uiPriority w:val="99"/>
    <w:pPr>
      <w:snapToGrid w:val="0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after="150"/>
      <w:jc w:val="left"/>
    </w:pPr>
    <w:rPr>
      <w:kern w:val="0"/>
      <w:sz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FollowedHyperlink"/>
    <w:basedOn w:val="11"/>
    <w:semiHidden/>
    <w:unhideWhenUsed/>
    <w:qFormat/>
    <w:uiPriority w:val="99"/>
    <w:rPr>
      <w:color w:val="800080"/>
      <w:u w:val="none"/>
    </w:rPr>
  </w:style>
  <w:style w:type="character" w:styleId="14">
    <w:name w:val="Emphasis"/>
    <w:basedOn w:val="11"/>
    <w:qFormat/>
    <w:uiPriority w:val="20"/>
  </w:style>
  <w:style w:type="character" w:styleId="15">
    <w:name w:val="HTML Definition"/>
    <w:basedOn w:val="11"/>
    <w:semiHidden/>
    <w:unhideWhenUsed/>
    <w:qFormat/>
    <w:uiPriority w:val="99"/>
  </w:style>
  <w:style w:type="character" w:styleId="16">
    <w:name w:val="HTML Acronym"/>
    <w:basedOn w:val="11"/>
    <w:semiHidden/>
    <w:unhideWhenUsed/>
    <w:qFormat/>
    <w:uiPriority w:val="99"/>
  </w:style>
  <w:style w:type="character" w:styleId="17">
    <w:name w:val="HTML Variable"/>
    <w:basedOn w:val="11"/>
    <w:semiHidden/>
    <w:unhideWhenUsed/>
    <w:qFormat/>
    <w:uiPriority w:val="99"/>
  </w:style>
  <w:style w:type="character" w:styleId="18">
    <w:name w:val="Hyperlink"/>
    <w:basedOn w:val="11"/>
    <w:semiHidden/>
    <w:unhideWhenUsed/>
    <w:qFormat/>
    <w:uiPriority w:val="99"/>
    <w:rPr>
      <w:color w:val="0000FF"/>
      <w:u w:val="none"/>
    </w:rPr>
  </w:style>
  <w:style w:type="character" w:styleId="19">
    <w:name w:val="HTML Code"/>
    <w:basedOn w:val="11"/>
    <w:semiHidden/>
    <w:unhideWhenUsed/>
    <w:qFormat/>
    <w:uiPriority w:val="99"/>
    <w:rPr>
      <w:rFonts w:ascii="Courier New" w:hAnsi="Courier New"/>
      <w:sz w:val="20"/>
    </w:rPr>
  </w:style>
  <w:style w:type="character" w:styleId="20">
    <w:name w:val="HTML Cite"/>
    <w:basedOn w:val="11"/>
    <w:semiHidden/>
    <w:unhideWhenUsed/>
    <w:qFormat/>
    <w:uiPriority w:val="99"/>
  </w:style>
  <w:style w:type="character" w:customStyle="1" w:styleId="21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22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23">
    <w:name w:val="标题 3 Char"/>
    <w:basedOn w:val="11"/>
    <w:link w:val="2"/>
    <w:qFormat/>
    <w:uiPriority w:val="99"/>
    <w:rPr>
      <w:rFonts w:ascii="??" w:hAnsi="??" w:eastAsia="宋体" w:cs="??"/>
      <w:b/>
      <w:bCs/>
      <w:sz w:val="32"/>
      <w:szCs w:val="32"/>
    </w:rPr>
  </w:style>
  <w:style w:type="paragraph" w:customStyle="1" w:styleId="24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25">
    <w:name w:val="批注框文本 Char"/>
    <w:basedOn w:val="11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6">
    <w:name w:val="脚注文本 Char"/>
    <w:basedOn w:val="11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7">
    <w:name w:val="正文文本 Char"/>
    <w:basedOn w:val="11"/>
    <w:link w:val="3"/>
    <w:qFormat/>
    <w:uiPriority w:val="0"/>
    <w:rPr>
      <w:rFonts w:ascii="Times New Roman" w:hAnsi="Times New Roman" w:eastAsia="仿宋_GB2312" w:cs="仿宋_GB2312"/>
      <w:bCs/>
      <w:sz w:val="32"/>
      <w:szCs w:val="32"/>
    </w:rPr>
  </w:style>
  <w:style w:type="character" w:customStyle="1" w:styleId="28">
    <w:name w:val="current"/>
    <w:basedOn w:val="11"/>
    <w:qFormat/>
    <w:uiPriority w:val="0"/>
    <w:rPr>
      <w:color w:val="FFFFFF"/>
      <w:u w:val="none"/>
      <w:bdr w:val="single" w:color="FB6E52" w:sz="6" w:space="0"/>
      <w:shd w:val="clear" w:color="auto" w:fill="FB6E52"/>
    </w:rPr>
  </w:style>
  <w:style w:type="character" w:customStyle="1" w:styleId="29">
    <w:name w:val="current1"/>
    <w:basedOn w:val="11"/>
    <w:qFormat/>
    <w:uiPriority w:val="0"/>
    <w:rPr>
      <w:b/>
      <w:color w:val="FFFFFF"/>
      <w:bdr w:val="single" w:color="D80D00" w:sz="6" w:space="0"/>
      <w:shd w:val="clear" w:color="auto" w:fill="D80D00"/>
    </w:rPr>
  </w:style>
  <w:style w:type="character" w:customStyle="1" w:styleId="30">
    <w:name w:val="disabled"/>
    <w:basedOn w:val="11"/>
    <w:qFormat/>
    <w:uiPriority w:val="0"/>
    <w:rPr>
      <w:color w:val="CCCCCC"/>
      <w:bdr w:val="single" w:color="F3F3F3" w:sz="6" w:space="0"/>
    </w:rPr>
  </w:style>
  <w:style w:type="character" w:customStyle="1" w:styleId="31">
    <w:name w:val="active4"/>
    <w:basedOn w:val="11"/>
    <w:qFormat/>
    <w:uiPriority w:val="0"/>
    <w:rPr>
      <w:color w:val="FFFFFF"/>
      <w:shd w:val="clear" w:color="auto" w:fill="28B452"/>
    </w:rPr>
  </w:style>
  <w:style w:type="character" w:customStyle="1" w:styleId="32">
    <w:name w:val="active5"/>
    <w:basedOn w:val="11"/>
    <w:qFormat/>
    <w:uiPriority w:val="0"/>
    <w:rPr>
      <w:color w:val="FFFFFF"/>
      <w:shd w:val="clear" w:color="auto" w:fill="28B452"/>
    </w:rPr>
  </w:style>
  <w:style w:type="character" w:customStyle="1" w:styleId="33">
    <w:name w:val="active6"/>
    <w:basedOn w:val="11"/>
    <w:qFormat/>
    <w:uiPriority w:val="0"/>
    <w:rPr>
      <w:color w:val="FFFFFF"/>
      <w:shd w:val="clear" w:color="auto" w:fill="28B452"/>
    </w:rPr>
  </w:style>
  <w:style w:type="character" w:customStyle="1" w:styleId="34">
    <w:name w:val="active7"/>
    <w:basedOn w:val="11"/>
    <w:qFormat/>
    <w:uiPriority w:val="0"/>
    <w:rPr>
      <w:color w:val="FFFFFF"/>
      <w:shd w:val="clear" w:color="auto" w:fill="28B452"/>
    </w:rPr>
  </w:style>
  <w:style w:type="character" w:customStyle="1" w:styleId="35">
    <w:name w:val="active8"/>
    <w:basedOn w:val="11"/>
    <w:qFormat/>
    <w:uiPriority w:val="0"/>
    <w:rPr>
      <w:color w:val="28B452"/>
    </w:rPr>
  </w:style>
  <w:style w:type="character" w:customStyle="1" w:styleId="36">
    <w:name w:val="active9"/>
    <w:basedOn w:val="11"/>
    <w:qFormat/>
    <w:uiPriority w:val="0"/>
    <w:rPr>
      <w:color w:val="28B452"/>
    </w:rPr>
  </w:style>
  <w:style w:type="character" w:customStyle="1" w:styleId="37">
    <w:name w:val="active10"/>
    <w:basedOn w:val="11"/>
    <w:qFormat/>
    <w:uiPriority w:val="0"/>
    <w:rPr>
      <w:color w:val="FFFFFF"/>
    </w:rPr>
  </w:style>
  <w:style w:type="character" w:customStyle="1" w:styleId="38">
    <w:name w:val="s22"/>
    <w:basedOn w:val="11"/>
    <w:qFormat/>
    <w:uiPriority w:val="0"/>
  </w:style>
  <w:style w:type="character" w:customStyle="1" w:styleId="39">
    <w:name w:val="s32"/>
    <w:basedOn w:val="11"/>
    <w:qFormat/>
    <w:uiPriority w:val="0"/>
  </w:style>
  <w:style w:type="character" w:customStyle="1" w:styleId="40">
    <w:name w:val="s12"/>
    <w:basedOn w:val="11"/>
    <w:qFormat/>
    <w:uiPriority w:val="0"/>
  </w:style>
  <w:style w:type="character" w:customStyle="1" w:styleId="41">
    <w:name w:val="hover"/>
    <w:basedOn w:val="11"/>
    <w:qFormat/>
    <w:uiPriority w:val="0"/>
    <w:rPr>
      <w:shd w:val="clear" w:fill="EAEAEA"/>
    </w:rPr>
  </w:style>
  <w:style w:type="character" w:customStyle="1" w:styleId="42">
    <w:name w:val="nv6"/>
    <w:basedOn w:val="11"/>
    <w:qFormat/>
    <w:uiPriority w:val="0"/>
  </w:style>
  <w:style w:type="character" w:customStyle="1" w:styleId="43">
    <w:name w:val="font"/>
    <w:basedOn w:val="11"/>
    <w:qFormat/>
    <w:uiPriority w:val="0"/>
  </w:style>
  <w:style w:type="character" w:customStyle="1" w:styleId="44">
    <w:name w:val="font1"/>
    <w:basedOn w:val="11"/>
    <w:qFormat/>
    <w:uiPriority w:val="0"/>
  </w:style>
  <w:style w:type="character" w:customStyle="1" w:styleId="45">
    <w:name w:val="hover14"/>
    <w:basedOn w:val="11"/>
    <w:qFormat/>
    <w:uiPriority w:val="0"/>
    <w:rPr>
      <w:color w:val="FFFFFF"/>
      <w:shd w:val="clear" w:fill="F36E1E"/>
    </w:rPr>
  </w:style>
  <w:style w:type="character" w:customStyle="1" w:styleId="46">
    <w:name w:val="hover15"/>
    <w:basedOn w:val="11"/>
    <w:qFormat/>
    <w:uiPriority w:val="0"/>
  </w:style>
  <w:style w:type="character" w:customStyle="1" w:styleId="47">
    <w:name w:val="nv4"/>
    <w:basedOn w:val="11"/>
    <w:qFormat/>
    <w:uiPriority w:val="0"/>
  </w:style>
  <w:style w:type="character" w:customStyle="1" w:styleId="48">
    <w:name w:val="nv1"/>
    <w:basedOn w:val="11"/>
    <w:qFormat/>
    <w:uiPriority w:val="0"/>
  </w:style>
  <w:style w:type="character" w:customStyle="1" w:styleId="49">
    <w:name w:val="nv2"/>
    <w:basedOn w:val="11"/>
    <w:qFormat/>
    <w:uiPriority w:val="0"/>
  </w:style>
  <w:style w:type="character" w:customStyle="1" w:styleId="50">
    <w:name w:val="nv3"/>
    <w:basedOn w:val="11"/>
    <w:qFormat/>
    <w:uiPriority w:val="0"/>
  </w:style>
  <w:style w:type="character" w:customStyle="1" w:styleId="51">
    <w:name w:val="nv5"/>
    <w:basedOn w:val="11"/>
    <w:qFormat/>
    <w:uiPriority w:val="0"/>
  </w:style>
  <w:style w:type="character" w:customStyle="1" w:styleId="52">
    <w:name w:val="zmhdsp"/>
    <w:basedOn w:val="11"/>
    <w:qFormat/>
    <w:uiPriority w:val="0"/>
    <w:rPr>
      <w:b/>
      <w:color w:val="2055AE"/>
      <w:sz w:val="24"/>
      <w:szCs w:val="24"/>
    </w:rPr>
  </w:style>
  <w:style w:type="character" w:customStyle="1" w:styleId="53">
    <w:name w:val="hover16"/>
    <w:basedOn w:val="11"/>
    <w:qFormat/>
    <w:uiPriority w:val="0"/>
    <w:rPr>
      <w:color w:val="FFFFFF"/>
      <w:shd w:val="clear" w:fill="F36E1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557727-FDE4-4160-9A90-15D3C14E79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gq</Company>
  <Pages>6</Pages>
  <Words>442</Words>
  <Characters>2524</Characters>
  <Lines>21</Lines>
  <Paragraphs>5</Paragraphs>
  <TotalTime>0</TotalTime>
  <ScaleCrop>false</ScaleCrop>
  <LinksUpToDate>false</LinksUpToDate>
  <CharactersWithSpaces>2961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2019-10-14T08:08:00Z</dcterms:created>
  <dc:creator>lb</dc:creator>
  <cp:lastModifiedBy>Admin</cp:lastModifiedBy>
  <cp:lastPrinted>2020-01-10T02:38:00Z</cp:lastPrinted>
  <dcterms:modified xsi:type="dcterms:W3CDTF">2021-01-26T02:20:44Z</dcterms:modified>
  <cp:revision>160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