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38D51">
      <w:pPr>
        <w:spacing w:line="560" w:lineRule="exact"/>
        <w:ind w:firstLine="0"/>
        <w:jc w:val="center"/>
        <w:rPr>
          <w:rFonts w:hint="eastAsia" w:eastAsia="方正小标宋简体"/>
          <w:sz w:val="44"/>
          <w:szCs w:val="44"/>
        </w:rPr>
      </w:pPr>
      <w:r>
        <w:rPr>
          <w:rFonts w:hint="eastAsia" w:eastAsia="方正小标宋简体"/>
          <w:sz w:val="44"/>
          <w:szCs w:val="44"/>
        </w:rPr>
        <w:t>高青县</w:t>
      </w:r>
      <w:r>
        <w:rPr>
          <w:rFonts w:hint="eastAsia" w:eastAsia="方正小标宋简体"/>
          <w:sz w:val="44"/>
          <w:szCs w:val="44"/>
          <w:lang w:eastAsia="zh-CN"/>
        </w:rPr>
        <w:t>审计</w:t>
      </w:r>
      <w:r>
        <w:rPr>
          <w:rFonts w:hint="eastAsia" w:eastAsia="方正小标宋简体"/>
          <w:sz w:val="44"/>
          <w:szCs w:val="44"/>
        </w:rPr>
        <w:t>局202</w:t>
      </w:r>
      <w:r>
        <w:rPr>
          <w:rFonts w:hint="eastAsia" w:eastAsia="方正小标宋简体"/>
          <w:sz w:val="44"/>
          <w:szCs w:val="44"/>
          <w:lang w:val="en-US" w:eastAsia="zh-CN"/>
        </w:rPr>
        <w:t>5</w:t>
      </w:r>
      <w:r>
        <w:rPr>
          <w:rFonts w:hint="eastAsia" w:eastAsia="方正小标宋简体"/>
          <w:sz w:val="44"/>
          <w:szCs w:val="44"/>
        </w:rPr>
        <w:t>年</w:t>
      </w:r>
    </w:p>
    <w:p w14:paraId="215D5C9E">
      <w:pPr>
        <w:spacing w:line="560" w:lineRule="exact"/>
        <w:ind w:firstLine="0"/>
        <w:jc w:val="center"/>
        <w:rPr>
          <w:rFonts w:hint="eastAsia" w:eastAsia="方正小标宋简体"/>
          <w:sz w:val="44"/>
          <w:szCs w:val="44"/>
        </w:rPr>
      </w:pPr>
      <w:r>
        <w:rPr>
          <w:rFonts w:hint="eastAsia" w:eastAsia="方正小标宋简体"/>
          <w:sz w:val="44"/>
          <w:szCs w:val="44"/>
        </w:rPr>
        <w:t>政府信息公开工作年度报告</w:t>
      </w:r>
    </w:p>
    <w:p w14:paraId="661B7E2D">
      <w:pPr>
        <w:spacing w:line="560" w:lineRule="exact"/>
        <w:ind w:firstLine="0"/>
        <w:jc w:val="center"/>
        <w:rPr>
          <w:rFonts w:hint="eastAsia" w:eastAsia="方正小标宋简体"/>
          <w:sz w:val="44"/>
          <w:szCs w:val="44"/>
        </w:rPr>
      </w:pPr>
    </w:p>
    <w:p w14:paraId="475CEB32">
      <w:pPr>
        <w:spacing w:line="560" w:lineRule="exact"/>
        <w:ind w:firstLine="640" w:firstLineChars="200"/>
        <w:rPr>
          <w:rFonts w:eastAsia="仿宋_GB2312"/>
        </w:rPr>
      </w:pPr>
      <w:r>
        <w:rPr>
          <w:rFonts w:hint="eastAsia" w:eastAsia="仿宋_GB2312"/>
        </w:rPr>
        <w:t>本报告根据《中华人民共和国政府信息公开条例》（国务院令第711号，以下简称《条例》）和《国务院办公厅政府信息与政务公开办公室关于印发&lt;中华人民共和国政府信息公开工作年度报告格式&gt;的通知》（国办公开办函〔</w:t>
      </w:r>
      <w:r>
        <w:rPr>
          <w:rFonts w:eastAsia="仿宋_GB2312"/>
        </w:rPr>
        <w:t>2021〕30号</w:t>
      </w:r>
      <w:r>
        <w:rPr>
          <w:rFonts w:hint="eastAsia" w:eastAsia="仿宋_GB2312"/>
        </w:rPr>
        <w:t>）相关要求编制。报告全文分总体情况、主动公开政府信息情况、收到和处理政府信息公开申请情况、政府信息公开行政复议和行政诉讼情况、存在的主要问题及改进情况、其他需要报告的事项六个部分。</w:t>
      </w:r>
    </w:p>
    <w:p w14:paraId="29DAEAAF">
      <w:pPr>
        <w:spacing w:line="560" w:lineRule="exact"/>
        <w:ind w:firstLine="640" w:firstLineChars="200"/>
        <w:rPr>
          <w:rFonts w:eastAsia="仿宋_GB2312"/>
        </w:rPr>
      </w:pPr>
      <w:r>
        <w:rPr>
          <w:rFonts w:hint="eastAsia" w:eastAsia="仿宋_GB2312"/>
        </w:rPr>
        <w:t>报告中所列数据统计期限自202</w:t>
      </w:r>
      <w:r>
        <w:rPr>
          <w:rFonts w:hint="eastAsia" w:eastAsia="仿宋_GB2312"/>
          <w:lang w:val="en-US" w:eastAsia="zh-CN"/>
        </w:rPr>
        <w:t>5</w:t>
      </w:r>
      <w:r>
        <w:rPr>
          <w:rFonts w:hint="eastAsia" w:eastAsia="仿宋_GB2312"/>
        </w:rPr>
        <w:t>年1月1日始，至202</w:t>
      </w:r>
      <w:r>
        <w:rPr>
          <w:rFonts w:hint="eastAsia" w:eastAsia="仿宋_GB2312"/>
          <w:lang w:val="en-US" w:eastAsia="zh-CN"/>
        </w:rPr>
        <w:t>5</w:t>
      </w:r>
      <w:r>
        <w:rPr>
          <w:rFonts w:hint="eastAsia" w:eastAsia="仿宋_GB2312"/>
        </w:rPr>
        <w:t>年12月31日止。报告电子版可在高青县人民政府门户网站（www.gaoqing.gov.cn）查阅和下载。如对报告内容有疑问，请与高青县</w:t>
      </w:r>
      <w:r>
        <w:rPr>
          <w:rFonts w:hint="eastAsia" w:eastAsia="仿宋_GB2312"/>
          <w:lang w:eastAsia="zh-CN"/>
        </w:rPr>
        <w:t>审计</w:t>
      </w:r>
      <w:r>
        <w:rPr>
          <w:rFonts w:hint="eastAsia" w:eastAsia="仿宋_GB2312"/>
        </w:rPr>
        <w:t>局办公室联系（地址：山东省淄博市高青县</w:t>
      </w:r>
      <w:r>
        <w:rPr>
          <w:rFonts w:hint="eastAsia" w:eastAsia="仿宋_GB2312"/>
          <w:lang w:eastAsia="zh-CN"/>
        </w:rPr>
        <w:t>高苑</w:t>
      </w:r>
      <w:r>
        <w:rPr>
          <w:rFonts w:hint="eastAsia" w:eastAsia="仿宋_GB2312"/>
        </w:rPr>
        <w:t>路</w:t>
      </w:r>
      <w:r>
        <w:rPr>
          <w:rFonts w:hint="eastAsia" w:eastAsia="仿宋_GB2312"/>
          <w:lang w:val="en-US" w:eastAsia="zh-CN"/>
        </w:rPr>
        <w:t>7</w:t>
      </w:r>
      <w:r>
        <w:rPr>
          <w:rFonts w:hint="eastAsia" w:eastAsia="仿宋_GB2312"/>
        </w:rPr>
        <w:t>号；邮编：</w:t>
      </w:r>
      <w:r>
        <w:rPr>
          <w:rFonts w:hint="eastAsia" w:eastAsia="仿宋_GB2312"/>
          <w:lang w:val="en-US" w:eastAsia="zh-CN"/>
        </w:rPr>
        <w:t>256300</w:t>
      </w:r>
      <w:r>
        <w:rPr>
          <w:rFonts w:hint="eastAsia" w:eastAsia="仿宋_GB2312"/>
        </w:rPr>
        <w:t>；电话：0533-</w:t>
      </w:r>
      <w:r>
        <w:rPr>
          <w:rFonts w:hint="eastAsia" w:eastAsia="仿宋_GB2312"/>
          <w:lang w:val="en-US" w:eastAsia="zh-CN"/>
        </w:rPr>
        <w:t>6983589</w:t>
      </w:r>
      <w:r>
        <w:rPr>
          <w:rFonts w:hint="eastAsia" w:eastAsia="仿宋_GB2312"/>
        </w:rPr>
        <w:t>；传真：0533-</w:t>
      </w:r>
      <w:r>
        <w:rPr>
          <w:rFonts w:hint="eastAsia" w:eastAsia="仿宋_GB2312"/>
          <w:lang w:val="en-US" w:eastAsia="zh-CN"/>
        </w:rPr>
        <w:t>6962956</w:t>
      </w:r>
      <w:r>
        <w:rPr>
          <w:rFonts w:hint="eastAsia" w:eastAsia="仿宋_GB2312"/>
        </w:rPr>
        <w:t>；邮箱：</w:t>
      </w:r>
      <w:r>
        <w:rPr>
          <w:rFonts w:hint="eastAsia" w:eastAsia="仿宋_GB2312"/>
          <w:lang w:val="en-US" w:eastAsia="zh-CN"/>
        </w:rPr>
        <w:t>gqxsjj@zb.shandong.cn</w:t>
      </w:r>
      <w:r>
        <w:rPr>
          <w:rFonts w:hint="eastAsia" w:eastAsia="仿宋_GB2312"/>
        </w:rPr>
        <w:t>）。</w:t>
      </w:r>
    </w:p>
    <w:p w14:paraId="720DC661">
      <w:pPr>
        <w:spacing w:line="560" w:lineRule="exact"/>
        <w:ind w:firstLine="640" w:firstLineChars="200"/>
        <w:rPr>
          <w:rFonts w:eastAsia="黑体"/>
          <w:szCs w:val="32"/>
        </w:rPr>
      </w:pPr>
      <w:r>
        <w:rPr>
          <w:rFonts w:hint="eastAsia" w:eastAsia="黑体"/>
          <w:szCs w:val="32"/>
        </w:rPr>
        <w:t>一、总体情况</w:t>
      </w:r>
    </w:p>
    <w:p w14:paraId="66044D27">
      <w:pPr>
        <w:spacing w:line="560" w:lineRule="exact"/>
        <w:ind w:firstLine="640" w:firstLineChars="200"/>
        <w:rPr>
          <w:rFonts w:hint="eastAsia" w:eastAsia="仿宋_GB2312"/>
        </w:rPr>
      </w:pPr>
      <w:r>
        <w:rPr>
          <w:rFonts w:eastAsia="仿宋_GB2312"/>
        </w:rPr>
        <w:t>202</w:t>
      </w:r>
      <w:r>
        <w:rPr>
          <w:rFonts w:hint="eastAsia" w:eastAsia="仿宋_GB2312"/>
          <w:lang w:val="en-US" w:eastAsia="zh-CN"/>
        </w:rPr>
        <w:t>5</w:t>
      </w:r>
      <w:r>
        <w:rPr>
          <w:rFonts w:hint="eastAsia" w:eastAsia="仿宋_GB2312"/>
        </w:rPr>
        <w:t>年，高青县</w:t>
      </w:r>
      <w:r>
        <w:rPr>
          <w:rFonts w:hint="eastAsia" w:eastAsia="仿宋_GB2312"/>
          <w:lang w:eastAsia="zh-CN"/>
        </w:rPr>
        <w:t>审计</w:t>
      </w:r>
      <w:r>
        <w:rPr>
          <w:rFonts w:hint="eastAsia" w:eastAsia="仿宋_GB2312"/>
        </w:rPr>
        <w:t>局坚持以习近平新时代中国特色社会主义思想为指导，认真落实国家和省市县政务公开工作部署，围绕审计中心工作，</w:t>
      </w:r>
      <w:r>
        <w:rPr>
          <w:rFonts w:hint="eastAsia" w:eastAsia="仿宋_GB2312"/>
          <w:lang w:val="en-US" w:eastAsia="zh-CN"/>
        </w:rPr>
        <w:t>不断</w:t>
      </w:r>
      <w:r>
        <w:rPr>
          <w:rFonts w:hint="eastAsia" w:eastAsia="仿宋_GB2312"/>
        </w:rPr>
        <w:t>拓宽公开渠道、规范公开流程</w:t>
      </w:r>
      <w:r>
        <w:rPr>
          <w:rFonts w:hint="eastAsia" w:eastAsia="仿宋_GB2312"/>
          <w:lang w:eastAsia="zh-CN"/>
        </w:rPr>
        <w:t>，</w:t>
      </w:r>
      <w:r>
        <w:rPr>
          <w:rFonts w:hint="eastAsia" w:eastAsia="仿宋_GB2312"/>
        </w:rPr>
        <w:t>将政府信息公开与审计业务深度融合</w:t>
      </w:r>
      <w:r>
        <w:rPr>
          <w:rFonts w:hint="eastAsia" w:eastAsia="仿宋_GB2312"/>
          <w:lang w:eastAsia="zh-CN"/>
        </w:rPr>
        <w:t>，</w:t>
      </w:r>
      <w:r>
        <w:rPr>
          <w:rFonts w:hint="eastAsia" w:eastAsia="仿宋_GB2312"/>
        </w:rPr>
        <w:t>推动政府信息公开工作高质量发展。</w:t>
      </w:r>
    </w:p>
    <w:p w14:paraId="05C8118C">
      <w:pPr>
        <w:spacing w:line="560" w:lineRule="exact"/>
        <w:ind w:firstLine="640" w:firstLineChars="200"/>
        <w:rPr>
          <w:rFonts w:hint="eastAsia" w:ascii="楷体_GB2312" w:eastAsia="楷体_GB2312"/>
          <w:szCs w:val="32"/>
        </w:rPr>
      </w:pPr>
      <w:r>
        <w:rPr>
          <w:rFonts w:hint="eastAsia" w:ascii="楷体_GB2312" w:eastAsia="楷体_GB2312"/>
          <w:szCs w:val="32"/>
        </w:rPr>
        <w:t>（一）主动公开</w:t>
      </w:r>
    </w:p>
    <w:p w14:paraId="3E2CC8D7">
      <w:pPr>
        <w:spacing w:line="560" w:lineRule="exact"/>
        <w:ind w:firstLine="640" w:firstLineChars="200"/>
        <w:rPr>
          <w:rFonts w:hint="eastAsia" w:eastAsia="仿宋_GB2312"/>
        </w:rPr>
      </w:pPr>
      <w:r>
        <w:rPr>
          <w:rFonts w:hint="eastAsia" w:eastAsia="仿宋_GB2312"/>
        </w:rPr>
        <w:t>持续健全政府信息公开制度体系，夯实公开工作基础，结合审计工作实际，进一步明确公开范围</w:t>
      </w:r>
      <w:r>
        <w:rPr>
          <w:rFonts w:hint="eastAsia" w:eastAsia="仿宋_GB2312"/>
          <w:lang w:val="en-US" w:eastAsia="zh-CN"/>
        </w:rPr>
        <w:t>和时限</w:t>
      </w:r>
      <w:r>
        <w:rPr>
          <w:rFonts w:hint="eastAsia" w:eastAsia="仿宋_GB2312"/>
        </w:rPr>
        <w:t>要求，形成 “制度 + 流程 + 责任” 的闭环管理体系。坚持 “围绕中心、服务大局、贴近群众” 原则，系统推进主动公开工作，围绕重大审计项目实施、审计结果公告、工作动态等核心业务，公开县本级预算执行和其他财政收支审计工作报告，披露财政资金分配使用、存在的问题，推动财政资金规范，公开审计整改情况报告，</w:t>
      </w:r>
      <w:r>
        <w:rPr>
          <w:rFonts w:hint="eastAsia" w:eastAsia="仿宋_GB2312"/>
          <w:lang w:eastAsia="zh-CN"/>
        </w:rPr>
        <w:t>披露</w:t>
      </w:r>
      <w:r>
        <w:rPr>
          <w:rFonts w:hint="eastAsia" w:eastAsia="仿宋_GB2312"/>
        </w:rPr>
        <w:t>上年度审计发现问题的整改落实情况</w:t>
      </w:r>
      <w:r>
        <w:rPr>
          <w:rFonts w:hint="eastAsia" w:eastAsia="仿宋_GB2312"/>
          <w:lang w:eastAsia="zh-CN"/>
        </w:rPr>
        <w:t>，</w:t>
      </w:r>
      <w:r>
        <w:rPr>
          <w:rFonts w:hint="eastAsia" w:eastAsia="仿宋_GB2312"/>
        </w:rPr>
        <w:t>全面展现审计工作成效</w:t>
      </w:r>
      <w:r>
        <w:rPr>
          <w:rFonts w:hint="eastAsia" w:eastAsia="仿宋_GB2312"/>
          <w:lang w:eastAsia="zh-CN"/>
        </w:rPr>
        <w:t>。</w:t>
      </w:r>
      <w:r>
        <w:rPr>
          <w:rFonts w:hint="eastAsia" w:eastAsia="仿宋_GB2312"/>
        </w:rPr>
        <w:t>坚持以群众需求为导向，高效办理群众诉求，安排专人负责12345政务服务便民热线工单</w:t>
      </w:r>
      <w:r>
        <w:rPr>
          <w:rFonts w:hint="eastAsia" w:eastAsia="仿宋_GB2312"/>
          <w:lang w:eastAsia="zh-CN"/>
        </w:rPr>
        <w:t>回复</w:t>
      </w:r>
      <w:r>
        <w:rPr>
          <w:rFonts w:hint="eastAsia" w:eastAsia="仿宋_GB2312"/>
        </w:rPr>
        <w:t>办理</w:t>
      </w:r>
      <w:r>
        <w:rPr>
          <w:rFonts w:hint="eastAsia" w:eastAsia="仿宋_GB2312"/>
          <w:lang w:eastAsia="zh-CN"/>
        </w:rPr>
        <w:t>，</w:t>
      </w:r>
      <w:r>
        <w:rPr>
          <w:rFonts w:hint="eastAsia" w:eastAsia="仿宋_GB2312"/>
        </w:rPr>
        <w:t>成功举办 “政府开放日”活动</w:t>
      </w:r>
      <w:r>
        <w:rPr>
          <w:rFonts w:hint="eastAsia" w:eastAsia="仿宋_GB2312"/>
          <w:lang w:val="en-US" w:eastAsia="zh-CN"/>
        </w:rPr>
        <w:t>4</w:t>
      </w:r>
      <w:r>
        <w:rPr>
          <w:rFonts w:hint="eastAsia" w:eastAsia="仿宋_GB2312"/>
        </w:rPr>
        <w:t>次，</w:t>
      </w:r>
      <w:r>
        <w:rPr>
          <w:rFonts w:hint="eastAsia" w:eastAsia="仿宋_GB2312"/>
          <w:lang w:eastAsia="zh-CN"/>
        </w:rPr>
        <w:t>到被审计单位、“双报到社区”开展普法活动，</w:t>
      </w:r>
      <w:r>
        <w:rPr>
          <w:rFonts w:hint="eastAsia" w:eastAsia="仿宋_GB2312"/>
        </w:rPr>
        <w:t>有效拉近与公众的距离。</w:t>
      </w:r>
    </w:p>
    <w:p w14:paraId="12AE0B93">
      <w:pPr>
        <w:spacing w:line="560" w:lineRule="exact"/>
        <w:ind w:firstLine="640" w:firstLineChars="200"/>
        <w:rPr>
          <w:rFonts w:hint="eastAsia" w:eastAsia="仿宋_GB2312"/>
        </w:rPr>
      </w:pPr>
      <w:r>
        <w:rPr>
          <w:rFonts w:hint="eastAsia" w:eastAsia="仿宋_GB2312"/>
        </w:rPr>
        <w:drawing>
          <wp:anchor distT="0" distB="0" distL="114300" distR="114300" simplePos="0" relativeHeight="251659264" behindDoc="0" locked="0" layoutInCell="1" allowOverlap="1">
            <wp:simplePos x="0" y="0"/>
            <wp:positionH relativeFrom="column">
              <wp:posOffset>524510</wp:posOffset>
            </wp:positionH>
            <wp:positionV relativeFrom="paragraph">
              <wp:posOffset>248920</wp:posOffset>
            </wp:positionV>
            <wp:extent cx="4390390" cy="2211705"/>
            <wp:effectExtent l="5080" t="4445" r="5080" b="1270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D8DC1DC">
      <w:pPr>
        <w:spacing w:line="600" w:lineRule="exact"/>
        <w:jc w:val="left"/>
        <w:rPr>
          <w:rFonts w:hint="eastAsia" w:ascii="楷体_GB2312" w:eastAsia="楷体_GB2312"/>
        </w:rPr>
      </w:pPr>
    </w:p>
    <w:p w14:paraId="043EB7AA">
      <w:pPr>
        <w:spacing w:line="600" w:lineRule="exact"/>
        <w:jc w:val="left"/>
        <w:rPr>
          <w:rFonts w:hint="eastAsia" w:ascii="楷体_GB2312" w:eastAsia="楷体_GB2312"/>
        </w:rPr>
      </w:pPr>
    </w:p>
    <w:p w14:paraId="74F28893">
      <w:pPr>
        <w:spacing w:line="600" w:lineRule="exact"/>
        <w:jc w:val="left"/>
        <w:rPr>
          <w:rFonts w:hint="eastAsia" w:ascii="楷体_GB2312" w:eastAsia="楷体_GB2312"/>
        </w:rPr>
      </w:pPr>
    </w:p>
    <w:p w14:paraId="0F19E93D">
      <w:pPr>
        <w:spacing w:line="600" w:lineRule="exact"/>
        <w:jc w:val="left"/>
        <w:rPr>
          <w:rFonts w:hint="eastAsia" w:ascii="楷体_GB2312" w:eastAsia="楷体_GB2312"/>
        </w:rPr>
      </w:pPr>
    </w:p>
    <w:p w14:paraId="13E751A3">
      <w:pPr>
        <w:spacing w:line="600" w:lineRule="exact"/>
        <w:jc w:val="left"/>
        <w:rPr>
          <w:rFonts w:hint="eastAsia" w:ascii="楷体_GB2312" w:eastAsia="楷体_GB2312"/>
        </w:rPr>
      </w:pPr>
    </w:p>
    <w:p w14:paraId="37453C4F">
      <w:pPr>
        <w:spacing w:line="600" w:lineRule="exact"/>
        <w:jc w:val="left"/>
        <w:rPr>
          <w:rFonts w:hint="eastAsia" w:ascii="楷体_GB2312" w:eastAsia="楷体_GB2312"/>
          <w:highlight w:val="none"/>
        </w:rPr>
      </w:pPr>
    </w:p>
    <w:p w14:paraId="00532C77">
      <w:pPr>
        <w:spacing w:line="560" w:lineRule="exact"/>
        <w:ind w:firstLine="640" w:firstLineChars="200"/>
        <w:rPr>
          <w:rFonts w:hint="eastAsia" w:ascii="楷体_GB2312" w:eastAsia="楷体_GB2312"/>
          <w:szCs w:val="32"/>
        </w:rPr>
      </w:pPr>
      <w:r>
        <w:rPr>
          <w:rFonts w:hint="eastAsia" w:ascii="楷体_GB2312" w:eastAsia="楷体_GB2312"/>
          <w:szCs w:val="32"/>
        </w:rPr>
        <w:t>（二）依申请公开</w:t>
      </w:r>
    </w:p>
    <w:p w14:paraId="6A3FABCE">
      <w:pPr>
        <w:spacing w:line="560" w:lineRule="exact"/>
        <w:ind w:firstLine="640" w:firstLineChars="200"/>
        <w:rPr>
          <w:rFonts w:hint="eastAsia" w:eastAsia="仿宋_GB2312"/>
        </w:rPr>
      </w:pPr>
      <w:r>
        <w:rPr>
          <w:rFonts w:hint="eastAsia" w:eastAsia="仿宋_GB2312"/>
        </w:rPr>
        <w:t>严格遵循《中华人民共和国政府信息公开条例》要求，以规范化、便民化、高效化为目标，多措并举提升依申请工作质效。202</w:t>
      </w:r>
      <w:r>
        <w:rPr>
          <w:rFonts w:hint="eastAsia" w:eastAsia="仿宋_GB2312"/>
          <w:lang w:val="en-US" w:eastAsia="zh-CN"/>
        </w:rPr>
        <w:t>5</w:t>
      </w:r>
      <w:r>
        <w:rPr>
          <w:rFonts w:hint="eastAsia" w:eastAsia="仿宋_GB2312"/>
        </w:rPr>
        <w:t>年未收到政府信息公开申请，上年度结转0件。依申请公开政府信息未收取任何费用。未因政府信息公开被申请行政复议、提起行政诉讼。</w:t>
      </w:r>
    </w:p>
    <w:p w14:paraId="7800A497">
      <w:pPr>
        <w:spacing w:line="560" w:lineRule="exact"/>
        <w:ind w:firstLine="640" w:firstLineChars="200"/>
        <w:rPr>
          <w:rFonts w:hint="eastAsia" w:ascii="楷体_GB2312" w:eastAsia="楷体_GB2312"/>
          <w:szCs w:val="32"/>
        </w:rPr>
      </w:pPr>
      <w:r>
        <w:rPr>
          <w:rFonts w:hint="eastAsia" w:ascii="楷体_GB2312" w:eastAsia="楷体_GB2312"/>
          <w:szCs w:val="32"/>
        </w:rPr>
        <w:t>（三）政府信息管理</w:t>
      </w:r>
    </w:p>
    <w:p w14:paraId="7935BC22">
      <w:pPr>
        <w:spacing w:line="560" w:lineRule="exact"/>
        <w:ind w:firstLine="640" w:firstLineChars="200"/>
        <w:rPr>
          <w:rFonts w:eastAsia="仿宋_GB2312"/>
        </w:rPr>
      </w:pPr>
      <w:r>
        <w:rPr>
          <w:rFonts w:hint="eastAsia" w:eastAsia="仿宋_GB2312"/>
        </w:rPr>
        <w:t>聚焦政府信息全生命周期管理，建立“动态更新、规范清理、源头认定”的闭环机制，强化已公开信息</w:t>
      </w:r>
      <w:r>
        <w:rPr>
          <w:rFonts w:hint="eastAsia" w:eastAsia="仿宋_GB2312"/>
          <w:lang w:eastAsia="zh-CN"/>
        </w:rPr>
        <w:t>的定时</w:t>
      </w:r>
      <w:r>
        <w:rPr>
          <w:rFonts w:hint="eastAsia" w:eastAsia="仿宋_GB2312"/>
        </w:rPr>
        <w:t>更新与清理，明确更新频次和清理标准</w:t>
      </w:r>
      <w:r>
        <w:rPr>
          <w:rFonts w:hint="eastAsia" w:eastAsia="仿宋_GB2312"/>
          <w:lang w:eastAsia="zh-CN"/>
        </w:rPr>
        <w:t>，</w:t>
      </w:r>
      <w:r>
        <w:rPr>
          <w:rFonts w:hint="eastAsia" w:eastAsia="仿宋_GB2312"/>
        </w:rPr>
        <w:t>对领导分工、机构职能、联系方式等基础信息，实行 “月度核查、即时更新” 机制</w:t>
      </w:r>
      <w:r>
        <w:rPr>
          <w:rFonts w:hint="eastAsia" w:eastAsia="仿宋_GB2312"/>
          <w:lang w:eastAsia="zh-CN"/>
        </w:rPr>
        <w:t>。</w:t>
      </w:r>
      <w:r>
        <w:rPr>
          <w:rFonts w:hint="eastAsia" w:eastAsia="仿宋_GB2312"/>
        </w:rPr>
        <w:t>健全信息公开前审核机制，始终将保密审查作为政府信息公开的 “生命线”，严格执行</w:t>
      </w:r>
      <w:r>
        <w:rPr>
          <w:rFonts w:hint="eastAsia" w:eastAsia="仿宋_GB2312"/>
          <w:lang w:eastAsia="zh-CN"/>
        </w:rPr>
        <w:t>“</w:t>
      </w:r>
      <w:r>
        <w:rPr>
          <w:rFonts w:hint="eastAsia" w:eastAsia="仿宋_GB2312"/>
        </w:rPr>
        <w:t>三审三校</w:t>
      </w:r>
      <w:r>
        <w:rPr>
          <w:rFonts w:hint="eastAsia" w:eastAsia="仿宋_GB2312"/>
          <w:lang w:eastAsia="zh-CN"/>
        </w:rPr>
        <w:t>”</w:t>
      </w:r>
      <w:r>
        <w:rPr>
          <w:rFonts w:hint="eastAsia" w:eastAsia="仿宋_GB2312"/>
        </w:rPr>
        <w:t>制度</w:t>
      </w:r>
      <w:r>
        <w:rPr>
          <w:rFonts w:eastAsia="仿宋_GB2312"/>
        </w:rPr>
        <w:t>。</w:t>
      </w:r>
    </w:p>
    <w:p w14:paraId="5950B37C">
      <w:pPr>
        <w:spacing w:line="560" w:lineRule="exact"/>
        <w:ind w:firstLine="640" w:firstLineChars="200"/>
        <w:rPr>
          <w:rFonts w:hint="eastAsia" w:ascii="楷体_GB2312" w:eastAsia="楷体_GB2312"/>
          <w:szCs w:val="32"/>
        </w:rPr>
      </w:pPr>
      <w:r>
        <w:rPr>
          <w:rFonts w:hint="eastAsia" w:ascii="楷体_GB2312" w:eastAsia="楷体_GB2312"/>
          <w:szCs w:val="32"/>
        </w:rPr>
        <w:t>（四）政府信息公开平台建设</w:t>
      </w:r>
    </w:p>
    <w:p w14:paraId="3D461FD2">
      <w:pPr>
        <w:spacing w:line="560" w:lineRule="exact"/>
        <w:ind w:firstLine="640" w:firstLineChars="200"/>
        <w:rPr>
          <w:rFonts w:hint="eastAsia" w:eastAsia="仿宋_GB2312"/>
        </w:rPr>
      </w:pPr>
      <w:r>
        <w:rPr>
          <w:rFonts w:hint="eastAsia" w:eastAsia="仿宋_GB2312"/>
        </w:rPr>
        <w:t>以县政府门户网站为</w:t>
      </w:r>
      <w:r>
        <w:rPr>
          <w:rFonts w:hint="eastAsia" w:eastAsia="仿宋_GB2312"/>
          <w:lang w:val="en-US" w:eastAsia="zh-CN"/>
        </w:rPr>
        <w:t>信息</w:t>
      </w:r>
      <w:r>
        <w:rPr>
          <w:rFonts w:hint="eastAsia" w:eastAsia="仿宋_GB2312"/>
        </w:rPr>
        <w:t>公开阵地，持续优化</w:t>
      </w:r>
      <w:r>
        <w:rPr>
          <w:rFonts w:hint="eastAsia" w:eastAsia="仿宋_GB2312"/>
          <w:lang w:val="en-US" w:eastAsia="zh-CN"/>
        </w:rPr>
        <w:t>审计</w:t>
      </w:r>
      <w:r>
        <w:rPr>
          <w:rFonts w:hint="eastAsia" w:eastAsia="仿宋_GB2312"/>
        </w:rPr>
        <w:t>栏目设置</w:t>
      </w:r>
      <w:r>
        <w:rPr>
          <w:rFonts w:hint="eastAsia" w:eastAsia="仿宋_GB2312"/>
          <w:lang w:eastAsia="zh-CN"/>
        </w:rPr>
        <w:t>，</w:t>
      </w:r>
      <w:r>
        <w:rPr>
          <w:rFonts w:hint="eastAsia" w:eastAsia="仿宋_GB2312"/>
          <w:lang w:val="en-US" w:eastAsia="zh-CN"/>
        </w:rPr>
        <w:t>更新审计工作报告。</w:t>
      </w:r>
      <w:r>
        <w:rPr>
          <w:rFonts w:hint="eastAsia" w:eastAsia="仿宋_GB2312"/>
        </w:rPr>
        <w:t>建立</w:t>
      </w:r>
      <w:r>
        <w:rPr>
          <w:rFonts w:hint="eastAsia" w:eastAsia="仿宋_GB2312"/>
          <w:lang w:val="en-US" w:eastAsia="zh-CN"/>
        </w:rPr>
        <w:t>信息保障</w:t>
      </w:r>
      <w:r>
        <w:rPr>
          <w:rFonts w:hint="eastAsia" w:eastAsia="仿宋_GB2312"/>
        </w:rPr>
        <w:t>“专人负责、定期更新、闭环管理”机制。同时，定期开展网站内容自查自纠，排查整改错敏字、链接失效、格式不规范等问题，确保网站信息准确、链接通畅、排版规范。​</w:t>
      </w:r>
    </w:p>
    <w:p w14:paraId="3600DDE7">
      <w:pPr>
        <w:spacing w:line="600" w:lineRule="exact"/>
        <w:jc w:val="left"/>
        <w:rPr>
          <w:rFonts w:ascii="楷体_GB2312" w:eastAsia="楷体_GB2312"/>
        </w:rPr>
      </w:pPr>
      <w:r>
        <w:rPr>
          <w:rFonts w:hint="eastAsia" w:ascii="楷体_GB2312" w:eastAsia="楷体_GB2312"/>
          <w:szCs w:val="32"/>
        </w:rPr>
        <w:t>（</w:t>
      </w:r>
      <w:r>
        <w:rPr>
          <w:rFonts w:hint="eastAsia" w:ascii="楷体_GB2312" w:eastAsia="楷体_GB2312"/>
          <w:szCs w:val="32"/>
        </w:rPr>
        <w:t>五）监督保障</w:t>
      </w:r>
    </w:p>
    <w:p w14:paraId="43181ABB">
      <w:pPr>
        <w:spacing w:line="560" w:lineRule="exact"/>
        <w:ind w:firstLine="640" w:firstLineChars="200"/>
        <w:rPr>
          <w:rFonts w:hint="eastAsia" w:eastAsia="仿宋_GB2312"/>
          <w:lang w:eastAsia="zh-CN"/>
        </w:rPr>
      </w:pPr>
      <w:r>
        <w:rPr>
          <w:rFonts w:hint="eastAsia" w:eastAsia="仿宋_GB2312"/>
        </w:rPr>
        <w:t>强化统筹部署和监督指导，将信息公开工作纳入全局重点工作部署，与审计业务工作同研究、同推进。明确专门工作机构和人员队伍，</w:t>
      </w:r>
      <w:r>
        <w:rPr>
          <w:rFonts w:hint="eastAsia" w:eastAsia="仿宋_GB2312"/>
          <w:lang w:eastAsia="zh-CN"/>
        </w:rPr>
        <w:t>配备</w:t>
      </w:r>
      <w:r>
        <w:rPr>
          <w:rFonts w:hint="eastAsia" w:eastAsia="仿宋_GB2312"/>
          <w:lang w:val="en-US" w:eastAsia="zh-CN"/>
        </w:rPr>
        <w:t>1名专职人员，</w:t>
      </w:r>
      <w:r>
        <w:rPr>
          <w:rFonts w:hint="eastAsia" w:eastAsia="仿宋_GB2312"/>
        </w:rPr>
        <w:t>为政府信息公开工作提供坚实组织保障。全年累计开展政府信息公开培训4次，有效提升工作质量和效率</w:t>
      </w:r>
      <w:r>
        <w:rPr>
          <w:rFonts w:hint="eastAsia" w:eastAsia="仿宋_GB2312"/>
          <w:lang w:eastAsia="zh-CN"/>
        </w:rPr>
        <w:t>。</w:t>
      </w:r>
    </w:p>
    <w:p w14:paraId="3F899E03">
      <w:pPr>
        <w:spacing w:line="560" w:lineRule="exact"/>
        <w:ind w:firstLine="640" w:firstLineChars="200"/>
        <w:rPr>
          <w:rFonts w:eastAsia="黑体"/>
          <w:szCs w:val="32"/>
        </w:rPr>
      </w:pPr>
      <w:r>
        <w:rPr>
          <w:rFonts w:hint="eastAsia" w:eastAsia="黑体"/>
          <w:szCs w:val="32"/>
        </w:rPr>
        <w:t>二、主动公开政府信息情况</w:t>
      </w:r>
    </w:p>
    <w:tbl>
      <w:tblPr>
        <w:tblStyle w:val="6"/>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2130"/>
        <w:gridCol w:w="2131"/>
        <w:gridCol w:w="2131"/>
      </w:tblGrid>
      <w:tr w14:paraId="1C92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B17992E">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178E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37F0EE4">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36F252F1">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3BD0CC61">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37BC14FF">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6982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CFA3047">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12FB170F">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1AC4C7CB">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000A93F">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424F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8FF219B">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1F3D74B3">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7F079B9">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4284E614">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4A15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38A9684C">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2FE6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8FB4970">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4746BA44">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31A7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1B78D29">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6BF59842">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791D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A71FBD6">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3EDF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AF166C8">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42C5B085">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6111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3F16542">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5B2F4202">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6B7E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1DAB6F8">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64CD2F9E">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22CD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3602ADF">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520E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D3524FA">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691E3244">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5DEF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8D8C998">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23555346">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bl>
    <w:p w14:paraId="2AF234B6">
      <w:pPr>
        <w:spacing w:line="240" w:lineRule="auto"/>
        <w:ind w:firstLine="0"/>
        <w:rPr>
          <w:rFonts w:ascii="黑体" w:hAnsi="黑体" w:eastAsia="黑体"/>
          <w:sz w:val="30"/>
          <w:szCs w:val="30"/>
        </w:rPr>
      </w:pPr>
    </w:p>
    <w:p w14:paraId="3D506C03">
      <w:pPr>
        <w:spacing w:line="240" w:lineRule="auto"/>
        <w:ind w:firstLine="0"/>
        <w:rPr>
          <w:rFonts w:ascii="黑体" w:hAnsi="黑体" w:eastAsia="黑体"/>
          <w:sz w:val="30"/>
          <w:szCs w:val="30"/>
        </w:rPr>
      </w:pPr>
    </w:p>
    <w:p w14:paraId="34FF8B56">
      <w:pPr>
        <w:spacing w:line="240" w:lineRule="auto"/>
        <w:ind w:firstLine="0"/>
        <w:rPr>
          <w:rFonts w:ascii="黑体" w:hAnsi="黑体" w:eastAsia="黑体"/>
          <w:sz w:val="30"/>
          <w:szCs w:val="30"/>
        </w:rPr>
      </w:pPr>
    </w:p>
    <w:p w14:paraId="1CC8441E">
      <w:pPr>
        <w:spacing w:line="240" w:lineRule="auto"/>
        <w:ind w:firstLine="0"/>
        <w:rPr>
          <w:rFonts w:ascii="黑体" w:hAnsi="黑体" w:eastAsia="黑体"/>
          <w:sz w:val="30"/>
          <w:szCs w:val="30"/>
        </w:rPr>
      </w:pPr>
    </w:p>
    <w:p w14:paraId="53515F06">
      <w:pPr>
        <w:spacing w:line="240" w:lineRule="auto"/>
        <w:ind w:firstLine="0"/>
        <w:rPr>
          <w:rFonts w:ascii="黑体" w:hAnsi="黑体" w:eastAsia="黑体"/>
          <w:sz w:val="30"/>
          <w:szCs w:val="30"/>
        </w:rPr>
      </w:pPr>
    </w:p>
    <w:p w14:paraId="65EA2769">
      <w:pPr>
        <w:spacing w:line="240" w:lineRule="auto"/>
        <w:ind w:firstLine="0"/>
        <w:rPr>
          <w:rFonts w:ascii="黑体" w:hAnsi="黑体" w:eastAsia="黑体"/>
          <w:sz w:val="30"/>
          <w:szCs w:val="30"/>
        </w:rPr>
      </w:pPr>
    </w:p>
    <w:p w14:paraId="16C724A4">
      <w:pPr>
        <w:spacing w:line="240" w:lineRule="auto"/>
        <w:ind w:firstLine="0"/>
        <w:rPr>
          <w:rFonts w:ascii="黑体" w:hAnsi="黑体" w:eastAsia="黑体"/>
          <w:sz w:val="30"/>
          <w:szCs w:val="30"/>
        </w:rPr>
      </w:pPr>
    </w:p>
    <w:p w14:paraId="5344A5B6">
      <w:pPr>
        <w:spacing w:line="240" w:lineRule="auto"/>
        <w:ind w:firstLine="0"/>
        <w:rPr>
          <w:rFonts w:ascii="黑体" w:hAnsi="黑体" w:eastAsia="黑体"/>
          <w:sz w:val="30"/>
          <w:szCs w:val="30"/>
        </w:rPr>
      </w:pPr>
    </w:p>
    <w:p w14:paraId="22397870">
      <w:pPr>
        <w:spacing w:line="240" w:lineRule="auto"/>
        <w:ind w:firstLine="0"/>
        <w:rPr>
          <w:rFonts w:ascii="黑体" w:hAnsi="黑体" w:eastAsia="黑体"/>
          <w:sz w:val="30"/>
          <w:szCs w:val="30"/>
        </w:rPr>
      </w:pPr>
    </w:p>
    <w:p w14:paraId="131BB9E6">
      <w:pPr>
        <w:spacing w:line="240" w:lineRule="auto"/>
        <w:ind w:firstLine="0"/>
        <w:rPr>
          <w:rFonts w:ascii="黑体" w:hAnsi="黑体" w:eastAsia="黑体"/>
          <w:sz w:val="30"/>
          <w:szCs w:val="30"/>
        </w:rPr>
      </w:pPr>
    </w:p>
    <w:p w14:paraId="786619CA">
      <w:pPr>
        <w:spacing w:line="560" w:lineRule="exact"/>
        <w:ind w:firstLine="640" w:firstLineChars="200"/>
        <w:rPr>
          <w:rFonts w:eastAsia="黑体"/>
          <w:szCs w:val="32"/>
        </w:rPr>
      </w:pPr>
      <w:r>
        <w:rPr>
          <w:rFonts w:hint="eastAsia" w:eastAsia="黑体"/>
          <w:szCs w:val="32"/>
        </w:rPr>
        <w:t>三、收到和处理政府信息公开申请情况</w:t>
      </w:r>
    </w:p>
    <w:tbl>
      <w:tblPr>
        <w:tblStyle w:val="5"/>
        <w:tblW w:w="9935" w:type="dxa"/>
        <w:jc w:val="center"/>
        <w:tblLayout w:type="fixed"/>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62147E64">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7ECF7871">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FFF64C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009CBA61">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2E23637">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21521CB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7D0A90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1F3582A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1C4E80C9">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547BBE91">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6F634DF3">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4FFD2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67144B7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0E398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49E5645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86FAEF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9AE8A6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A45C98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6C475C77">
            <w:pPr>
              <w:widowControl/>
              <w:autoSpaceDE/>
              <w:autoSpaceDN/>
              <w:snapToGrid/>
              <w:spacing w:line="240" w:lineRule="auto"/>
              <w:ind w:firstLine="0"/>
              <w:jc w:val="left"/>
              <w:rPr>
                <w:rFonts w:ascii="宋体" w:hAnsi="宋体" w:eastAsia="宋体" w:cs="宋体"/>
                <w:snapToGrid/>
                <w:sz w:val="24"/>
                <w:szCs w:val="24"/>
              </w:rPr>
            </w:pPr>
          </w:p>
        </w:tc>
      </w:tr>
      <w:tr w14:paraId="71DC3253">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2F0BAE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C6C81F1">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B7031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A7C27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07B609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0EE0BB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39469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21D398D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5E88E400">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DDCC09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1939AC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4C725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628BC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04FC7B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9AE5D1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B863A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53EC43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3667423B">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4F45DF1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FC6556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79FC4A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8FDE3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2920B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C64E7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88788A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5C9B8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4D25C57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3AF0B00D">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0FE880C9">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8A4A79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5EFFAB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E6B92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CC820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7A73C9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83E748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C3258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FD5EE2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27484D3A">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406BD122">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EB87E4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D52404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C8E66F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9ECE0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37439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F369FE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9BA9BA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9BB15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top"/>
          </w:tcPr>
          <w:p w14:paraId="769F018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35F0C060">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1EC8F191">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785D85E5">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1430F3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90C52B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04504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CCB89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44A732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4E1BDB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B3F11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95C846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2136542F">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1ADBB81B">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5DB6FB4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EAA80D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5820E1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E7314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C7D58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514E2A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121E14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F3F16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47E71F2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7469E7C9">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776302C2">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35ED3F8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4F488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A54B75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98705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C6551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67BCEE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EA14B9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CCFBB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1EEFFE1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1A6F1E3E">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09A24634">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4389B09E">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27AFFA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917C5D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6045A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410670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F064DE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A00EDE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AD456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C7504C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65A2AFCA">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1B3387AB">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073037C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5FB120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081455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84D16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1E1C8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CCB2A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C2028E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E6A5B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578821C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0E211788">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28380461">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2775380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E408B4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8AEBFC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AB465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C4C44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3C6946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E1F047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0CED5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00C1384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53FA2DE1">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5527F90B">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548E06A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056588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3559CF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44F12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C8F86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B92283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5C4EBC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4A585A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44F257C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5573E2AB">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7DEE4523">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9A4402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894016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740357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14D38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56D86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7D8785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5DA7CE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EEB8E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0730E47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47328B71">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785CFE1E">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26960E43">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9F851D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11B486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C1B42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309C7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149CE2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FE35B0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D379E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038B96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379D4A65">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666220E6">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6979676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27C200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71A53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6EB12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3288F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607AC6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2C347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62B85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26FB515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6D7CB0FD">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3BDF3AC8">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5D34D3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50331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EAC5E1">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AA17E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8B8E1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25AD4B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85F3BF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CDD13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18A2D2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324D17C3">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6F4A48DA">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7B65DF2B">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A9CC44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3B917E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219A4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A63E9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77503E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EB68A9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44E53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431F7E9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6401AA58">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00E2DC9B">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7F035C8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2F670C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5C4BB5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EAFD44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3EB36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25FCDF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8480B6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20F75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7F53C93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2249FCB0">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6484F9D2">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356603B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D637FC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AE89A5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701F4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B49D4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B61951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0D25D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3F866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7726C1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6BD5BCBD">
        <w:tblPrEx>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inset" w:color="auto" w:sz="8" w:space="0"/>
              <w:right w:val="single" w:color="auto" w:sz="8" w:space="0"/>
            </w:tcBorders>
            <w:vAlign w:val="center"/>
          </w:tcPr>
          <w:p w14:paraId="57F38F96">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nil"/>
              <w:left w:val="nil"/>
              <w:bottom w:val="inset" w:color="auto" w:sz="8" w:space="0"/>
              <w:right w:val="single" w:color="auto" w:sz="8" w:space="0"/>
            </w:tcBorders>
            <w:vAlign w:val="center"/>
          </w:tcPr>
          <w:p w14:paraId="1DDA979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204F83AE">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13D018F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89F68F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614FAC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3E38D3E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533DB45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613D8F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top"/>
          </w:tcPr>
          <w:p w14:paraId="6D8C65B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463226FE">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3685641D">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687773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271ACC68">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2A0746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6AF1E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A4F1F0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94A9AD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EEBB80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C56D4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8F1718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456413D0">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2F2CA299">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14:paraId="12D1A0F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00A25794">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B216E7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1A3E3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AC995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4D83F0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FE68EA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C9843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6D5FB79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74EEC627">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180B5F5B">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14:paraId="14559B9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01AAB81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F39398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D8A81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4B386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CD84F5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70803A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468A9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0863EDD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2121079C">
        <w:tblPrEx>
          <w:tblCellMar>
            <w:top w:w="0" w:type="dxa"/>
            <w:left w:w="0" w:type="dxa"/>
            <w:bottom w:w="0" w:type="dxa"/>
            <w:right w:w="0" w:type="dxa"/>
          </w:tblCellMar>
        </w:tblPrEx>
        <w:trPr>
          <w:jc w:val="center"/>
        </w:trPr>
        <w:tc>
          <w:tcPr>
            <w:tcW w:w="768" w:type="dxa"/>
            <w:vMerge w:val="continue"/>
            <w:tcBorders>
              <w:top w:val="nil"/>
              <w:left w:val="single" w:color="auto" w:sz="8" w:space="0"/>
              <w:bottom w:val="inset" w:color="auto" w:sz="8" w:space="0"/>
              <w:right w:val="single" w:color="auto" w:sz="8" w:space="0"/>
            </w:tcBorders>
            <w:vAlign w:val="center"/>
          </w:tcPr>
          <w:p w14:paraId="1E0AFF89">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F515B9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14FA560">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EA784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8BF0A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7B3475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58F60A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8E504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37635A3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6270D172">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CA246D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7555B6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r>
              <w:rPr>
                <w:rFonts w:ascii="Calibri" w:hAnsi="Calibri" w:eastAsia="宋体" w:cs="Calibri"/>
                <w:snapToGrid/>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07E21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2AC31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45F546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D9E3B5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6DF2D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top"/>
          </w:tcPr>
          <w:p w14:paraId="7B07F23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bl>
    <w:p w14:paraId="14508355">
      <w:pPr>
        <w:spacing w:line="240" w:lineRule="auto"/>
        <w:ind w:firstLine="600" w:firstLineChars="200"/>
        <w:rPr>
          <w:rFonts w:ascii="黑体" w:hAnsi="黑体" w:eastAsia="黑体"/>
          <w:sz w:val="30"/>
          <w:szCs w:val="30"/>
        </w:rPr>
      </w:pPr>
    </w:p>
    <w:p w14:paraId="580D7358">
      <w:pPr>
        <w:spacing w:line="560" w:lineRule="exact"/>
        <w:ind w:firstLine="640" w:firstLineChars="200"/>
        <w:rPr>
          <w:rFonts w:eastAsia="黑体"/>
          <w:szCs w:val="32"/>
        </w:rPr>
      </w:pPr>
      <w:r>
        <w:rPr>
          <w:rFonts w:hint="eastAsia" w:eastAsia="黑体"/>
          <w:szCs w:val="32"/>
        </w:rPr>
        <w:t>四、政府信息公开行政复议、行政诉讼情况</w:t>
      </w:r>
    </w:p>
    <w:tbl>
      <w:tblPr>
        <w:tblStyle w:val="5"/>
        <w:tblW w:w="9748" w:type="dxa"/>
        <w:jc w:val="center"/>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D09524A">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66F98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18CCC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11D7227A">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104F6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C0DC2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91400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98D1C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13B6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C52C4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00705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1FB81C79">
        <w:tblPrEx>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vAlign w:val="center"/>
          </w:tcPr>
          <w:p w14:paraId="24A00765">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nil"/>
              <w:left w:val="single" w:color="auto" w:sz="8" w:space="0"/>
              <w:bottom w:val="single" w:color="auto" w:sz="8" w:space="0"/>
              <w:right w:val="single" w:color="auto" w:sz="8" w:space="0"/>
            </w:tcBorders>
            <w:vAlign w:val="center"/>
          </w:tcPr>
          <w:p w14:paraId="7369B139">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14:paraId="43038395">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14:paraId="43551875">
            <w:pPr>
              <w:widowControl/>
              <w:autoSpaceDE/>
              <w:autoSpaceDN/>
              <w:snapToGrid/>
              <w:spacing w:line="240" w:lineRule="auto"/>
              <w:ind w:firstLine="0"/>
              <w:jc w:val="left"/>
              <w:rPr>
                <w:rFonts w:ascii="宋体" w:hAnsi="宋体" w:eastAsia="宋体" w:cs="宋体"/>
                <w:snapToGrid/>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vAlign w:val="center"/>
          </w:tcPr>
          <w:p w14:paraId="6DB0205E">
            <w:pPr>
              <w:widowControl/>
              <w:autoSpaceDE/>
              <w:autoSpaceDN/>
              <w:snapToGrid/>
              <w:spacing w:line="240" w:lineRule="auto"/>
              <w:ind w:firstLine="0"/>
              <w:jc w:val="left"/>
              <w:rPr>
                <w:rFonts w:ascii="宋体" w:hAnsi="宋体" w:eastAsia="宋体" w:cs="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3C0F8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2B139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634D5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261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B04A6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C8D7E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E86C9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7C269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0DC6D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6AE15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7505235C">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D82BF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0549EA">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6D4DF3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252A3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C6F28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8F38A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6265E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1E191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3BC0A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FFE121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05A5C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54B07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28ECB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7F9D1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1A1D0F">
            <w:pPr>
              <w:widowControl/>
              <w:autoSpaceDE/>
              <w:autoSpaceDN/>
              <w:snapToGrid/>
              <w:spacing w:line="240" w:lineRule="auto"/>
              <w:ind w:firstLine="0"/>
              <w:jc w:val="left"/>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r>
    </w:tbl>
    <w:p w14:paraId="2A106EBA">
      <w:pPr>
        <w:spacing w:line="240" w:lineRule="auto"/>
        <w:ind w:firstLine="640" w:firstLineChars="200"/>
        <w:rPr>
          <w:rFonts w:ascii="黑体" w:hAnsi="黑体" w:eastAsia="黑体"/>
          <w:szCs w:val="32"/>
        </w:rPr>
      </w:pPr>
    </w:p>
    <w:p w14:paraId="5BAFDAD5">
      <w:pPr>
        <w:spacing w:line="560" w:lineRule="exact"/>
        <w:ind w:firstLine="640" w:firstLineChars="200"/>
        <w:rPr>
          <w:rFonts w:eastAsia="黑体"/>
          <w:szCs w:val="32"/>
        </w:rPr>
      </w:pPr>
      <w:r>
        <w:rPr>
          <w:rFonts w:hint="eastAsia" w:eastAsia="黑体"/>
          <w:szCs w:val="32"/>
        </w:rPr>
        <w:t>五、存在的主要问题及改进情况</w:t>
      </w:r>
    </w:p>
    <w:p w14:paraId="5EE11545">
      <w:pPr>
        <w:spacing w:line="560" w:lineRule="exact"/>
        <w:ind w:firstLine="640" w:firstLineChars="200"/>
        <w:rPr>
          <w:rFonts w:hint="eastAsia" w:ascii="楷体_GB2312" w:eastAsia="楷体_GB2312"/>
          <w:szCs w:val="32"/>
        </w:rPr>
      </w:pPr>
      <w:r>
        <w:rPr>
          <w:rFonts w:hint="eastAsia" w:ascii="楷体_GB2312" w:eastAsia="楷体_GB2312"/>
          <w:szCs w:val="32"/>
        </w:rPr>
        <w:t>（一）存在问题</w:t>
      </w:r>
    </w:p>
    <w:p w14:paraId="3585AFBB">
      <w:pPr>
        <w:spacing w:line="560" w:lineRule="exact"/>
        <w:ind w:firstLine="640" w:firstLineChars="200"/>
        <w:rPr>
          <w:rFonts w:hint="eastAsia" w:eastAsia="仿宋_GB2312"/>
          <w:lang w:eastAsia="zh-CN"/>
        </w:rPr>
      </w:pPr>
      <w:r>
        <w:rPr>
          <w:rFonts w:hint="eastAsia" w:eastAsia="仿宋_GB2312"/>
          <w:lang w:eastAsia="zh-CN"/>
        </w:rPr>
        <w:t>一是政府信息公开互动形式较为单一，政府开放日等活动频次偏少。</w:t>
      </w:r>
    </w:p>
    <w:p w14:paraId="68473E3B">
      <w:pPr>
        <w:spacing w:line="560" w:lineRule="exact"/>
        <w:ind w:firstLine="640" w:firstLineChars="200"/>
        <w:rPr>
          <w:rFonts w:hint="eastAsia" w:eastAsia="仿宋_GB2312"/>
          <w:lang w:eastAsia="zh-CN"/>
        </w:rPr>
      </w:pPr>
      <w:r>
        <w:rPr>
          <w:rFonts w:hint="eastAsia" w:eastAsia="仿宋_GB2312"/>
          <w:lang w:eastAsia="zh-CN"/>
        </w:rPr>
        <w:t>二是队伍专业能力存在短板，工作人员多被动承接政府信息公开工作，缺乏主动钻研业务的积极性。</w:t>
      </w:r>
    </w:p>
    <w:p w14:paraId="3E82C2A0">
      <w:pPr>
        <w:spacing w:line="560" w:lineRule="exact"/>
        <w:ind w:firstLine="640" w:firstLineChars="200"/>
        <w:rPr>
          <w:rFonts w:hint="eastAsia" w:ascii="楷体_GB2312" w:eastAsia="楷体_GB2312"/>
          <w:szCs w:val="32"/>
          <w:lang w:eastAsia="zh-CN"/>
        </w:rPr>
      </w:pPr>
      <w:r>
        <w:rPr>
          <w:rFonts w:hint="eastAsia" w:ascii="楷体_GB2312" w:eastAsia="楷体_GB2312"/>
          <w:szCs w:val="32"/>
          <w:lang w:eastAsia="zh-CN"/>
        </w:rPr>
        <w:t>（二）改进情况</w:t>
      </w:r>
    </w:p>
    <w:p w14:paraId="3F603637">
      <w:pPr>
        <w:spacing w:line="560" w:lineRule="exact"/>
        <w:ind w:firstLine="640" w:firstLineChars="200"/>
        <w:rPr>
          <w:rFonts w:hint="eastAsia" w:eastAsia="仿宋_GB2312"/>
          <w:lang w:eastAsia="zh-CN"/>
        </w:rPr>
      </w:pPr>
      <w:r>
        <w:rPr>
          <w:rFonts w:hint="eastAsia" w:eastAsia="仿宋_GB2312"/>
          <w:lang w:eastAsia="zh-CN"/>
        </w:rPr>
        <w:t>一是强化互动回应，畅通沟通渠道。丰富互动形式，增加政府开放日等活动</w:t>
      </w:r>
      <w:r>
        <w:rPr>
          <w:rFonts w:hint="eastAsia" w:eastAsia="仿宋_GB2312"/>
          <w:lang w:val="en-US" w:eastAsia="zh-CN"/>
        </w:rPr>
        <w:t>频次</w:t>
      </w:r>
      <w:r>
        <w:rPr>
          <w:rFonts w:hint="eastAsia" w:eastAsia="仿宋_GB2312"/>
          <w:lang w:eastAsia="zh-CN"/>
        </w:rPr>
        <w:t>，扩大参与对象覆盖面，提升互动参与度。</w:t>
      </w:r>
    </w:p>
    <w:p w14:paraId="47A3A344">
      <w:pPr>
        <w:spacing w:line="560" w:lineRule="exact"/>
        <w:ind w:firstLine="640" w:firstLineChars="200"/>
        <w:rPr>
          <w:rFonts w:hint="eastAsia" w:eastAsia="仿宋_GB2312"/>
          <w:lang w:eastAsia="zh-CN"/>
        </w:rPr>
      </w:pPr>
      <w:r>
        <w:rPr>
          <w:rFonts w:hint="eastAsia" w:eastAsia="仿宋_GB2312"/>
          <w:lang w:eastAsia="zh-CN"/>
        </w:rPr>
        <w:t>二是</w:t>
      </w:r>
      <w:r>
        <w:rPr>
          <w:rFonts w:hint="eastAsia" w:eastAsia="仿宋_GB2312"/>
          <w:lang w:val="en-US" w:eastAsia="zh-CN"/>
        </w:rPr>
        <w:t>加强队伍建设，提升专业能力。健全考核激励机制，将信息公开质量等内容纳入科室绩效考核，设置创新工作加分项，鼓励工作人员主动提升业务能力。</w:t>
      </w:r>
    </w:p>
    <w:p w14:paraId="600E3A3D">
      <w:pPr>
        <w:spacing w:line="560" w:lineRule="exact"/>
        <w:ind w:firstLine="640" w:firstLineChars="200"/>
        <w:rPr>
          <w:rFonts w:eastAsia="黑体"/>
          <w:szCs w:val="32"/>
        </w:rPr>
      </w:pPr>
      <w:r>
        <w:rPr>
          <w:rFonts w:hint="eastAsia" w:eastAsia="黑体"/>
          <w:szCs w:val="32"/>
        </w:rPr>
        <w:t>六、其他需要报告的事项</w:t>
      </w:r>
    </w:p>
    <w:p w14:paraId="52C8A496">
      <w:pPr>
        <w:spacing w:line="560" w:lineRule="exact"/>
        <w:ind w:firstLine="640" w:firstLineChars="200"/>
        <w:rPr>
          <w:rFonts w:hint="eastAsia" w:ascii="楷体_GB2312" w:eastAsia="楷体_GB2312"/>
          <w:szCs w:val="32"/>
        </w:rPr>
      </w:pPr>
      <w:r>
        <w:rPr>
          <w:rFonts w:hint="eastAsia" w:ascii="楷体_GB2312" w:eastAsia="楷体_GB2312"/>
          <w:szCs w:val="32"/>
        </w:rPr>
        <w:t>（一）政府信息公开信息处理费收取情况</w:t>
      </w:r>
    </w:p>
    <w:p w14:paraId="3831870E">
      <w:pPr>
        <w:spacing w:line="560" w:lineRule="exact"/>
        <w:ind w:firstLine="640" w:firstLineChars="200"/>
        <w:rPr>
          <w:rFonts w:eastAsia="仿宋_GB2312"/>
        </w:rPr>
      </w:pPr>
      <w:r>
        <w:rPr>
          <w:rFonts w:hint="eastAsia" w:eastAsia="仿宋_GB231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eastAsia" w:eastAsia="仿宋_GB2312"/>
          <w:lang w:val="en-US" w:eastAsia="zh-CN"/>
        </w:rPr>
        <w:t>5</w:t>
      </w:r>
      <w:r>
        <w:rPr>
          <w:rFonts w:hint="eastAsia" w:eastAsia="仿宋_GB2312"/>
        </w:rPr>
        <w:t>年本机关依申请公开政府信息未收取任何费用。</w:t>
      </w:r>
    </w:p>
    <w:p w14:paraId="1FF89AE7">
      <w:pPr>
        <w:spacing w:line="560" w:lineRule="exact"/>
        <w:ind w:firstLine="640" w:firstLineChars="200"/>
        <w:rPr>
          <w:rFonts w:hint="eastAsia" w:ascii="楷体_GB2312" w:eastAsia="楷体_GB2312"/>
          <w:szCs w:val="32"/>
        </w:rPr>
      </w:pPr>
      <w:r>
        <w:rPr>
          <w:rFonts w:hint="eastAsia" w:ascii="楷体_GB2312" w:eastAsia="楷体_GB2312"/>
          <w:szCs w:val="32"/>
        </w:rPr>
        <w:t>（二）落实上级年度政务公开工作要点情况</w:t>
      </w:r>
    </w:p>
    <w:p w14:paraId="3273D807">
      <w:pPr>
        <w:spacing w:line="560" w:lineRule="exact"/>
        <w:ind w:firstLine="640" w:firstLineChars="200"/>
        <w:rPr>
          <w:rFonts w:hint="eastAsia" w:eastAsia="仿宋_GB2312"/>
          <w:lang w:eastAsia="zh-CN"/>
        </w:rPr>
      </w:pPr>
      <w:r>
        <w:rPr>
          <w:rFonts w:hint="eastAsia" w:eastAsia="仿宋_GB2312"/>
        </w:rPr>
        <w:t>严格落实国家和省市县政务公开工作要点，并根据《高青县人民政府办公室关于印发202</w:t>
      </w:r>
      <w:r>
        <w:rPr>
          <w:rFonts w:hint="eastAsia" w:eastAsia="仿宋_GB2312"/>
          <w:lang w:val="en-US" w:eastAsia="zh-CN"/>
        </w:rPr>
        <w:t>5</w:t>
      </w:r>
      <w:r>
        <w:rPr>
          <w:rFonts w:hint="eastAsia" w:eastAsia="仿宋_GB2312"/>
        </w:rPr>
        <w:t>年高青县政务公开工作方案的通知》要求，制定了《高青县</w:t>
      </w:r>
      <w:r>
        <w:rPr>
          <w:rFonts w:hint="eastAsia" w:eastAsia="仿宋_GB2312"/>
          <w:lang w:eastAsia="zh-CN"/>
        </w:rPr>
        <w:t>审计</w:t>
      </w:r>
      <w:r>
        <w:rPr>
          <w:rFonts w:hint="eastAsia" w:eastAsia="仿宋_GB2312"/>
        </w:rPr>
        <w:t>局政务公开工作方案》，明确了重点任务、工作标准和完成时限。</w:t>
      </w:r>
      <w:r>
        <w:rPr>
          <w:rFonts w:hint="eastAsia" w:eastAsia="仿宋_GB2312"/>
          <w:lang w:eastAsia="zh-CN"/>
        </w:rPr>
        <w:t>一是聚焦重点领域公开，助推政策落地。严格对照上级关于“以高质量公开助推重点工作落实”的要求，紧扣审计主责主业，重点公开财政预决算、审计工作报告、审计整改情况等核心信息，全年累计公开相关信息</w:t>
      </w:r>
      <w:r>
        <w:rPr>
          <w:rFonts w:hint="eastAsia" w:eastAsia="仿宋_GB2312"/>
          <w:lang w:val="en-US" w:eastAsia="zh-CN"/>
        </w:rPr>
        <w:t>6</w:t>
      </w:r>
      <w:r>
        <w:rPr>
          <w:rFonts w:hint="eastAsia" w:eastAsia="仿宋_GB2312"/>
          <w:lang w:eastAsia="zh-CN"/>
        </w:rPr>
        <w:t>条，确保审计监督过程透明、结果可溯。二是优化公开流程与渠道，提升公开质效。健全政府信息公开全流程管理机制，明确</w:t>
      </w:r>
      <w:r>
        <w:rPr>
          <w:rFonts w:hint="eastAsia" w:eastAsia="仿宋_GB2312"/>
          <w:lang w:val="en-US" w:eastAsia="zh-CN"/>
        </w:rPr>
        <w:t>信息公开</w:t>
      </w:r>
      <w:r>
        <w:rPr>
          <w:rFonts w:hint="eastAsia" w:eastAsia="仿宋_GB2312"/>
          <w:lang w:eastAsia="zh-CN"/>
        </w:rPr>
        <w:t>时限及责任分工，严格执行保密审核制度，确保公开信息准确合规。优化公开平台布局，以县政府门户网站为核心，</w:t>
      </w:r>
      <w:r>
        <w:rPr>
          <w:rFonts w:hint="eastAsia" w:eastAsia="仿宋_GB2312"/>
          <w:lang w:val="en-US" w:eastAsia="zh-CN"/>
        </w:rPr>
        <w:t>维护信息公开</w:t>
      </w:r>
      <w:r>
        <w:rPr>
          <w:rFonts w:hint="eastAsia" w:eastAsia="仿宋_GB2312"/>
          <w:lang w:eastAsia="zh-CN"/>
        </w:rPr>
        <w:t>栏目及政务新媒体账号，实现公开</w:t>
      </w:r>
      <w:r>
        <w:rPr>
          <w:rFonts w:hint="eastAsia" w:eastAsia="仿宋_GB2312"/>
          <w:lang w:val="en-US" w:eastAsia="zh-CN"/>
        </w:rPr>
        <w:t>多维发力</w:t>
      </w:r>
      <w:r>
        <w:rPr>
          <w:rFonts w:hint="eastAsia" w:eastAsia="仿宋_GB2312"/>
          <w:lang w:eastAsia="zh-CN"/>
        </w:rPr>
        <w:t>。三是强化组织保障，夯实工作基础。深入落实上级关于政府信息公开监督保障的工作要求，构建“主要领导牵头、分管领导调度、办公室统筹、各科室协同”的工作格局，加强业务能力提升，制定培训计划，提升工作人员对上级要求的理解和执行能力，切实发挥政府信息公开对审计工作高质量发展的支撑作用。</w:t>
      </w:r>
    </w:p>
    <w:p w14:paraId="469B28B3">
      <w:pPr>
        <w:spacing w:line="560" w:lineRule="exact"/>
        <w:ind w:firstLine="640" w:firstLineChars="200"/>
        <w:rPr>
          <w:rFonts w:hint="eastAsia" w:ascii="楷体_GB2312" w:eastAsia="楷体_GB2312"/>
          <w:szCs w:val="32"/>
        </w:rPr>
      </w:pPr>
      <w:bookmarkStart w:id="0" w:name="_GoBack"/>
      <w:r>
        <w:rPr>
          <w:rFonts w:hint="eastAsia" w:ascii="楷体_GB2312" w:eastAsia="楷体_GB2312"/>
          <w:szCs w:val="32"/>
        </w:rPr>
        <w:t>（三）人大代表建议和政协委员提案办理结果公开情况</w:t>
      </w:r>
    </w:p>
    <w:bookmarkEnd w:id="0"/>
    <w:p w14:paraId="1DE0D614">
      <w:pPr>
        <w:spacing w:line="560" w:lineRule="exact"/>
        <w:ind w:firstLine="640" w:firstLineChars="200"/>
        <w:rPr>
          <w:rFonts w:eastAsia="仿宋_GB2312"/>
        </w:rPr>
      </w:pPr>
      <w:r>
        <w:rPr>
          <w:rFonts w:hint="eastAsia" w:eastAsia="仿宋_GB2312"/>
        </w:rPr>
        <w:t>202</w:t>
      </w:r>
      <w:r>
        <w:rPr>
          <w:rFonts w:hint="eastAsia" w:eastAsia="仿宋_GB2312"/>
          <w:lang w:val="en-US" w:eastAsia="zh-CN"/>
        </w:rPr>
        <w:t>5</w:t>
      </w:r>
      <w:r>
        <w:rPr>
          <w:rFonts w:hint="eastAsia" w:eastAsia="仿宋_GB2312"/>
        </w:rPr>
        <w:t>年未承办县十八届人大</w:t>
      </w:r>
      <w:r>
        <w:rPr>
          <w:rFonts w:hint="eastAsia" w:eastAsia="仿宋_GB2312"/>
          <w:lang w:val="en-US" w:eastAsia="zh-CN"/>
        </w:rPr>
        <w:t>四</w:t>
      </w:r>
      <w:r>
        <w:rPr>
          <w:rFonts w:hint="eastAsia" w:eastAsia="仿宋_GB2312"/>
        </w:rPr>
        <w:t>次会议建议、县政协十五届</w:t>
      </w:r>
      <w:r>
        <w:rPr>
          <w:rFonts w:hint="eastAsia" w:eastAsia="仿宋_GB2312"/>
          <w:lang w:val="en-US" w:eastAsia="zh-CN"/>
        </w:rPr>
        <w:t>四</w:t>
      </w:r>
      <w:r>
        <w:rPr>
          <w:rFonts w:hint="eastAsia" w:eastAsia="仿宋_GB2312"/>
        </w:rPr>
        <w:t>次会议提案。</w:t>
      </w:r>
    </w:p>
    <w:p w14:paraId="439612B4">
      <w:pPr>
        <w:spacing w:line="560" w:lineRule="exact"/>
        <w:ind w:firstLine="640" w:firstLineChars="200"/>
        <w:rPr>
          <w:rFonts w:hint="eastAsia" w:ascii="楷体_GB2312" w:eastAsia="楷体_GB2312"/>
          <w:szCs w:val="32"/>
        </w:rPr>
      </w:pPr>
      <w:r>
        <w:rPr>
          <w:rFonts w:hint="eastAsia" w:ascii="楷体_GB2312" w:eastAsia="楷体_GB2312"/>
          <w:szCs w:val="32"/>
        </w:rPr>
        <w:t>（四）政务公开工作创新情况</w:t>
      </w:r>
    </w:p>
    <w:p w14:paraId="37089AD0">
      <w:pPr>
        <w:spacing w:line="560" w:lineRule="exact"/>
        <w:ind w:firstLine="640" w:firstLineChars="200"/>
        <w:rPr>
          <w:rFonts w:hint="eastAsia" w:eastAsia="仿宋_GB2312"/>
        </w:rPr>
      </w:pPr>
      <w:r>
        <w:rPr>
          <w:rFonts w:hint="eastAsia" w:eastAsia="仿宋_GB2312"/>
        </w:rPr>
        <w:t>创新公开形式，提升政务公开效能。积极拓展政务新媒体平台，打造具有审计特色专题栏目，将政务号建设成信息发布的重要窗口，通过普法方式将法律知识以平实易懂的方式送到群众家门口。将政务公开工作纳入绩效考评体系中，纳入年度审计工作要点，认真履行政务公开工作责任。积极组织参加政务公开工作培训，召开局机关政务公开工作培训会议，依法依规依纪保障社会大众对相关审计内容的知情权。</w:t>
      </w:r>
    </w:p>
    <w:p w14:paraId="6AAC1DE2">
      <w:pPr>
        <w:spacing w:line="560" w:lineRule="exact"/>
        <w:ind w:firstLine="640" w:firstLineChars="200"/>
        <w:rPr>
          <w:rFonts w:hint="eastAsia" w:ascii="楷体_GB2312" w:eastAsia="楷体_GB2312"/>
          <w:szCs w:val="32"/>
        </w:rPr>
      </w:pPr>
      <w:r>
        <w:rPr>
          <w:rFonts w:hint="eastAsia" w:ascii="楷体_GB2312" w:eastAsia="楷体_GB2312"/>
          <w:szCs w:val="32"/>
        </w:rPr>
        <w:t>（五）有关数据统计说明</w:t>
      </w:r>
    </w:p>
    <w:p w14:paraId="09F397AB">
      <w:pPr>
        <w:spacing w:line="560" w:lineRule="exact"/>
        <w:ind w:firstLine="640" w:firstLineChars="200"/>
        <w:rPr>
          <w:rFonts w:eastAsia="仿宋_GB2312"/>
        </w:rPr>
      </w:pPr>
      <w:r>
        <w:rPr>
          <w:rFonts w:hint="eastAsia" w:eastAsia="仿宋_GB2312"/>
        </w:rPr>
        <w:t>1.报告中所列数据可能因四舍五入原因与数据直接相加之和存在尾数差异。</w:t>
      </w:r>
    </w:p>
    <w:p w14:paraId="3BF26BEF">
      <w:pPr>
        <w:spacing w:line="560" w:lineRule="exact"/>
        <w:ind w:firstLine="640" w:firstLineChars="200"/>
        <w:rPr>
          <w:rFonts w:eastAsia="仿宋_GB2312"/>
        </w:rPr>
      </w:pPr>
      <w:r>
        <w:rPr>
          <w:rFonts w:hint="eastAsia" w:eastAsia="仿宋_GB2312"/>
        </w:rPr>
        <w:t>2.行政许可数量、行政处罚和行政强制数量，包括已公开和依法未公开的全部处理决定。</w:t>
      </w:r>
    </w:p>
    <w:p w14:paraId="202CE3C3">
      <w:pPr>
        <w:spacing w:line="560" w:lineRule="exact"/>
        <w:ind w:firstLine="640" w:firstLineChars="200"/>
        <w:rPr>
          <w:rFonts w:hint="eastAsia" w:eastAsia="仿宋_GB2312"/>
        </w:rPr>
      </w:pPr>
      <w:r>
        <w:rPr>
          <w:rFonts w:hint="eastAsia" w:eastAsia="仿宋_GB231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35DD2"/>
    <w:rsid w:val="002961F2"/>
    <w:rsid w:val="002E3543"/>
    <w:rsid w:val="003B5255"/>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D234BA"/>
    <w:rsid w:val="00E50639"/>
    <w:rsid w:val="00E60B5D"/>
    <w:rsid w:val="00EA0721"/>
    <w:rsid w:val="00ED2963"/>
    <w:rsid w:val="00EF5607"/>
    <w:rsid w:val="00FA216A"/>
    <w:rsid w:val="00FD5381"/>
    <w:rsid w:val="01CD1B56"/>
    <w:rsid w:val="04351F31"/>
    <w:rsid w:val="0EE91E34"/>
    <w:rsid w:val="153D21FA"/>
    <w:rsid w:val="1E853B47"/>
    <w:rsid w:val="2467084D"/>
    <w:rsid w:val="277F7723"/>
    <w:rsid w:val="2C202592"/>
    <w:rsid w:val="34F24A3C"/>
    <w:rsid w:val="43C63AB6"/>
    <w:rsid w:val="4CD41FD5"/>
    <w:rsid w:val="5B3B5816"/>
    <w:rsid w:val="5B7950A6"/>
    <w:rsid w:val="5C8B34F7"/>
    <w:rsid w:val="699A7119"/>
    <w:rsid w:val="69DF5FD2"/>
    <w:rsid w:val="6C0A5CD0"/>
    <w:rsid w:val="72394544"/>
    <w:rsid w:val="732D7FC3"/>
    <w:rsid w:val="743878AC"/>
    <w:rsid w:val="7A351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pacing w:line="240" w:lineRule="atLeast"/>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2"/>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政府信息主动公开情况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Sheet1!$A$2:$A$14</c:f>
              <c:strCache>
                <c:ptCount val="13"/>
                <c:pt idx="0">
                  <c:v>机构职能信息</c:v>
                </c:pt>
                <c:pt idx="1">
                  <c:v>职能配置信息</c:v>
                </c:pt>
                <c:pt idx="2">
                  <c:v>解读材料</c:v>
                </c:pt>
                <c:pt idx="3">
                  <c:v>审计信息</c:v>
                </c:pt>
                <c:pt idx="4">
                  <c:v>建议提案办理</c:v>
                </c:pt>
                <c:pt idx="5">
                  <c:v>财政预决算信息</c:v>
                </c:pt>
                <c:pt idx="6">
                  <c:v>行政执法信息</c:v>
                </c:pt>
                <c:pt idx="7">
                  <c:v>主动公开基本目录</c:v>
                </c:pt>
                <c:pt idx="8">
                  <c:v>组织管理</c:v>
                </c:pt>
                <c:pt idx="9">
                  <c:v>职能配置</c:v>
                </c:pt>
                <c:pt idx="10">
                  <c:v>年度报告</c:v>
                </c:pt>
                <c:pt idx="11">
                  <c:v>政府会议</c:v>
                </c:pt>
                <c:pt idx="12">
                  <c:v>法治政府建设年度报告</c:v>
                </c:pt>
              </c:strCache>
            </c:strRef>
          </c:cat>
          <c:val>
            <c:numRef>
              <c:f>Sheet1!$B$2:$B$14</c:f>
              <c:numCache>
                <c:formatCode>General</c:formatCode>
                <c:ptCount val="13"/>
                <c:pt idx="0">
                  <c:v>1</c:v>
                </c:pt>
                <c:pt idx="1">
                  <c:v>10</c:v>
                </c:pt>
                <c:pt idx="2">
                  <c:v>2</c:v>
                </c:pt>
                <c:pt idx="3">
                  <c:v>3</c:v>
                </c:pt>
                <c:pt idx="4">
                  <c:v>1</c:v>
                </c:pt>
                <c:pt idx="5">
                  <c:v>4</c:v>
                </c:pt>
                <c:pt idx="6">
                  <c:v>11</c:v>
                </c:pt>
                <c:pt idx="7">
                  <c:v>1</c:v>
                </c:pt>
                <c:pt idx="8">
                  <c:v>3</c:v>
                </c:pt>
                <c:pt idx="9">
                  <c:v>4</c:v>
                </c:pt>
                <c:pt idx="10">
                  <c:v>1</c:v>
                </c:pt>
                <c:pt idx="11">
                  <c:v>1</c:v>
                </c:pt>
                <c:pt idx="12">
                  <c:v>1</c:v>
                </c:pt>
              </c:numCache>
            </c:numRef>
          </c:val>
        </c:ser>
        <c:dLbls>
          <c:showLegendKey val="0"/>
          <c:showVal val="0"/>
          <c:showCatName val="0"/>
          <c:showSerName val="0"/>
          <c:showPercent val="0"/>
          <c:showBubbleSize val="0"/>
        </c:dLbls>
        <c:gapWidth val="219"/>
        <c:overlap val="-27"/>
        <c:axId val="254134528"/>
        <c:axId val="199614848"/>
      </c:barChart>
      <c:catAx>
        <c:axId val="2541345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9614848"/>
        <c:crosses val="autoZero"/>
        <c:auto val="1"/>
        <c:lblAlgn val="ctr"/>
        <c:lblOffset val="100"/>
        <c:noMultiLvlLbl val="0"/>
      </c:catAx>
      <c:valAx>
        <c:axId val="199614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134528"/>
        <c:crosses val="autoZero"/>
        <c:crossBetween val="between"/>
      </c:valAx>
      <c:spPr>
        <a:noFill/>
        <a:ln>
          <a:noFill/>
        </a:ln>
        <a:effectLst/>
      </c:spPr>
    </c:plotArea>
    <c:plotVisOnly val="1"/>
    <c:dispBlanksAs val="gap"/>
    <c:showDLblsOverMax val="0"/>
    <c:extLst>
      <c:ext uri="{0b15fc19-7d7d-44ad-8c2d-2c3a37ce22c3}">
        <chartProps xmlns="https://web.wps.cn/et/2018/main" chartId="{2b55401a-847c-4f12-9612-9e80411e7bc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1177</Words>
  <Characters>1268</Characters>
  <Lines>15</Lines>
  <Paragraphs>4</Paragraphs>
  <TotalTime>7</TotalTime>
  <ScaleCrop>false</ScaleCrop>
  <LinksUpToDate>false</LinksUpToDate>
  <CharactersWithSpaces>1280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cp:lastModifiedBy>
  <dcterms:modified xsi:type="dcterms:W3CDTF">2026-01-27T06:38:08Z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2052-12.1.0.24657</vt:lpwstr>
  </property>
  <property fmtid="{D5CDD505-2E9C-101B-9397-08002B2CF9AE}" pid="4" name="ICV">
    <vt:lpwstr>FC7CD57CF53A487C91CD43F125EFDA86_12</vt:lpwstr>
  </property>
</Properties>
</file>