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高青县审计局</w:t>
      </w:r>
    </w:p>
    <w:p>
      <w:pPr>
        <w:spacing w:line="58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2023年政府信息公开工作年度报告</w:t>
      </w:r>
    </w:p>
    <w:p>
      <w:pPr>
        <w:spacing w:line="580" w:lineRule="exact"/>
        <w:ind w:firstLine="880" w:firstLineChars="200"/>
        <w:jc w:val="center"/>
        <w:rPr>
          <w:rFonts w:eastAsia="方正小标宋简体"/>
          <w:sz w:val="44"/>
          <w:szCs w:val="44"/>
        </w:rPr>
      </w:pPr>
    </w:p>
    <w:p>
      <w:pPr>
        <w:spacing w:line="580" w:lineRule="exact"/>
        <w:ind w:firstLine="640" w:firstLineChars="200"/>
        <w:rPr>
          <w:rFonts w:eastAsia="仿宋_GB2312"/>
        </w:rPr>
      </w:pPr>
      <w:r>
        <w:rPr>
          <w:rFonts w:eastAsia="仿宋_GB2312"/>
        </w:rPr>
        <w:t>本报告根据《中华人民共和国政府信息公开条例》（国务院令第711号，以下简称《条例》）</w:t>
      </w:r>
      <w:r>
        <w:rPr>
          <w:rFonts w:eastAsia="仿宋_GB2312"/>
          <w:szCs w:val="32"/>
        </w:rPr>
        <w:t>和《国务院办公厅政府信息与政务公开办公室关于印发&lt;中华人民共和国政府信息公开工作年度报告格式&gt;的通知》（国办公开办函〔2</w:t>
      </w:r>
      <w:bookmarkStart w:id="0" w:name="_GoBack"/>
      <w:bookmarkEnd w:id="0"/>
      <w:r>
        <w:rPr>
          <w:rFonts w:eastAsia="仿宋_GB2312"/>
          <w:szCs w:val="32"/>
        </w:rPr>
        <w:t>021〕30号）相关要求编制</w:t>
      </w:r>
      <w:r>
        <w:rPr>
          <w:rFonts w:eastAsia="仿宋_GB2312"/>
        </w:rPr>
        <w:t>。报告全文分总体情况、主动公开政府信息情况、收到和处理政府信息公开申请情况、政府信息公开行政复议和行政诉讼情况、存在的主要问题及改进情况、其他需要报告的事项六个部分。</w:t>
      </w:r>
    </w:p>
    <w:p>
      <w:pPr>
        <w:spacing w:line="580" w:lineRule="exact"/>
        <w:ind w:firstLine="640" w:firstLineChars="200"/>
        <w:rPr>
          <w:rFonts w:eastAsia="仿宋_GB2312"/>
        </w:rPr>
      </w:pPr>
      <w:r>
        <w:rPr>
          <w:rFonts w:eastAsia="仿宋_GB2312"/>
        </w:rPr>
        <w:t>报告中所列数据统计期限自2023年1月1日始，至2023年12月31日止。报告电子版可在高青县人民政府门户网站（www.gaoqing.gov.cn）查阅和下载。如对报告内容有疑问，请与高青县审计局办公室联系（地址：山东省淄博市高青县高苑路7号；邮编：256300；电话：0533-6983589；传真：0533-6962956；邮箱：gqxsjj@zb.shandong.cn）。</w:t>
      </w:r>
    </w:p>
    <w:p>
      <w:pPr>
        <w:spacing w:line="580" w:lineRule="exact"/>
        <w:ind w:firstLine="640" w:firstLineChars="200"/>
        <w:rPr>
          <w:rFonts w:eastAsia="黑体"/>
          <w:szCs w:val="32"/>
        </w:rPr>
      </w:pPr>
      <w:r>
        <w:rPr>
          <w:rFonts w:eastAsia="黑体"/>
          <w:szCs w:val="32"/>
        </w:rPr>
        <w:t>一、总体情况</w:t>
      </w:r>
    </w:p>
    <w:p>
      <w:pPr>
        <w:pStyle w:val="5"/>
        <w:widowControl/>
        <w:shd w:val="clear" w:color="auto" w:fill="FFFFFF"/>
        <w:spacing w:beforeAutospacing="0" w:afterAutospacing="0" w:line="580" w:lineRule="exact"/>
        <w:ind w:firstLine="640" w:firstLineChars="200"/>
        <w:rPr>
          <w:rFonts w:eastAsia="仿宋_GB2312"/>
          <w:sz w:val="32"/>
        </w:rPr>
      </w:pPr>
      <w:r>
        <w:rPr>
          <w:rFonts w:eastAsia="仿宋_GB2312"/>
          <w:sz w:val="32"/>
        </w:rPr>
        <w:t>2023年，高青县审计局坚持以习近平新时代中国特色社会主义思想为指导，认真落实国家和省市县政务公开工作部署，立足审计工作实际，以全方位、多层面、立体式理念认真谋划和推进政务公开工作，确保政务公开工作稳步推进。 </w:t>
      </w:r>
    </w:p>
    <w:p>
      <w:pPr>
        <w:spacing w:line="580" w:lineRule="exact"/>
        <w:ind w:firstLine="640" w:firstLineChars="200"/>
        <w:jc w:val="left"/>
        <w:rPr>
          <w:rFonts w:eastAsia="楷体_GB2312"/>
        </w:rPr>
      </w:pPr>
      <w:r>
        <w:rPr>
          <w:rFonts w:eastAsia="楷体_GB2312"/>
        </w:rPr>
        <w:t>（一）主动公开</w:t>
      </w:r>
    </w:p>
    <w:p>
      <w:pPr>
        <w:spacing w:line="580" w:lineRule="exact"/>
        <w:ind w:firstLine="640" w:firstLineChars="200"/>
        <w:jc w:val="left"/>
        <w:rPr>
          <w:rFonts w:eastAsia="楷体_GB2312"/>
        </w:rPr>
      </w:pPr>
      <w:r>
        <w:rPr>
          <w:rFonts w:hint="eastAsia" w:eastAsia="仿宋_GB2312"/>
        </w:rPr>
        <w:drawing>
          <wp:anchor distT="0" distB="0" distL="114300" distR="114300" simplePos="0" relativeHeight="251658240" behindDoc="0" locked="0" layoutInCell="1" allowOverlap="1">
            <wp:simplePos x="0" y="0"/>
            <wp:positionH relativeFrom="column">
              <wp:posOffset>412750</wp:posOffset>
            </wp:positionH>
            <wp:positionV relativeFrom="paragraph">
              <wp:posOffset>4045585</wp:posOffset>
            </wp:positionV>
            <wp:extent cx="4713605" cy="3011805"/>
            <wp:effectExtent l="4445" t="4445" r="6350" b="1270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eastAsia="仿宋_GB2312"/>
        </w:rPr>
        <w:t>始终将政务公开工作纳入重要日程，优化组织机构，形成主要领导亲自抓，相关负责人组织实施，层层有人管、层层抓落实的工作格局</w:t>
      </w:r>
      <w:r>
        <w:rPr>
          <w:rFonts w:hint="eastAsia" w:eastAsia="仿宋_GB2312"/>
        </w:rPr>
        <w:t>，</w:t>
      </w:r>
      <w:r>
        <w:rPr>
          <w:rFonts w:eastAsia="仿宋_GB2312"/>
        </w:rPr>
        <w:t>制定《高青县审计局2023年政务公开工作实施方案》明确全年工作重点任务、目标、措施、任务分工</w:t>
      </w:r>
      <w:r>
        <w:rPr>
          <w:rFonts w:eastAsia="仿宋_GB2312"/>
          <w:bCs/>
          <w:szCs w:val="32"/>
        </w:rPr>
        <w:t>。2023年在县政府门户网站</w:t>
      </w:r>
      <w:r>
        <w:rPr>
          <w:rFonts w:hint="eastAsia" w:eastAsia="仿宋_GB2312"/>
          <w:bCs/>
          <w:szCs w:val="32"/>
        </w:rPr>
        <w:t>公开信息100余条，其中</w:t>
      </w:r>
      <w:r>
        <w:rPr>
          <w:rFonts w:eastAsia="仿宋_GB2312"/>
          <w:bCs/>
          <w:szCs w:val="32"/>
        </w:rPr>
        <w:t>职能配置信息10条</w:t>
      </w:r>
      <w:r>
        <w:rPr>
          <w:rFonts w:hint="eastAsia" w:eastAsia="仿宋_GB2312"/>
          <w:bCs/>
          <w:szCs w:val="32"/>
        </w:rPr>
        <w:t>，</w:t>
      </w:r>
      <w:r>
        <w:rPr>
          <w:rFonts w:eastAsia="仿宋_GB2312"/>
          <w:bCs/>
          <w:szCs w:val="32"/>
        </w:rPr>
        <w:t>财政预决算信息4条，行政执法信息11条</w:t>
      </w:r>
      <w:r>
        <w:rPr>
          <w:rFonts w:hint="eastAsia" w:eastAsia="仿宋_GB2312"/>
          <w:bCs/>
          <w:szCs w:val="32"/>
        </w:rPr>
        <w:t>。</w:t>
      </w:r>
      <w:r>
        <w:rPr>
          <w:rFonts w:eastAsia="仿宋_GB2312"/>
          <w:bCs/>
          <w:szCs w:val="32"/>
        </w:rPr>
        <w:t>加强政策解读工作，遵照“谁起草、谁解读”的原则，由部门文件起草科室做好解读工作，将解读文件和解读材料同步起草、同步审签、同步发布。在解读形式方面，采取文字、图片、视频等多样化方式，力争做到形象通俗、平实易懂。</w:t>
      </w:r>
      <w:r>
        <w:rPr>
          <w:rFonts w:hint="eastAsia" w:eastAsia="仿宋_GB2312"/>
          <w:bCs/>
          <w:szCs w:val="32"/>
        </w:rPr>
        <w:t>依托政府信箱、政务新媒体，做好群众关切事项的回应答复工作。</w:t>
      </w:r>
    </w:p>
    <w:p>
      <w:pPr>
        <w:spacing w:line="580" w:lineRule="exact"/>
        <w:ind w:firstLine="640" w:firstLineChars="200"/>
        <w:jc w:val="left"/>
        <w:rPr>
          <w:rFonts w:eastAsia="楷体_GB2312"/>
        </w:rPr>
      </w:pPr>
    </w:p>
    <w:p>
      <w:pPr>
        <w:spacing w:line="580" w:lineRule="exact"/>
        <w:ind w:firstLine="640" w:firstLineChars="200"/>
        <w:jc w:val="left"/>
        <w:rPr>
          <w:rFonts w:eastAsia="楷体_GB2312"/>
        </w:rPr>
      </w:pPr>
    </w:p>
    <w:p>
      <w:pPr>
        <w:spacing w:line="580" w:lineRule="exact"/>
        <w:ind w:firstLine="640" w:firstLineChars="200"/>
        <w:jc w:val="left"/>
        <w:rPr>
          <w:rFonts w:eastAsia="楷体_GB2312"/>
        </w:rPr>
      </w:pPr>
    </w:p>
    <w:p>
      <w:pPr>
        <w:spacing w:line="580" w:lineRule="exact"/>
        <w:ind w:firstLine="640" w:firstLineChars="200"/>
        <w:jc w:val="left"/>
        <w:rPr>
          <w:rFonts w:eastAsia="楷体_GB2312"/>
        </w:rPr>
      </w:pPr>
    </w:p>
    <w:p>
      <w:pPr>
        <w:spacing w:line="580" w:lineRule="exact"/>
        <w:ind w:firstLine="640" w:firstLineChars="200"/>
        <w:jc w:val="left"/>
        <w:rPr>
          <w:rFonts w:eastAsia="楷体_GB2312"/>
        </w:rPr>
      </w:pPr>
    </w:p>
    <w:p>
      <w:pPr>
        <w:spacing w:line="580" w:lineRule="exact"/>
        <w:ind w:firstLine="640" w:firstLineChars="200"/>
        <w:jc w:val="left"/>
        <w:rPr>
          <w:rFonts w:eastAsia="楷体_GB2312"/>
        </w:rPr>
      </w:pPr>
    </w:p>
    <w:p>
      <w:pPr>
        <w:spacing w:line="580" w:lineRule="exact"/>
        <w:ind w:firstLine="640" w:firstLineChars="200"/>
        <w:jc w:val="left"/>
        <w:rPr>
          <w:rFonts w:eastAsia="楷体_GB2312"/>
        </w:rPr>
      </w:pPr>
    </w:p>
    <w:p>
      <w:pPr>
        <w:pStyle w:val="2"/>
        <w:ind w:firstLine="640"/>
        <w:rPr>
          <w:rFonts w:eastAsia="楷体_GB2312"/>
        </w:rPr>
      </w:pPr>
    </w:p>
    <w:p>
      <w:pPr>
        <w:spacing w:line="580" w:lineRule="exact"/>
        <w:ind w:firstLine="640" w:firstLineChars="200"/>
        <w:jc w:val="left"/>
        <w:rPr>
          <w:rFonts w:eastAsia="楷体_GB2312"/>
        </w:rPr>
      </w:pPr>
      <w:r>
        <w:rPr>
          <w:rFonts w:eastAsia="楷体_GB2312"/>
        </w:rPr>
        <w:t>（二）依申请公开</w:t>
      </w:r>
    </w:p>
    <w:p>
      <w:pPr>
        <w:spacing w:line="580" w:lineRule="exact"/>
        <w:ind w:firstLine="640" w:firstLineChars="200"/>
        <w:jc w:val="left"/>
        <w:rPr>
          <w:rFonts w:eastAsia="仿宋_GB2312"/>
          <w:szCs w:val="32"/>
        </w:rPr>
      </w:pPr>
      <w:r>
        <w:rPr>
          <w:rFonts w:eastAsia="仿宋_GB2312"/>
          <w:szCs w:val="32"/>
          <w:lang w:bidi="ar"/>
        </w:rPr>
        <w:t>明确</w:t>
      </w:r>
      <w:r>
        <w:rPr>
          <w:rFonts w:hint="eastAsia" w:eastAsia="仿宋_GB2312"/>
          <w:szCs w:val="32"/>
          <w:lang w:bidi="ar"/>
        </w:rPr>
        <w:t>依申请公开答复</w:t>
      </w:r>
      <w:r>
        <w:rPr>
          <w:rFonts w:eastAsia="仿宋_GB2312"/>
          <w:szCs w:val="32"/>
          <w:lang w:bidi="ar"/>
        </w:rPr>
        <w:t>审查程序，主要负责人认真履行“第一责任人”职责，对依申请公开问题亲自签批、亲自协调、亲自落实，签批至相关科室，并时时关注回复效率，对回复内容进行把关。</w:t>
      </w:r>
      <w:r>
        <w:rPr>
          <w:rFonts w:eastAsia="仿宋_GB2312"/>
          <w:szCs w:val="32"/>
        </w:rPr>
        <w:t>2023年共收到政府信息公开申请1件，比上年度增加1件，申请内容主要涉及物业管理领域。作出政府信息公开申请答复1件，其中无法提供</w:t>
      </w:r>
      <w:r>
        <w:rPr>
          <w:rFonts w:hint="eastAsia" w:eastAsia="仿宋_GB2312"/>
          <w:szCs w:val="32"/>
        </w:rPr>
        <w:t>1</w:t>
      </w:r>
      <w:r>
        <w:rPr>
          <w:rFonts w:eastAsia="仿宋_GB2312"/>
          <w:szCs w:val="32"/>
        </w:rPr>
        <w:t>件。未因政府信息公开被申请行政复议、提起行政诉讼。</w:t>
      </w:r>
    </w:p>
    <w:p>
      <w:pPr>
        <w:spacing w:line="580" w:lineRule="exact"/>
        <w:ind w:firstLine="640" w:firstLineChars="200"/>
        <w:jc w:val="left"/>
        <w:rPr>
          <w:rFonts w:eastAsia="楷体_GB2312"/>
        </w:rPr>
      </w:pPr>
      <w:r>
        <w:rPr>
          <w:rFonts w:eastAsia="楷体_GB2312"/>
        </w:rPr>
        <w:t>（三）政府信息管理</w:t>
      </w:r>
    </w:p>
    <w:p>
      <w:pPr>
        <w:spacing w:line="580" w:lineRule="exact"/>
        <w:ind w:firstLine="640" w:firstLineChars="200"/>
        <w:jc w:val="left"/>
        <w:rPr>
          <w:rFonts w:eastAsia="仿宋_GB2312"/>
        </w:rPr>
      </w:pPr>
      <w:r>
        <w:rPr>
          <w:rFonts w:eastAsia="仿宋_GB2312"/>
        </w:rPr>
        <w:t>及时动态调整政府信息公开指南和政府信息主动公开基本目录</w:t>
      </w:r>
      <w:r>
        <w:rPr>
          <w:rFonts w:hint="eastAsia" w:eastAsia="仿宋_GB2312"/>
        </w:rPr>
        <w:t>。</w:t>
      </w:r>
      <w:r>
        <w:rPr>
          <w:rFonts w:eastAsia="仿宋_GB2312"/>
        </w:rPr>
        <w:t>建立政府信息保密审核制度，加强信息管理人员的保密意识，加大信息发布的审核力度，</w:t>
      </w:r>
      <w:r>
        <w:rPr>
          <w:rFonts w:hint="eastAsia" w:eastAsia="仿宋_GB2312"/>
        </w:rPr>
        <w:t>填写《信息公开审查表》，经主要负责同志审签后进行公开。</w:t>
      </w:r>
      <w:r>
        <w:rPr>
          <w:rFonts w:eastAsia="仿宋_GB2312"/>
        </w:rPr>
        <w:t>建立政府信息动态调整制度，及时清理废止、失效的政府信息，对政府信息实行</w:t>
      </w:r>
      <w:r>
        <w:rPr>
          <w:rFonts w:hint="eastAsia" w:eastAsia="仿宋_GB2312"/>
        </w:rPr>
        <w:t>全</w:t>
      </w:r>
      <w:r>
        <w:rPr>
          <w:rFonts w:eastAsia="仿宋_GB2312"/>
        </w:rPr>
        <w:t>生命周期管理。</w:t>
      </w:r>
    </w:p>
    <w:p>
      <w:pPr>
        <w:spacing w:line="580" w:lineRule="exact"/>
        <w:ind w:firstLine="640" w:firstLineChars="200"/>
        <w:jc w:val="left"/>
        <w:rPr>
          <w:rFonts w:eastAsia="楷体_GB2312"/>
        </w:rPr>
      </w:pPr>
      <w:r>
        <w:rPr>
          <w:rFonts w:eastAsia="楷体_GB2312"/>
        </w:rPr>
        <w:t>（四）政府信息公开平台建设</w:t>
      </w:r>
    </w:p>
    <w:p>
      <w:pPr>
        <w:spacing w:line="580" w:lineRule="exact"/>
        <w:ind w:firstLine="640" w:firstLineChars="200"/>
        <w:jc w:val="left"/>
        <w:rPr>
          <w:rFonts w:eastAsia="仿宋_GB2312"/>
        </w:rPr>
      </w:pPr>
      <w:r>
        <w:rPr>
          <w:rFonts w:eastAsia="仿宋_GB2312"/>
        </w:rPr>
        <w:t>拓展政务公开渠道，</w:t>
      </w:r>
      <w:r>
        <w:rPr>
          <w:rFonts w:hint="eastAsia" w:eastAsia="仿宋_GB2312"/>
        </w:rPr>
        <w:t>优化并更新</w:t>
      </w:r>
      <w:r>
        <w:rPr>
          <w:rFonts w:eastAsia="仿宋_GB2312"/>
        </w:rPr>
        <w:t>“高青审计”微信公众号，及时公开审计动态等信息</w:t>
      </w:r>
      <w:r>
        <w:rPr>
          <w:rFonts w:hint="eastAsia" w:eastAsia="仿宋_GB2312"/>
        </w:rPr>
        <w:t>，</w:t>
      </w:r>
      <w:r>
        <w:rPr>
          <w:rFonts w:eastAsia="仿宋_GB2312"/>
        </w:rPr>
        <w:t>微信公众号开设 “办事服务”和“便民查询”栏目，为群众办事提供便利。</w:t>
      </w:r>
      <w:r>
        <w:rPr>
          <w:rFonts w:hint="eastAsia" w:eastAsia="仿宋_GB2312"/>
        </w:rPr>
        <w:t>在政府网站政务公开栏目发布审计领域动态及审计相关信息，方便群众了解审计相关工作。</w:t>
      </w:r>
    </w:p>
    <w:p>
      <w:pPr>
        <w:spacing w:line="580" w:lineRule="exact"/>
        <w:ind w:firstLine="640" w:firstLineChars="200"/>
        <w:jc w:val="left"/>
        <w:rPr>
          <w:rFonts w:eastAsia="楷体_GB2312"/>
        </w:rPr>
      </w:pPr>
      <w:r>
        <w:rPr>
          <w:rFonts w:eastAsia="楷体_GB2312"/>
        </w:rPr>
        <w:t>（五）监督保障</w:t>
      </w:r>
    </w:p>
    <w:p>
      <w:pPr>
        <w:spacing w:line="580" w:lineRule="exact"/>
        <w:ind w:firstLine="640" w:firstLineChars="200"/>
        <w:rPr>
          <w:rFonts w:eastAsia="仿宋_GB2312"/>
          <w:sz w:val="30"/>
          <w:szCs w:val="30"/>
        </w:rPr>
      </w:pPr>
      <w:r>
        <w:rPr>
          <w:rFonts w:eastAsia="仿宋_GB2312"/>
        </w:rPr>
        <w:t>及时调整政务公开工作领导小组组织召开会议研究政务公开工作</w:t>
      </w:r>
      <w:r>
        <w:rPr>
          <w:rFonts w:hint="eastAsia" w:eastAsia="仿宋_GB2312"/>
        </w:rPr>
        <w:t>，</w:t>
      </w:r>
      <w:r>
        <w:rPr>
          <w:rFonts w:eastAsia="仿宋_GB2312"/>
          <w:szCs w:val="32"/>
        </w:rPr>
        <w:t>将政务公开工作纳入科室及个人平时考核</w:t>
      </w:r>
      <w:r>
        <w:rPr>
          <w:rFonts w:eastAsia="仿宋_GB2312"/>
        </w:rPr>
        <w:t>。明确办公室和</w:t>
      </w:r>
      <w:r>
        <w:rPr>
          <w:rFonts w:hint="eastAsia" w:eastAsia="仿宋_GB2312"/>
        </w:rPr>
        <w:t>1</w:t>
      </w:r>
      <w:r>
        <w:rPr>
          <w:rFonts w:eastAsia="仿宋_GB2312"/>
        </w:rPr>
        <w:t>名专职人员具体负责政务公开工作</w:t>
      </w:r>
      <w:r>
        <w:rPr>
          <w:rFonts w:hint="eastAsia" w:eastAsia="仿宋_GB2312"/>
        </w:rPr>
        <w:t>。</w:t>
      </w:r>
      <w:r>
        <w:rPr>
          <w:rFonts w:eastAsia="仿宋_GB2312"/>
        </w:rPr>
        <w:t>2023年在双周论坛、“每周例会”上共组织2次培训会，重点培训政府信息主动公开、政策解读、回应关切等工作。</w:t>
      </w:r>
    </w:p>
    <w:p>
      <w:pPr>
        <w:spacing w:after="156" w:line="580" w:lineRule="exact"/>
        <w:ind w:firstLine="640" w:firstLineChars="200"/>
        <w:rPr>
          <w:rFonts w:eastAsia="黑体"/>
          <w:szCs w:val="32"/>
        </w:rPr>
      </w:pPr>
    </w:p>
    <w:p>
      <w:pPr>
        <w:spacing w:after="156" w:line="580" w:lineRule="exact"/>
        <w:ind w:firstLine="640" w:firstLineChars="200"/>
        <w:rPr>
          <w:rFonts w:eastAsia="黑体"/>
          <w:szCs w:val="32"/>
        </w:rPr>
      </w:pPr>
    </w:p>
    <w:p>
      <w:pPr>
        <w:spacing w:after="156" w:line="580" w:lineRule="exact"/>
        <w:ind w:firstLine="640" w:firstLineChars="200"/>
        <w:rPr>
          <w:rFonts w:eastAsia="黑体"/>
          <w:szCs w:val="32"/>
        </w:rPr>
      </w:pPr>
    </w:p>
    <w:p>
      <w:pPr>
        <w:pStyle w:val="2"/>
        <w:ind w:firstLine="640"/>
      </w:pPr>
    </w:p>
    <w:p/>
    <w:p>
      <w:pPr>
        <w:pStyle w:val="2"/>
        <w:ind w:firstLine="640"/>
      </w:pPr>
    </w:p>
    <w:p/>
    <w:p>
      <w:pPr>
        <w:pStyle w:val="2"/>
        <w:ind w:firstLine="640"/>
      </w:pPr>
    </w:p>
    <w:p/>
    <w:p>
      <w:pPr>
        <w:pStyle w:val="2"/>
        <w:ind w:firstLine="640"/>
      </w:pPr>
    </w:p>
    <w:p/>
    <w:p>
      <w:pPr>
        <w:pStyle w:val="2"/>
        <w:ind w:firstLine="640"/>
      </w:pPr>
    </w:p>
    <w:p/>
    <w:p>
      <w:pPr>
        <w:pStyle w:val="2"/>
        <w:ind w:firstLine="640"/>
      </w:pPr>
    </w:p>
    <w:p/>
    <w:p>
      <w:pPr>
        <w:pStyle w:val="2"/>
        <w:ind w:firstLine="640"/>
      </w:pPr>
    </w:p>
    <w:p/>
    <w:p>
      <w:pPr>
        <w:spacing w:after="156" w:line="580" w:lineRule="exact"/>
        <w:ind w:firstLine="640" w:firstLineChars="200"/>
        <w:rPr>
          <w:rFonts w:eastAsia="黑体"/>
          <w:szCs w:val="32"/>
        </w:rPr>
      </w:pPr>
      <w:r>
        <w:rPr>
          <w:rFonts w:eastAsia="黑体"/>
          <w:szCs w:val="32"/>
        </w:rPr>
        <w:t>二、主动公开政府信息情况</w:t>
      </w:r>
    </w:p>
    <w:tbl>
      <w:tblPr>
        <w:tblStyle w:val="8"/>
        <w:tblW w:w="8981" w:type="dxa"/>
        <w:jc w:val="center"/>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黑体"/>
                <w:sz w:val="20"/>
              </w:rPr>
            </w:pPr>
            <w:r>
              <w:rPr>
                <w:rFonts w:eastAsia="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color w:val="000000"/>
                <w:sz w:val="20"/>
              </w:rPr>
            </w:pPr>
            <w:r>
              <w:rPr>
                <w:rFonts w:eastAsia="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color w:val="000000"/>
                <w:sz w:val="20"/>
              </w:rPr>
            </w:pPr>
            <w:r>
              <w:rPr>
                <w:rFonts w:eastAsia="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color w:val="000000"/>
                <w:sz w:val="20"/>
              </w:rPr>
            </w:pPr>
            <w:r>
              <w:rPr>
                <w:rFonts w:eastAsia="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pPr>
              <w:spacing w:line="240" w:lineRule="auto"/>
              <w:ind w:firstLine="0"/>
              <w:jc w:val="center"/>
              <w:rPr>
                <w:rFonts w:eastAsia="黑体"/>
                <w:sz w:val="20"/>
              </w:rPr>
            </w:pPr>
            <w:r>
              <w:rPr>
                <w:rFonts w:eastAsia="黑体"/>
                <w:sz w:val="20"/>
              </w:rPr>
              <w:t>0</w:t>
            </w:r>
          </w:p>
        </w:tc>
      </w:tr>
    </w:tbl>
    <w:p>
      <w:pPr>
        <w:spacing w:line="580" w:lineRule="exact"/>
        <w:ind w:firstLine="600" w:firstLineChars="200"/>
        <w:rPr>
          <w:rFonts w:eastAsia="黑体"/>
          <w:sz w:val="30"/>
          <w:szCs w:val="30"/>
        </w:rPr>
      </w:pPr>
    </w:p>
    <w:p>
      <w:pPr>
        <w:spacing w:line="580" w:lineRule="exact"/>
        <w:ind w:firstLine="600" w:firstLineChars="200"/>
        <w:rPr>
          <w:rFonts w:eastAsia="黑体"/>
          <w:sz w:val="30"/>
          <w:szCs w:val="30"/>
        </w:rPr>
      </w:pPr>
    </w:p>
    <w:p>
      <w:pPr>
        <w:spacing w:line="580" w:lineRule="exact"/>
        <w:ind w:firstLine="600" w:firstLineChars="200"/>
        <w:rPr>
          <w:rFonts w:eastAsia="黑体"/>
          <w:sz w:val="30"/>
          <w:szCs w:val="30"/>
        </w:rPr>
      </w:pPr>
    </w:p>
    <w:p>
      <w:pPr>
        <w:spacing w:line="580" w:lineRule="exact"/>
        <w:ind w:firstLine="600" w:firstLineChars="200"/>
        <w:rPr>
          <w:rFonts w:eastAsia="黑体"/>
          <w:sz w:val="30"/>
          <w:szCs w:val="30"/>
        </w:rPr>
      </w:pPr>
    </w:p>
    <w:p>
      <w:pPr>
        <w:spacing w:line="580" w:lineRule="exact"/>
        <w:ind w:firstLine="600" w:firstLineChars="200"/>
        <w:rPr>
          <w:rFonts w:eastAsia="黑体"/>
          <w:sz w:val="30"/>
          <w:szCs w:val="30"/>
        </w:rPr>
      </w:pPr>
    </w:p>
    <w:p>
      <w:pPr>
        <w:spacing w:line="580" w:lineRule="exact"/>
        <w:ind w:firstLine="600" w:firstLineChars="200"/>
        <w:rPr>
          <w:rFonts w:eastAsia="黑体"/>
          <w:sz w:val="30"/>
          <w:szCs w:val="30"/>
        </w:rPr>
      </w:pPr>
    </w:p>
    <w:p>
      <w:pPr>
        <w:spacing w:line="580" w:lineRule="exact"/>
        <w:ind w:firstLine="600" w:firstLineChars="200"/>
        <w:rPr>
          <w:rFonts w:eastAsia="黑体"/>
          <w:sz w:val="30"/>
          <w:szCs w:val="30"/>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7"/>
        <w:tblW w:w="9935" w:type="dxa"/>
        <w:jc w:val="center"/>
        <w:tblInd w:w="0" w:type="dxa"/>
        <w:tblLayout w:type="fixed"/>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Layout w:type="fixed"/>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Layout w:type="fixed"/>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Layout w:type="fixed"/>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Layout w:type="fixed"/>
          <w:tblCellMar>
            <w:top w:w="0" w:type="dxa"/>
            <w:left w:w="0" w:type="dxa"/>
            <w:bottom w:w="0" w:type="dxa"/>
            <w:right w:w="0" w:type="dxa"/>
          </w:tblCellMar>
        </w:tblPrEx>
        <w:trPr>
          <w:trHeight w:val="243" w:hRule="atLeast"/>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r>
      <w:tr>
        <w:tblPrEx>
          <w:tblLayout w:type="fixed"/>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r>
      <w:tr>
        <w:tblPrEx>
          <w:tblLayout w:type="fixed"/>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bl>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7"/>
        <w:tblW w:w="9748" w:type="dxa"/>
        <w:jc w:val="center"/>
        <w:tblInd w:w="0" w:type="dxa"/>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Layout w:type="fixed"/>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Layout w:type="fixed"/>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Layout w:type="fixed"/>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50" w:type="dxa"/>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bl>
    <w:p>
      <w:pPr>
        <w:spacing w:line="580" w:lineRule="exact"/>
        <w:ind w:firstLine="640" w:firstLineChars="200"/>
        <w:rPr>
          <w:rFonts w:eastAsia="黑体"/>
          <w:szCs w:val="32"/>
        </w:rPr>
      </w:pPr>
      <w:r>
        <w:rPr>
          <w:rFonts w:eastAsia="黑体"/>
          <w:szCs w:val="32"/>
        </w:rPr>
        <w:t>五、存在的主要问题及改进情况</w:t>
      </w:r>
    </w:p>
    <w:p>
      <w:pPr>
        <w:spacing w:line="580" w:lineRule="exact"/>
        <w:ind w:firstLine="640" w:firstLineChars="200"/>
        <w:rPr>
          <w:rFonts w:eastAsia="楷体_GB2312"/>
          <w:szCs w:val="32"/>
        </w:rPr>
      </w:pPr>
      <w:r>
        <w:rPr>
          <w:rFonts w:eastAsia="楷体_GB2312"/>
          <w:szCs w:val="32"/>
        </w:rPr>
        <w:t>（一）存在问题</w:t>
      </w:r>
    </w:p>
    <w:p>
      <w:pPr>
        <w:spacing w:line="580" w:lineRule="exact"/>
        <w:ind w:firstLine="640" w:firstLineChars="200"/>
        <w:rPr>
          <w:rFonts w:eastAsia="仿宋_GB2312"/>
          <w:szCs w:val="32"/>
        </w:rPr>
      </w:pPr>
      <w:r>
        <w:rPr>
          <w:rFonts w:hint="eastAsia" w:eastAsia="仿宋_GB2312"/>
          <w:szCs w:val="32"/>
        </w:rPr>
        <w:t>一是政府信息公开平台建设有待加强，多数信息均通过政府网站进行公开，借助政务新媒体公开信息不到位。</w:t>
      </w:r>
    </w:p>
    <w:p>
      <w:pPr>
        <w:rPr>
          <w:rFonts w:eastAsia="仿宋_GB2312"/>
          <w:szCs w:val="32"/>
        </w:rPr>
      </w:pPr>
      <w:r>
        <w:rPr>
          <w:rFonts w:hint="eastAsia" w:eastAsia="仿宋_GB2312"/>
          <w:szCs w:val="32"/>
        </w:rPr>
        <w:t>二是政府信息公开培训形式较为僵化，大多以集中开展培训会的方式开展培训，灵活性不够，无法充分调度工作人员的积极性和主动性，达不到预期培训效果。</w:t>
      </w:r>
    </w:p>
    <w:p>
      <w:pPr>
        <w:spacing w:line="580" w:lineRule="exact"/>
        <w:ind w:firstLine="640" w:firstLineChars="200"/>
        <w:rPr>
          <w:rFonts w:eastAsia="楷体_GB2312"/>
          <w:szCs w:val="32"/>
        </w:rPr>
      </w:pPr>
      <w:r>
        <w:rPr>
          <w:rFonts w:hint="eastAsia" w:eastAsia="楷体_GB2312"/>
          <w:szCs w:val="32"/>
        </w:rPr>
        <w:t>（二）改进情况</w:t>
      </w:r>
    </w:p>
    <w:p>
      <w:pPr>
        <w:pStyle w:val="2"/>
        <w:ind w:firstLine="640"/>
        <w:rPr>
          <w:rFonts w:eastAsia="仿宋_GB2312"/>
          <w:szCs w:val="32"/>
        </w:rPr>
      </w:pPr>
      <w:r>
        <w:rPr>
          <w:rFonts w:hint="eastAsia" w:eastAsia="仿宋_GB2312"/>
          <w:szCs w:val="32"/>
        </w:rPr>
        <w:t>一是强化政务新媒体公开平台建设，加大信息公开力度，借助“高青审计”微信公众号发布政策解读、审计动态以及审计领域重点信息，并做好信息推送，提高信息传播效率和知晓度。审计领域信息平均阅读量达到100人以上。</w:t>
      </w:r>
    </w:p>
    <w:p>
      <w:pPr>
        <w:rPr>
          <w:rFonts w:eastAsia="仿宋_GB2312"/>
          <w:szCs w:val="32"/>
        </w:rPr>
      </w:pPr>
      <w:r>
        <w:rPr>
          <w:rFonts w:hint="eastAsia" w:eastAsia="仿宋_GB2312"/>
          <w:szCs w:val="32"/>
        </w:rPr>
        <w:t>二是丰富政府信息公开工作培训形式，打破以往集中培训的固定模式，利用</w:t>
      </w:r>
      <w:r>
        <w:rPr>
          <w:rFonts w:eastAsia="仿宋_GB2312"/>
          <w:szCs w:val="32"/>
        </w:rPr>
        <w:t>双周论坛、“每周例会”</w:t>
      </w:r>
      <w:r>
        <w:rPr>
          <w:rFonts w:hint="eastAsia" w:eastAsia="仿宋_GB2312"/>
          <w:szCs w:val="32"/>
        </w:rPr>
        <w:t>，组织政务公开工作人员上讲台讲述所负责领域信息公开的具体事项、公开内容、相关要求等，并就相关问题进行研讨交流，以讲代训、以讲代学，共利用</w:t>
      </w:r>
      <w:r>
        <w:rPr>
          <w:rFonts w:eastAsia="仿宋_GB2312"/>
          <w:szCs w:val="32"/>
        </w:rPr>
        <w:t>双周论坛、“每周例会”</w:t>
      </w:r>
      <w:r>
        <w:rPr>
          <w:rFonts w:hint="eastAsia" w:eastAsia="仿宋_GB2312"/>
          <w:szCs w:val="32"/>
        </w:rPr>
        <w:t>开展政务公开培训2次，5人上台进行自主讲解培训，有效提高了培训效果。</w:t>
      </w:r>
    </w:p>
    <w:p>
      <w:pPr>
        <w:spacing w:line="580" w:lineRule="exact"/>
        <w:ind w:firstLine="640" w:firstLineChars="200"/>
        <w:rPr>
          <w:rFonts w:eastAsia="黑体"/>
          <w:szCs w:val="32"/>
        </w:rPr>
      </w:pPr>
      <w:r>
        <w:rPr>
          <w:rFonts w:eastAsia="黑体"/>
          <w:szCs w:val="32"/>
        </w:rPr>
        <w:t>六、其他需要报告的事项</w:t>
      </w:r>
    </w:p>
    <w:p>
      <w:pPr>
        <w:spacing w:line="580" w:lineRule="exact"/>
        <w:ind w:firstLine="640" w:firstLineChars="200"/>
        <w:jc w:val="left"/>
        <w:rPr>
          <w:rFonts w:eastAsia="楷体_GB2312"/>
          <w:szCs w:val="32"/>
        </w:rPr>
      </w:pPr>
      <w:r>
        <w:rPr>
          <w:rFonts w:eastAsia="楷体_GB2312"/>
          <w:szCs w:val="32"/>
        </w:rPr>
        <w:t>（一）政府信息公开信息处理费收取情况</w:t>
      </w:r>
    </w:p>
    <w:p>
      <w:pPr>
        <w:spacing w:line="580" w:lineRule="exact"/>
        <w:ind w:firstLine="640" w:firstLineChars="200"/>
        <w:jc w:val="left"/>
        <w:rPr>
          <w:rFonts w:eastAsia="仿宋_GB2312"/>
          <w:szCs w:val="32"/>
        </w:rPr>
      </w:pPr>
      <w:r>
        <w:rPr>
          <w:rFonts w:hint="eastAsia"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pPr>
        <w:spacing w:line="580" w:lineRule="exact"/>
        <w:ind w:firstLine="640" w:firstLineChars="200"/>
        <w:jc w:val="left"/>
        <w:rPr>
          <w:rFonts w:eastAsia="楷体_GB2312"/>
          <w:szCs w:val="32"/>
        </w:rPr>
      </w:pPr>
      <w:r>
        <w:rPr>
          <w:rFonts w:eastAsia="楷体_GB2312"/>
          <w:szCs w:val="32"/>
        </w:rPr>
        <w:t>（二）落实上级年度政务公开工作要点情况</w:t>
      </w:r>
    </w:p>
    <w:p>
      <w:pPr>
        <w:spacing w:line="580" w:lineRule="exact"/>
        <w:ind w:firstLine="640" w:firstLineChars="200"/>
        <w:jc w:val="left"/>
        <w:rPr>
          <w:rFonts w:eastAsia="仿宋_GB2312"/>
          <w:szCs w:val="32"/>
        </w:rPr>
      </w:pPr>
      <w:r>
        <w:rPr>
          <w:rFonts w:hint="eastAsia" w:eastAsia="仿宋_GB2312"/>
          <w:szCs w:val="32"/>
        </w:rPr>
        <w:t>根据《2023年山东省政务公开工作要点》《2023年淄博市政务公开工作方案》《2023年高青县政务公开工作方案》，</w:t>
      </w:r>
      <w:r>
        <w:rPr>
          <w:rFonts w:eastAsia="仿宋_GB2312"/>
          <w:szCs w:val="32"/>
        </w:rPr>
        <w:t xml:space="preserve">制定了《高青县审计局2023年政务公开工作实施方案》，明确了重点任务、工作标准和完成时限。 </w:t>
      </w:r>
    </w:p>
    <w:p>
      <w:pPr>
        <w:spacing w:line="580" w:lineRule="exact"/>
        <w:ind w:firstLine="640" w:firstLineChars="200"/>
        <w:rPr>
          <w:rFonts w:eastAsia="仿宋_GB2312"/>
          <w:bCs/>
          <w:szCs w:val="32"/>
        </w:rPr>
      </w:pPr>
      <w:r>
        <w:rPr>
          <w:rFonts w:eastAsia="仿宋_GB2312"/>
          <w:szCs w:val="32"/>
        </w:rPr>
        <w:t>一是强化考核引导。制定《高青县审计局考核办法》，将政务公开工作纳入科室及个人平时考核，突出日常工作考核权重，将平时考核与年底考核结果挂钩，凸显考核激励作用。按照“常规内容定期公开、临时工</w:t>
      </w:r>
      <w:r>
        <w:rPr>
          <w:rFonts w:eastAsia="仿宋_GB2312"/>
          <w:bCs/>
          <w:szCs w:val="32"/>
        </w:rPr>
        <w:t>作随时公开、定性工作长期公开”的原则，明确政务公开工作考核任务，理顺公开清单，严格政务公开程序，坚持审计工作“应公开、尽公开”，不断提升政务公开工作能力水平。</w:t>
      </w:r>
    </w:p>
    <w:p>
      <w:pPr>
        <w:pStyle w:val="2"/>
        <w:spacing w:line="580" w:lineRule="exact"/>
        <w:ind w:firstLine="640"/>
        <w:rPr>
          <w:rFonts w:eastAsia="仿宋_GB2312"/>
          <w:szCs w:val="32"/>
          <w:lang w:bidi="ar"/>
        </w:rPr>
      </w:pPr>
      <w:r>
        <w:rPr>
          <w:rFonts w:eastAsia="仿宋_GB2312"/>
          <w:szCs w:val="32"/>
        </w:rPr>
        <w:t>二是畅通学习渠道。扎实开</w:t>
      </w:r>
      <w:r>
        <w:rPr>
          <w:rFonts w:eastAsia="仿宋_GB2312"/>
          <w:bCs/>
          <w:kern w:val="2"/>
          <w:szCs w:val="32"/>
        </w:rPr>
        <w:t>展“对接省城年”活动，“走出去”虚心学习，到济南市章丘区审计局开展横向结对共建活动，学习优秀经验做法，提高政务公开水平。</w:t>
      </w:r>
      <w:r>
        <w:rPr>
          <w:rFonts w:eastAsia="仿宋_GB2312"/>
          <w:szCs w:val="32"/>
          <w:lang w:bidi="ar"/>
        </w:rPr>
        <w:t>开展“双周论坛”活动，由年轻干部轮流上讲台，集体学习政府信息公开考核标准细则，明确机关内部政府信息公开审查程序，学习“高青审计”公众号制作及发布流程，实时发布审计有关动态，打造“阳光审计”。</w:t>
      </w:r>
    </w:p>
    <w:p>
      <w:pPr>
        <w:pStyle w:val="2"/>
        <w:autoSpaceDE/>
        <w:autoSpaceDN/>
        <w:snapToGrid/>
        <w:spacing w:line="580" w:lineRule="exact"/>
        <w:ind w:firstLine="640"/>
        <w:rPr>
          <w:rFonts w:eastAsia="仿宋_GB2312"/>
          <w:szCs w:val="32"/>
        </w:rPr>
      </w:pPr>
      <w:r>
        <w:rPr>
          <w:rFonts w:eastAsia="仿宋_GB2312"/>
          <w:szCs w:val="32"/>
          <w:lang w:bidi="ar"/>
        </w:rPr>
        <w:t>三是拓宽公开形式。一方面围绕重点领域，及时公开政策文件及解读、行政执法公示、部门召开会议、本级预算执行和其他财政收支审计以及审计整改报告、专项审计报告等，对于发布的政策性文件，群众关心关注的问题，利用文字、图片等多种形式对上级和本级相关政策进行解读。另一方面</w:t>
      </w:r>
      <w:r>
        <w:rPr>
          <w:rFonts w:eastAsia="仿宋_GB2312"/>
          <w:szCs w:val="32"/>
        </w:rPr>
        <w:t>抓住“内部审计工作规范化建设示范单位”创建活动契机，发挥16名内审指导监督员职能作用，到7家单位督导调研，宣传讲解示范创建工作要点，解决困点难点，运行线下调研交流方式，将审计关注要点进行解读。</w:t>
      </w:r>
    </w:p>
    <w:p>
      <w:pPr>
        <w:spacing w:line="580" w:lineRule="exact"/>
        <w:ind w:firstLine="640" w:firstLineChars="200"/>
        <w:rPr>
          <w:rFonts w:eastAsia="楷体_GB2312"/>
          <w:szCs w:val="32"/>
        </w:rPr>
      </w:pPr>
      <w:r>
        <w:rPr>
          <w:rFonts w:eastAsia="楷体_GB2312"/>
          <w:szCs w:val="32"/>
        </w:rPr>
        <w:t>（三）人大代表建议和政协提案办理结果公开情况</w:t>
      </w:r>
    </w:p>
    <w:p>
      <w:pPr>
        <w:spacing w:line="580" w:lineRule="exact"/>
        <w:ind w:firstLine="640" w:firstLineChars="200"/>
        <w:jc w:val="left"/>
        <w:rPr>
          <w:rFonts w:eastAsia="仿宋_GB2312"/>
          <w:szCs w:val="32"/>
        </w:rPr>
      </w:pPr>
      <w:r>
        <w:rPr>
          <w:rFonts w:eastAsia="仿宋_GB2312"/>
          <w:szCs w:val="32"/>
        </w:rPr>
        <w:t>2023年未承办县十八届人大二次会议建议、县政协十五届二次会议提案。</w:t>
      </w:r>
    </w:p>
    <w:p>
      <w:pPr>
        <w:spacing w:line="580" w:lineRule="exact"/>
        <w:ind w:firstLine="640" w:firstLineChars="200"/>
        <w:jc w:val="left"/>
        <w:rPr>
          <w:rFonts w:eastAsia="楷体_GB2312"/>
          <w:szCs w:val="32"/>
        </w:rPr>
      </w:pPr>
      <w:r>
        <w:rPr>
          <w:rFonts w:eastAsia="楷体_GB2312"/>
          <w:szCs w:val="32"/>
        </w:rPr>
        <w:t>（四）政务公开工作创新情况</w:t>
      </w:r>
    </w:p>
    <w:p>
      <w:pPr>
        <w:spacing w:line="580" w:lineRule="exact"/>
        <w:ind w:firstLine="640" w:firstLineChars="200"/>
        <w:jc w:val="left"/>
        <w:rPr>
          <w:rFonts w:eastAsia="仿宋_GB2312"/>
          <w:szCs w:val="32"/>
        </w:rPr>
      </w:pPr>
      <w:r>
        <w:rPr>
          <w:rFonts w:eastAsia="仿宋_GB2312"/>
          <w:szCs w:val="32"/>
        </w:rPr>
        <w:t>规范</w:t>
      </w:r>
      <w:r>
        <w:rPr>
          <w:rFonts w:hint="eastAsia" w:eastAsia="仿宋_GB2312"/>
          <w:szCs w:val="32"/>
        </w:rPr>
        <w:t>政府信息主动公开</w:t>
      </w:r>
      <w:r>
        <w:rPr>
          <w:rFonts w:eastAsia="仿宋_GB2312"/>
          <w:szCs w:val="32"/>
        </w:rPr>
        <w:t>，做好信息公开的维护和更新工作，确保工作连续不间断。同时全面梳理政府信息依申请公开受理登记、办理答复等环节，不断强化制度建设，明确牵头科室、承办科室、承办领导、分管领导的责任和具体办理的时限要求，有效促进相关工作规范化标准化。</w:t>
      </w:r>
    </w:p>
    <w:p>
      <w:pPr>
        <w:spacing w:line="580" w:lineRule="exact"/>
        <w:ind w:firstLine="640" w:firstLineChars="200"/>
        <w:jc w:val="left"/>
        <w:rPr>
          <w:rFonts w:eastAsia="楷体_GB2312"/>
          <w:szCs w:val="32"/>
        </w:rPr>
      </w:pPr>
      <w:r>
        <w:rPr>
          <w:rFonts w:eastAsia="楷体_GB2312"/>
          <w:szCs w:val="32"/>
        </w:rPr>
        <w:t>（五）有关数据统计说明</w:t>
      </w:r>
    </w:p>
    <w:p>
      <w:pPr>
        <w:spacing w:line="580" w:lineRule="exact"/>
        <w:ind w:firstLine="640" w:firstLineChars="200"/>
        <w:rPr>
          <w:rFonts w:eastAsia="仿宋_GB2312"/>
          <w:szCs w:val="32"/>
        </w:rPr>
      </w:pPr>
      <w:r>
        <w:rPr>
          <w:rFonts w:eastAsia="仿宋_GB2312"/>
          <w:szCs w:val="32"/>
        </w:rPr>
        <w:t>1.报告中所列数据可能因四舍五入原因与数据直接相加之和存在尾数差异。</w:t>
      </w:r>
    </w:p>
    <w:p>
      <w:pPr>
        <w:spacing w:line="580" w:lineRule="exact"/>
        <w:ind w:firstLine="640" w:firstLineChars="200"/>
        <w:rPr>
          <w:rFonts w:eastAsia="仿宋_GB2312"/>
          <w:szCs w:val="32"/>
        </w:rPr>
      </w:pPr>
      <w:r>
        <w:rPr>
          <w:rFonts w:eastAsia="仿宋_GB2312"/>
          <w:szCs w:val="32"/>
        </w:rPr>
        <w:t>2.行政许可数量、行政处罚和行政强制数量，包括已公开和依法未公开的全部处理决定。</w:t>
      </w:r>
    </w:p>
    <w:p>
      <w:pPr>
        <w:spacing w:line="580" w:lineRule="exact"/>
        <w:ind w:firstLine="640" w:firstLineChars="200"/>
        <w:rPr>
          <w:rFonts w:eastAsia="仿宋_GB2312"/>
          <w:szCs w:val="32"/>
        </w:rPr>
      </w:pPr>
      <w:r>
        <w:rPr>
          <w:rFonts w:eastAsia="仿宋_GB2312"/>
          <w:szCs w:val="32"/>
        </w:rPr>
        <w:t>3.行政复议机关作为共同被告的行政诉讼案件，只计算原行为主体的案件数量，不计算行政复议机关的案件数量。</w:t>
      </w:r>
    </w:p>
    <w:p>
      <w:pPr>
        <w:spacing w:line="580" w:lineRule="exact"/>
        <w:ind w:firstLine="640" w:firstLineChars="200"/>
        <w:rPr>
          <w:rFonts w:eastAsia="黑体"/>
          <w:szCs w:val="32"/>
        </w:rPr>
      </w:pPr>
    </w:p>
    <w:p>
      <w:pPr>
        <w:spacing w:line="580" w:lineRule="exact"/>
        <w:ind w:firstLine="640" w:firstLineChars="200"/>
        <w:jc w:val="left"/>
        <w:rPr>
          <w:rFonts w:eastAsia="仿宋_GB2312"/>
        </w:rPr>
      </w:pPr>
    </w:p>
    <w:p>
      <w:pPr>
        <w:spacing w:line="580" w:lineRule="exact"/>
        <w:ind w:firstLine="640" w:firstLineChars="200"/>
        <w:jc w:val="left"/>
        <w:rPr>
          <w:rFonts w:eastAsia="仿宋_GB2312"/>
        </w:rPr>
      </w:pPr>
    </w:p>
    <w:p>
      <w:pPr>
        <w:spacing w:line="580" w:lineRule="exact"/>
        <w:ind w:firstLine="600" w:firstLineChars="200"/>
        <w:jc w:val="left"/>
        <w:rPr>
          <w:rFonts w:eastAsia="楷体_GB2312"/>
          <w:sz w:val="30"/>
          <w:szCs w:val="30"/>
        </w:rPr>
      </w:pPr>
    </w:p>
    <w:p>
      <w:pPr>
        <w:spacing w:line="580" w:lineRule="exact"/>
        <w:ind w:firstLine="600" w:firstLineChars="200"/>
        <w:rPr>
          <w:rFonts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034DFF"/>
    <w:rsid w:val="00110130"/>
    <w:rsid w:val="00117733"/>
    <w:rsid w:val="00121DCF"/>
    <w:rsid w:val="001730EE"/>
    <w:rsid w:val="00210F4D"/>
    <w:rsid w:val="00211942"/>
    <w:rsid w:val="002133C7"/>
    <w:rsid w:val="002961F2"/>
    <w:rsid w:val="002B6F0E"/>
    <w:rsid w:val="002E3543"/>
    <w:rsid w:val="00312990"/>
    <w:rsid w:val="003B5255"/>
    <w:rsid w:val="003D6FCB"/>
    <w:rsid w:val="003E75A6"/>
    <w:rsid w:val="00415AB1"/>
    <w:rsid w:val="004622F8"/>
    <w:rsid w:val="004C1750"/>
    <w:rsid w:val="004D241E"/>
    <w:rsid w:val="00515DB1"/>
    <w:rsid w:val="00523855"/>
    <w:rsid w:val="005422B3"/>
    <w:rsid w:val="005535FF"/>
    <w:rsid w:val="00591E5D"/>
    <w:rsid w:val="005C0F41"/>
    <w:rsid w:val="0065765D"/>
    <w:rsid w:val="00673AC7"/>
    <w:rsid w:val="006947A5"/>
    <w:rsid w:val="006E2A5C"/>
    <w:rsid w:val="00704FCD"/>
    <w:rsid w:val="0073348A"/>
    <w:rsid w:val="008C4ED2"/>
    <w:rsid w:val="00915D0B"/>
    <w:rsid w:val="009B028C"/>
    <w:rsid w:val="00AC0CD6"/>
    <w:rsid w:val="00BB7B6F"/>
    <w:rsid w:val="00BC69FF"/>
    <w:rsid w:val="00C44149"/>
    <w:rsid w:val="00C542CC"/>
    <w:rsid w:val="00C6388F"/>
    <w:rsid w:val="00C67940"/>
    <w:rsid w:val="00C73BD0"/>
    <w:rsid w:val="00CC2BE7"/>
    <w:rsid w:val="00CC521B"/>
    <w:rsid w:val="00CD1D00"/>
    <w:rsid w:val="00DE7E52"/>
    <w:rsid w:val="00E10A1F"/>
    <w:rsid w:val="00E60B5D"/>
    <w:rsid w:val="00EA0721"/>
    <w:rsid w:val="00EF5607"/>
    <w:rsid w:val="00F8389F"/>
    <w:rsid w:val="00FA216A"/>
    <w:rsid w:val="00FD5381"/>
    <w:rsid w:val="01AD33F8"/>
    <w:rsid w:val="05444C82"/>
    <w:rsid w:val="1F7D6360"/>
    <w:rsid w:val="205D434E"/>
    <w:rsid w:val="2CD64900"/>
    <w:rsid w:val="311B2F82"/>
    <w:rsid w:val="32B62863"/>
    <w:rsid w:val="32E15778"/>
    <w:rsid w:val="332002C6"/>
    <w:rsid w:val="3ABD4424"/>
    <w:rsid w:val="42782ABD"/>
    <w:rsid w:val="535E5FEA"/>
    <w:rsid w:val="557B234C"/>
    <w:rsid w:val="61BE3968"/>
    <w:rsid w:val="6A561785"/>
    <w:rsid w:val="6B221AA5"/>
    <w:rsid w:val="6B7B29A9"/>
    <w:rsid w:val="7F0E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qFormat/>
    <w:uiPriority w:val="0"/>
    <w:pPr>
      <w:spacing w:beforeAutospacing="1" w:afterAutospacing="1"/>
      <w:jc w:val="left"/>
    </w:pPr>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4"/>
    <w:qFormat/>
    <w:uiPriority w:val="99"/>
    <w:rPr>
      <w:rFonts w:ascii="Times New Roman" w:hAnsi="Times New Roman" w:eastAsia="方正仿宋_GBK" w:cs="Times New Roman"/>
      <w:snapToGrid w:val="0"/>
      <w:kern w:val="0"/>
      <w:sz w:val="18"/>
      <w:szCs w:val="18"/>
    </w:rPr>
  </w:style>
  <w:style w:type="character" w:customStyle="1" w:styleId="10">
    <w:name w:val="页脚 Char"/>
    <w:basedOn w:val="6"/>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政府信息主动公开情况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Sheet1!$A$2:$A$15</c:f>
              <c:strCache>
                <c:ptCount val="14"/>
                <c:pt idx="0">
                  <c:v>机构职能信息</c:v>
                </c:pt>
                <c:pt idx="1">
                  <c:v>职能配置信息</c:v>
                </c:pt>
                <c:pt idx="2">
                  <c:v>解读材料</c:v>
                </c:pt>
                <c:pt idx="3">
                  <c:v>审计信息</c:v>
                </c:pt>
                <c:pt idx="4">
                  <c:v>重要部署执行信息</c:v>
                </c:pt>
                <c:pt idx="5">
                  <c:v>建议提案办理</c:v>
                </c:pt>
                <c:pt idx="6">
                  <c:v>财政预决算信息</c:v>
                </c:pt>
                <c:pt idx="7">
                  <c:v>行政执法信息</c:v>
                </c:pt>
                <c:pt idx="8">
                  <c:v>主动公开基本目录</c:v>
                </c:pt>
                <c:pt idx="9">
                  <c:v>组织管理</c:v>
                </c:pt>
                <c:pt idx="10">
                  <c:v>政府信息公开指南</c:v>
                </c:pt>
                <c:pt idx="11">
                  <c:v>年度报告</c:v>
                </c:pt>
                <c:pt idx="12">
                  <c:v>政府会议</c:v>
                </c:pt>
                <c:pt idx="13">
                  <c:v>法治政府建设年度报告</c:v>
                </c:pt>
              </c:strCache>
            </c:strRef>
          </c:cat>
          <c:val>
            <c:numRef>
              <c:f>Sheet1!$B$2:$B$15</c:f>
              <c:numCache>
                <c:formatCode>General</c:formatCode>
                <c:ptCount val="14"/>
                <c:pt idx="0">
                  <c:v>1</c:v>
                </c:pt>
                <c:pt idx="1">
                  <c:v>10</c:v>
                </c:pt>
                <c:pt idx="2">
                  <c:v>1</c:v>
                </c:pt>
                <c:pt idx="3">
                  <c:v>3</c:v>
                </c:pt>
                <c:pt idx="4">
                  <c:v>2</c:v>
                </c:pt>
                <c:pt idx="5">
                  <c:v>1</c:v>
                </c:pt>
                <c:pt idx="6">
                  <c:v>4</c:v>
                </c:pt>
                <c:pt idx="7">
                  <c:v>11</c:v>
                </c:pt>
                <c:pt idx="8">
                  <c:v>1</c:v>
                </c:pt>
                <c:pt idx="9">
                  <c:v>5</c:v>
                </c:pt>
                <c:pt idx="10">
                  <c:v>1</c:v>
                </c:pt>
                <c:pt idx="11">
                  <c:v>1</c:v>
                </c:pt>
                <c:pt idx="12">
                  <c:v>4</c:v>
                </c:pt>
                <c:pt idx="13">
                  <c:v>1</c:v>
                </c:pt>
              </c:numCache>
            </c:numRef>
          </c:val>
        </c:ser>
        <c:dLbls>
          <c:showLegendKey val="0"/>
          <c:showVal val="0"/>
          <c:showCatName val="0"/>
          <c:showSerName val="0"/>
          <c:showPercent val="0"/>
          <c:showBubbleSize val="0"/>
        </c:dLbls>
        <c:gapWidth val="219"/>
        <c:overlap val="-27"/>
        <c:axId val="254134528"/>
        <c:axId val="199614848"/>
      </c:barChart>
      <c:catAx>
        <c:axId val="25413452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614848"/>
        <c:crosses val="autoZero"/>
        <c:auto val="1"/>
        <c:lblAlgn val="ctr"/>
        <c:lblOffset val="100"/>
        <c:noMultiLvlLbl val="0"/>
      </c:catAx>
      <c:valAx>
        <c:axId val="1996148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4134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10</Pages>
  <Words>3740</Words>
  <Characters>3893</Characters>
  <Lines>30</Lines>
  <Paragraphs>8</Paragraphs>
  <TotalTime>37</TotalTime>
  <ScaleCrop>false</ScaleCrop>
  <LinksUpToDate>false</LinksUpToDate>
  <CharactersWithSpaces>3896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Administrator</cp:lastModifiedBy>
  <dcterms:modified xsi:type="dcterms:W3CDTF">2024-01-25T05:47:11Z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