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871" w:rsidRDefault="00DF281A">
      <w:pPr>
        <w:spacing w:line="600" w:lineRule="exact"/>
        <w:ind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高青县审计局</w:t>
      </w:r>
    </w:p>
    <w:p w:rsidR="00811871" w:rsidRDefault="00DF281A">
      <w:pPr>
        <w:spacing w:line="600" w:lineRule="exact"/>
        <w:ind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2022</w:t>
      </w:r>
      <w:r>
        <w:rPr>
          <w:rFonts w:ascii="方正小标宋简体" w:eastAsia="方正小标宋简体" w:hAnsi="方正小标宋简体" w:cs="方正小标宋简体" w:hint="eastAsia"/>
          <w:sz w:val="44"/>
          <w:szCs w:val="44"/>
        </w:rPr>
        <w:t>年政府信息公开工作年度报告</w:t>
      </w:r>
    </w:p>
    <w:p w:rsidR="00811871" w:rsidRDefault="00811871">
      <w:pPr>
        <w:spacing w:line="600" w:lineRule="exact"/>
        <w:ind w:firstLineChars="200" w:firstLine="640"/>
        <w:rPr>
          <w:rFonts w:ascii="仿宋_GB2312" w:eastAsia="仿宋_GB2312"/>
        </w:rPr>
      </w:pPr>
    </w:p>
    <w:p w:rsidR="00811871" w:rsidRDefault="00DF281A">
      <w:pPr>
        <w:spacing w:line="590" w:lineRule="exact"/>
        <w:ind w:firstLineChars="200" w:firstLine="640"/>
        <w:rPr>
          <w:rFonts w:eastAsia="仿宋_GB2312"/>
        </w:rPr>
      </w:pPr>
      <w:r>
        <w:rPr>
          <w:rFonts w:eastAsia="仿宋_GB2312"/>
        </w:rPr>
        <w:t>本报告根据《中华人民共和国政府信息公开条例》（国务院令第</w:t>
      </w:r>
      <w:r>
        <w:rPr>
          <w:rFonts w:eastAsia="仿宋_GB2312"/>
        </w:rPr>
        <w:t>711</w:t>
      </w:r>
      <w:r>
        <w:rPr>
          <w:rFonts w:eastAsia="仿宋_GB2312"/>
        </w:rPr>
        <w:t>号，以下简称《条例》）</w:t>
      </w:r>
      <w:r>
        <w:rPr>
          <w:rFonts w:eastAsia="仿宋_GB2312"/>
          <w:szCs w:val="32"/>
        </w:rPr>
        <w:t>和《国务院办公厅政府信息与政务公开办公室关于印发</w:t>
      </w:r>
      <w:r>
        <w:rPr>
          <w:rFonts w:eastAsia="仿宋_GB2312"/>
          <w:szCs w:val="32"/>
        </w:rPr>
        <w:t>&lt;</w:t>
      </w:r>
      <w:r>
        <w:rPr>
          <w:rFonts w:eastAsia="仿宋_GB2312"/>
          <w:szCs w:val="32"/>
        </w:rPr>
        <w:t>中华人民共和国政府信息公开工作年度报告格式</w:t>
      </w:r>
      <w:r>
        <w:rPr>
          <w:rFonts w:eastAsia="仿宋_GB2312"/>
          <w:szCs w:val="32"/>
        </w:rPr>
        <w:t>&gt;</w:t>
      </w:r>
      <w:r>
        <w:rPr>
          <w:rFonts w:eastAsia="仿宋_GB2312"/>
          <w:szCs w:val="32"/>
        </w:rPr>
        <w:t>的通知》（国办公开办函〔</w:t>
      </w:r>
      <w:r>
        <w:rPr>
          <w:rFonts w:eastAsia="仿宋_GB2312"/>
          <w:szCs w:val="32"/>
        </w:rPr>
        <w:t>2021</w:t>
      </w:r>
      <w:r>
        <w:rPr>
          <w:rFonts w:eastAsia="仿宋_GB2312"/>
          <w:szCs w:val="32"/>
        </w:rPr>
        <w:t>〕</w:t>
      </w:r>
      <w:r>
        <w:rPr>
          <w:rFonts w:eastAsia="仿宋_GB2312"/>
          <w:szCs w:val="32"/>
        </w:rPr>
        <w:t>30</w:t>
      </w:r>
      <w:r>
        <w:rPr>
          <w:rFonts w:eastAsia="仿宋_GB2312"/>
          <w:szCs w:val="32"/>
        </w:rPr>
        <w:t>号）相关要求编制</w:t>
      </w:r>
      <w:r>
        <w:rPr>
          <w:rFonts w:eastAsia="仿宋_GB2312"/>
        </w:rPr>
        <w:t>。报告全文</w:t>
      </w:r>
      <w:proofErr w:type="gramStart"/>
      <w:r>
        <w:rPr>
          <w:rFonts w:eastAsia="仿宋_GB2312"/>
        </w:rPr>
        <w:t>分总体</w:t>
      </w:r>
      <w:proofErr w:type="gramEnd"/>
      <w:r>
        <w:rPr>
          <w:rFonts w:eastAsia="仿宋_GB2312"/>
        </w:rPr>
        <w:t>情况、主动公开政府信息情况、收到和处理政府信息公开申请情况、政府信息公开行政复议和行政诉讼情况、存在的主要问题及改进情况、其他需要报告的事项</w:t>
      </w:r>
      <w:r>
        <w:rPr>
          <w:rFonts w:eastAsia="仿宋_GB2312"/>
        </w:rPr>
        <w:t>6</w:t>
      </w:r>
      <w:r>
        <w:rPr>
          <w:rFonts w:eastAsia="仿宋_GB2312"/>
        </w:rPr>
        <w:t>个部分。</w:t>
      </w:r>
    </w:p>
    <w:p w:rsidR="00811871" w:rsidRDefault="00DF281A">
      <w:pPr>
        <w:spacing w:line="590" w:lineRule="exact"/>
        <w:ind w:firstLineChars="200" w:firstLine="640"/>
        <w:rPr>
          <w:rFonts w:eastAsia="仿宋_GB2312"/>
        </w:rPr>
      </w:pPr>
      <w:r>
        <w:rPr>
          <w:rFonts w:eastAsia="仿宋_GB2312"/>
        </w:rPr>
        <w:t>报告中所列数据统计期限自</w:t>
      </w:r>
      <w:r>
        <w:rPr>
          <w:rFonts w:eastAsia="仿宋_GB2312"/>
        </w:rPr>
        <w:t>2022</w:t>
      </w:r>
      <w:r>
        <w:rPr>
          <w:rFonts w:eastAsia="仿宋_GB2312"/>
        </w:rPr>
        <w:t>年</w:t>
      </w:r>
      <w:r>
        <w:rPr>
          <w:rFonts w:eastAsia="仿宋_GB2312"/>
        </w:rPr>
        <w:t>1</w:t>
      </w:r>
      <w:r>
        <w:rPr>
          <w:rFonts w:eastAsia="仿宋_GB2312"/>
        </w:rPr>
        <w:t>月</w:t>
      </w:r>
      <w:r>
        <w:rPr>
          <w:rFonts w:eastAsia="仿宋_GB2312"/>
        </w:rPr>
        <w:t>1</w:t>
      </w:r>
      <w:r>
        <w:rPr>
          <w:rFonts w:eastAsia="仿宋_GB2312"/>
        </w:rPr>
        <w:t>日始，至</w:t>
      </w:r>
      <w:r>
        <w:rPr>
          <w:rFonts w:eastAsia="仿宋_GB2312"/>
        </w:rPr>
        <w:t>2022</w:t>
      </w:r>
      <w:r>
        <w:rPr>
          <w:rFonts w:eastAsia="仿宋_GB2312"/>
        </w:rPr>
        <w:t>年</w:t>
      </w:r>
      <w:r>
        <w:rPr>
          <w:rFonts w:eastAsia="仿宋_GB2312"/>
        </w:rPr>
        <w:t>12</w:t>
      </w:r>
      <w:r>
        <w:rPr>
          <w:rFonts w:eastAsia="仿宋_GB2312"/>
        </w:rPr>
        <w:t>月</w:t>
      </w:r>
      <w:r>
        <w:rPr>
          <w:rFonts w:eastAsia="仿宋_GB2312"/>
        </w:rPr>
        <w:t>31</w:t>
      </w:r>
      <w:r>
        <w:rPr>
          <w:rFonts w:eastAsia="仿宋_GB2312"/>
        </w:rPr>
        <w:t>日止。报告电子版可在高青县人民政府门户网站（</w:t>
      </w:r>
      <w:r>
        <w:rPr>
          <w:rFonts w:eastAsia="仿宋_GB2312"/>
        </w:rPr>
        <w:t>www.gaoqing.gov.cn</w:t>
      </w:r>
      <w:r>
        <w:rPr>
          <w:rFonts w:eastAsia="仿宋_GB2312"/>
        </w:rPr>
        <w:t>）查阅和下载。如对报告内容有疑问，请与高青县审计局办公室联系（地址：山东省淄博市高青</w:t>
      </w:r>
      <w:proofErr w:type="gramStart"/>
      <w:r>
        <w:rPr>
          <w:rFonts w:eastAsia="仿宋_GB2312"/>
        </w:rPr>
        <w:t>县高苑路</w:t>
      </w:r>
      <w:proofErr w:type="gramEnd"/>
      <w:r>
        <w:rPr>
          <w:rFonts w:eastAsia="仿宋_GB2312"/>
        </w:rPr>
        <w:t>7</w:t>
      </w:r>
      <w:r>
        <w:rPr>
          <w:rFonts w:eastAsia="仿宋_GB2312"/>
        </w:rPr>
        <w:t>号；邮编：</w:t>
      </w:r>
      <w:r>
        <w:rPr>
          <w:rFonts w:eastAsia="仿宋_GB2312"/>
        </w:rPr>
        <w:t>256300</w:t>
      </w:r>
      <w:r>
        <w:rPr>
          <w:rFonts w:eastAsia="仿宋_GB2312"/>
        </w:rPr>
        <w:t>；电话：</w:t>
      </w:r>
      <w:r>
        <w:rPr>
          <w:rFonts w:eastAsia="仿宋_GB2312"/>
        </w:rPr>
        <w:t>0533-6983589</w:t>
      </w:r>
      <w:r>
        <w:rPr>
          <w:rFonts w:eastAsia="仿宋_GB2312"/>
        </w:rPr>
        <w:t>；传真：</w:t>
      </w:r>
      <w:r>
        <w:rPr>
          <w:rFonts w:eastAsia="仿宋_GB2312"/>
        </w:rPr>
        <w:t>0533-6962956</w:t>
      </w:r>
      <w:r>
        <w:rPr>
          <w:rFonts w:eastAsia="仿宋_GB2312"/>
        </w:rPr>
        <w:t>；电子邮箱：</w:t>
      </w:r>
      <w:r>
        <w:rPr>
          <w:rFonts w:eastAsia="仿宋_GB2312"/>
        </w:rPr>
        <w:t>gqxsjj@zb.shandong.cn</w:t>
      </w:r>
      <w:r>
        <w:rPr>
          <w:rFonts w:eastAsia="仿宋_GB2312"/>
        </w:rPr>
        <w:t>）。</w:t>
      </w:r>
    </w:p>
    <w:p w:rsidR="00811871" w:rsidRDefault="00DF281A">
      <w:pPr>
        <w:spacing w:line="590" w:lineRule="exact"/>
        <w:ind w:firstLineChars="200" w:firstLine="640"/>
        <w:rPr>
          <w:rFonts w:eastAsia="黑体"/>
          <w:szCs w:val="32"/>
        </w:rPr>
      </w:pPr>
      <w:r>
        <w:rPr>
          <w:rFonts w:eastAsia="黑体"/>
          <w:szCs w:val="32"/>
        </w:rPr>
        <w:t>一、总体情况</w:t>
      </w:r>
    </w:p>
    <w:p w:rsidR="00811871" w:rsidRDefault="00DF281A">
      <w:pPr>
        <w:spacing w:line="590" w:lineRule="exact"/>
        <w:ind w:firstLineChars="200" w:firstLine="640"/>
        <w:rPr>
          <w:rFonts w:eastAsia="仿宋_GB2312"/>
          <w:szCs w:val="32"/>
        </w:rPr>
      </w:pPr>
      <w:r>
        <w:rPr>
          <w:rFonts w:eastAsia="仿宋_GB2312"/>
          <w:szCs w:val="32"/>
        </w:rPr>
        <w:t>2022</w:t>
      </w:r>
      <w:r>
        <w:rPr>
          <w:rFonts w:eastAsia="仿宋_GB2312"/>
          <w:szCs w:val="32"/>
        </w:rPr>
        <w:t>年，高青县审计局坚持以习近平新时代中国特色社会主义思想为指导，认真落实国家和省市县政务公开工作部署，紧</w:t>
      </w:r>
      <w:r>
        <w:rPr>
          <w:rFonts w:eastAsia="仿宋_GB2312"/>
          <w:szCs w:val="32"/>
        </w:rPr>
        <w:t>密结合审计工作实际，不断增强政府信息公开的主动性、自觉性，努力提升公开质量和水平。</w:t>
      </w:r>
    </w:p>
    <w:p w:rsidR="00811871" w:rsidRDefault="00DF281A">
      <w:pPr>
        <w:spacing w:line="590" w:lineRule="exact"/>
        <w:ind w:firstLineChars="200" w:firstLine="640"/>
        <w:rPr>
          <w:rFonts w:eastAsia="楷体_GB2312"/>
        </w:rPr>
      </w:pPr>
      <w:r>
        <w:rPr>
          <w:rFonts w:eastAsia="楷体_GB2312"/>
        </w:rPr>
        <w:t>（一）主动公开</w:t>
      </w:r>
    </w:p>
    <w:p w:rsidR="00811871" w:rsidRDefault="00DF281A">
      <w:pPr>
        <w:spacing w:line="590" w:lineRule="exact"/>
        <w:ind w:firstLineChars="200" w:firstLine="640"/>
        <w:rPr>
          <w:rFonts w:eastAsia="仿宋_GB2312"/>
        </w:rPr>
      </w:pPr>
      <w:r>
        <w:rPr>
          <w:rFonts w:eastAsia="仿宋_GB2312"/>
          <w:szCs w:val="32"/>
        </w:rPr>
        <w:lastRenderedPageBreak/>
        <w:t>优化完善公开机制，实行</w:t>
      </w:r>
      <w:r>
        <w:rPr>
          <w:rFonts w:eastAsia="仿宋_GB2312"/>
          <w:szCs w:val="32"/>
        </w:rPr>
        <w:t>“</w:t>
      </w:r>
      <w:r>
        <w:rPr>
          <w:rFonts w:eastAsia="仿宋_GB2312"/>
          <w:szCs w:val="32"/>
        </w:rPr>
        <w:t>专人负责、科室协同</w:t>
      </w:r>
      <w:r>
        <w:rPr>
          <w:rFonts w:eastAsia="仿宋_GB2312"/>
          <w:szCs w:val="32"/>
        </w:rPr>
        <w:t>”</w:t>
      </w:r>
      <w:r>
        <w:rPr>
          <w:rFonts w:eastAsia="仿宋_GB2312"/>
          <w:szCs w:val="32"/>
        </w:rPr>
        <w:t>的工作机制，形成政务公开工作合力。制定《高青县审计局</w:t>
      </w:r>
      <w:r>
        <w:rPr>
          <w:rFonts w:eastAsia="仿宋_GB2312"/>
          <w:szCs w:val="32"/>
        </w:rPr>
        <w:t>2022</w:t>
      </w:r>
      <w:r>
        <w:rPr>
          <w:rFonts w:eastAsia="仿宋_GB2312"/>
          <w:szCs w:val="32"/>
        </w:rPr>
        <w:t>年政务公开工作实施方案》，明确重点任务。</w:t>
      </w:r>
      <w:r>
        <w:rPr>
          <w:rFonts w:eastAsia="仿宋_GB2312"/>
          <w:szCs w:val="32"/>
        </w:rPr>
        <w:t>2022</w:t>
      </w:r>
      <w:r>
        <w:rPr>
          <w:rFonts w:eastAsia="仿宋_GB2312"/>
          <w:szCs w:val="32"/>
        </w:rPr>
        <w:t>年通过县政府门户网站公开信息</w:t>
      </w:r>
      <w:r>
        <w:rPr>
          <w:rFonts w:eastAsia="仿宋_GB2312"/>
          <w:szCs w:val="32"/>
        </w:rPr>
        <w:t>81</w:t>
      </w:r>
      <w:r>
        <w:rPr>
          <w:rFonts w:eastAsia="仿宋_GB2312"/>
          <w:szCs w:val="32"/>
        </w:rPr>
        <w:t>条，比上年度增长</w:t>
      </w:r>
      <w:r>
        <w:rPr>
          <w:rFonts w:eastAsia="仿宋_GB2312"/>
          <w:szCs w:val="32"/>
        </w:rPr>
        <w:t>65.3%</w:t>
      </w:r>
      <w:r>
        <w:rPr>
          <w:rFonts w:eastAsia="仿宋_GB2312"/>
          <w:szCs w:val="32"/>
        </w:rPr>
        <w:t>，涉及机构职能、政策及解读、审计信息、重要部署执行</w:t>
      </w:r>
      <w:r>
        <w:rPr>
          <w:rFonts w:eastAsia="仿宋_GB2312"/>
          <w:szCs w:val="32"/>
        </w:rPr>
        <w:t>8</w:t>
      </w:r>
      <w:r>
        <w:rPr>
          <w:rFonts w:eastAsia="仿宋_GB2312"/>
          <w:szCs w:val="32"/>
        </w:rPr>
        <w:t>、建议提案办理、财政预决算等。</w:t>
      </w:r>
      <w:r>
        <w:rPr>
          <w:rFonts w:eastAsia="仿宋_GB2312"/>
        </w:rPr>
        <w:t>坚持政策文件与解读材料同步组织、同步审签、同步部署，丰富解读形式，运用文稿解读和单位负责人解读等形式开展解读，</w:t>
      </w:r>
      <w:r>
        <w:rPr>
          <w:rFonts w:eastAsia="仿宋_GB2312"/>
        </w:rPr>
        <w:t>2022</w:t>
      </w:r>
      <w:r>
        <w:rPr>
          <w:rFonts w:eastAsia="仿宋_GB2312"/>
        </w:rPr>
        <w:t>年</w:t>
      </w:r>
      <w:r>
        <w:rPr>
          <w:rFonts w:eastAsia="仿宋_GB2312"/>
        </w:rPr>
        <w:t>发布解读材料</w:t>
      </w:r>
      <w:r>
        <w:rPr>
          <w:rFonts w:eastAsia="仿宋_GB2312"/>
        </w:rPr>
        <w:t>2</w:t>
      </w:r>
      <w:r>
        <w:rPr>
          <w:rFonts w:eastAsia="仿宋_GB2312"/>
        </w:rPr>
        <w:t>篇。</w:t>
      </w:r>
    </w:p>
    <w:p w:rsidR="00811871" w:rsidRDefault="00DF281A">
      <w:pPr>
        <w:spacing w:line="590" w:lineRule="exact"/>
        <w:ind w:firstLineChars="200" w:firstLine="640"/>
        <w:rPr>
          <w:rFonts w:ascii="仿宋_GB2312" w:eastAsia="仿宋_GB2312"/>
          <w:szCs w:val="32"/>
        </w:rPr>
      </w:pPr>
      <w:r>
        <w:rPr>
          <w:rFonts w:ascii="楷体_GB2312" w:eastAsia="楷体_GB2312" w:hint="eastAsia"/>
          <w:noProof/>
        </w:rPr>
        <w:drawing>
          <wp:anchor distT="0" distB="0" distL="114300" distR="114300" simplePos="0" relativeHeight="251659264" behindDoc="0" locked="0" layoutInCell="1" allowOverlap="1">
            <wp:simplePos x="0" y="0"/>
            <wp:positionH relativeFrom="column">
              <wp:posOffset>-55880</wp:posOffset>
            </wp:positionH>
            <wp:positionV relativeFrom="paragraph">
              <wp:posOffset>205740</wp:posOffset>
            </wp:positionV>
            <wp:extent cx="5072380" cy="2740660"/>
            <wp:effectExtent l="0" t="0" r="13970" b="2159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rsidR="00811871" w:rsidRDefault="00811871">
      <w:pPr>
        <w:spacing w:line="590" w:lineRule="exact"/>
        <w:ind w:firstLineChars="200" w:firstLine="640"/>
        <w:rPr>
          <w:rFonts w:ascii="楷体_GB2312" w:eastAsia="楷体_GB2312"/>
        </w:rPr>
      </w:pPr>
    </w:p>
    <w:p w:rsidR="00811871" w:rsidRDefault="00811871">
      <w:pPr>
        <w:spacing w:line="600" w:lineRule="exact"/>
        <w:jc w:val="left"/>
        <w:rPr>
          <w:rFonts w:ascii="楷体_GB2312" w:eastAsia="楷体_GB2312"/>
        </w:rPr>
      </w:pPr>
    </w:p>
    <w:p w:rsidR="00811871" w:rsidRDefault="00811871">
      <w:pPr>
        <w:spacing w:line="600" w:lineRule="exact"/>
        <w:jc w:val="left"/>
        <w:rPr>
          <w:rFonts w:ascii="楷体_GB2312" w:eastAsia="楷体_GB2312"/>
        </w:rPr>
      </w:pPr>
    </w:p>
    <w:p w:rsidR="00811871" w:rsidRDefault="00811871">
      <w:pPr>
        <w:spacing w:line="600" w:lineRule="exact"/>
        <w:jc w:val="left"/>
        <w:rPr>
          <w:rFonts w:ascii="楷体_GB2312" w:eastAsia="楷体_GB2312"/>
        </w:rPr>
      </w:pPr>
    </w:p>
    <w:p w:rsidR="00811871" w:rsidRDefault="00811871">
      <w:pPr>
        <w:spacing w:line="600" w:lineRule="exact"/>
        <w:jc w:val="left"/>
        <w:rPr>
          <w:rFonts w:ascii="楷体_GB2312" w:eastAsia="楷体_GB2312"/>
        </w:rPr>
      </w:pPr>
    </w:p>
    <w:p w:rsidR="00811871" w:rsidRDefault="00811871">
      <w:pPr>
        <w:spacing w:line="600" w:lineRule="exact"/>
        <w:jc w:val="left"/>
        <w:rPr>
          <w:rFonts w:ascii="楷体_GB2312" w:eastAsia="楷体_GB2312"/>
        </w:rPr>
      </w:pPr>
    </w:p>
    <w:p w:rsidR="00811871" w:rsidRDefault="00811871">
      <w:pPr>
        <w:spacing w:line="600" w:lineRule="exact"/>
        <w:jc w:val="left"/>
        <w:rPr>
          <w:rFonts w:ascii="楷体_GB2312" w:eastAsia="楷体_GB2312"/>
        </w:rPr>
      </w:pPr>
    </w:p>
    <w:p w:rsidR="00811871" w:rsidRDefault="00DF281A">
      <w:pPr>
        <w:spacing w:line="590" w:lineRule="exact"/>
        <w:ind w:firstLineChars="200" w:firstLine="640"/>
        <w:rPr>
          <w:rFonts w:eastAsia="楷体_GB2312"/>
        </w:rPr>
      </w:pPr>
      <w:r>
        <w:rPr>
          <w:rFonts w:eastAsia="楷体_GB2312"/>
        </w:rPr>
        <w:t>（二）依申请公开</w:t>
      </w:r>
    </w:p>
    <w:p w:rsidR="00811871" w:rsidRDefault="00DF281A">
      <w:pPr>
        <w:spacing w:line="560" w:lineRule="exact"/>
        <w:ind w:firstLineChars="200" w:firstLine="640"/>
        <w:rPr>
          <w:rFonts w:eastAsia="仿宋_GB2312"/>
          <w:szCs w:val="32"/>
        </w:rPr>
      </w:pPr>
      <w:r>
        <w:rPr>
          <w:rFonts w:eastAsia="仿宋_GB2312"/>
          <w:szCs w:val="32"/>
        </w:rPr>
        <w:t>2022</w:t>
      </w:r>
      <w:r>
        <w:rPr>
          <w:rFonts w:eastAsia="仿宋_GB2312"/>
          <w:szCs w:val="32"/>
        </w:rPr>
        <w:t>年本机关未收到政府信息公开申请，上年度结转</w:t>
      </w:r>
      <w:r>
        <w:rPr>
          <w:rFonts w:eastAsia="仿宋_GB2312"/>
          <w:szCs w:val="32"/>
        </w:rPr>
        <w:t>0</w:t>
      </w:r>
      <w:r>
        <w:rPr>
          <w:rFonts w:eastAsia="仿宋_GB2312"/>
          <w:szCs w:val="32"/>
        </w:rPr>
        <w:t>件。本机关依申请公开政府信息未收取任何费用，未因政府信息公开被申请行政复议、提起行政诉讼。</w:t>
      </w:r>
    </w:p>
    <w:p w:rsidR="00811871" w:rsidRDefault="00DF281A">
      <w:pPr>
        <w:spacing w:line="590" w:lineRule="exact"/>
        <w:ind w:firstLineChars="200" w:firstLine="640"/>
        <w:rPr>
          <w:rFonts w:eastAsia="楷体_GB2312"/>
        </w:rPr>
      </w:pPr>
      <w:r>
        <w:rPr>
          <w:rFonts w:eastAsia="楷体_GB2312"/>
        </w:rPr>
        <w:t>（三）政府信息管理</w:t>
      </w:r>
    </w:p>
    <w:p w:rsidR="00811871" w:rsidRDefault="00DF281A">
      <w:pPr>
        <w:spacing w:line="590" w:lineRule="exact"/>
        <w:ind w:firstLineChars="200" w:firstLine="640"/>
        <w:rPr>
          <w:rFonts w:eastAsia="仿宋_GB2312"/>
        </w:rPr>
      </w:pPr>
      <w:r>
        <w:rPr>
          <w:rFonts w:eastAsia="仿宋_GB2312"/>
          <w:szCs w:val="32"/>
        </w:rPr>
        <w:t>及时更新完善本机关的政府信息公开指南、政府信息主动公开基本目录，</w:t>
      </w:r>
      <w:r>
        <w:rPr>
          <w:rFonts w:eastAsia="仿宋_GB2312"/>
        </w:rPr>
        <w:t>确保应当公开的内容及时更新公开。严格</w:t>
      </w:r>
      <w:r>
        <w:rPr>
          <w:rFonts w:eastAsia="仿宋_GB2312"/>
        </w:rPr>
        <w:lastRenderedPageBreak/>
        <w:t>政府信息公开属性源头认定机制，明确主动公开、依申请公开、不予公开的范围。开展政府文件清理，对已公开的文件进行梳理，标注有效性，及时清理失效文件。</w:t>
      </w:r>
      <w:r>
        <w:rPr>
          <w:rFonts w:eastAsia="仿宋_GB2312"/>
          <w:szCs w:val="32"/>
        </w:rPr>
        <w:t>实行信息公开审查机制，对公开内容进行涉密审查，确</w:t>
      </w:r>
      <w:r>
        <w:rPr>
          <w:rFonts w:eastAsia="仿宋_GB2312"/>
          <w:szCs w:val="32"/>
        </w:rPr>
        <w:t>保应公开尽公开。</w:t>
      </w:r>
    </w:p>
    <w:p w:rsidR="00811871" w:rsidRDefault="00DF281A">
      <w:pPr>
        <w:spacing w:line="590" w:lineRule="exact"/>
        <w:ind w:firstLineChars="200" w:firstLine="640"/>
        <w:rPr>
          <w:rFonts w:eastAsia="楷体_GB2312"/>
          <w:szCs w:val="22"/>
        </w:rPr>
      </w:pPr>
      <w:r>
        <w:rPr>
          <w:rFonts w:eastAsia="楷体_GB2312"/>
          <w:szCs w:val="22"/>
        </w:rPr>
        <w:t>（四）政府信息公开平台建设</w:t>
      </w:r>
    </w:p>
    <w:p w:rsidR="00811871" w:rsidRDefault="00DF281A">
      <w:pPr>
        <w:spacing w:line="590" w:lineRule="exact"/>
        <w:ind w:firstLineChars="200" w:firstLine="640"/>
        <w:rPr>
          <w:rFonts w:eastAsia="仿宋_GB2312"/>
          <w:szCs w:val="22"/>
        </w:rPr>
      </w:pPr>
      <w:r>
        <w:rPr>
          <w:rFonts w:eastAsia="仿宋_GB2312"/>
          <w:szCs w:val="22"/>
        </w:rPr>
        <w:t>聚焦审计主责主业和法定公开主动内容，规范建设和管理政府信息公开平台，推动政府网站</w:t>
      </w:r>
      <w:proofErr w:type="gramStart"/>
      <w:r>
        <w:rPr>
          <w:rFonts w:eastAsia="仿宋_GB2312"/>
          <w:szCs w:val="22"/>
        </w:rPr>
        <w:t>与微信新</w:t>
      </w:r>
      <w:proofErr w:type="gramEnd"/>
      <w:r>
        <w:rPr>
          <w:rFonts w:eastAsia="仿宋_GB2312"/>
          <w:szCs w:val="22"/>
        </w:rPr>
        <w:t>媒体互联互通、整体发声、协同联动。在巩固优化已有栏目的基础上，及时主动更新年度审计工作报告、审计结果等重点领域内容。开设</w:t>
      </w:r>
      <w:r>
        <w:rPr>
          <w:rFonts w:eastAsia="仿宋_GB2312"/>
          <w:szCs w:val="22"/>
        </w:rPr>
        <w:t>“</w:t>
      </w:r>
      <w:r>
        <w:rPr>
          <w:rFonts w:eastAsia="仿宋_GB2312"/>
          <w:szCs w:val="22"/>
        </w:rPr>
        <w:t>高青审计</w:t>
      </w:r>
      <w:r>
        <w:rPr>
          <w:rFonts w:eastAsia="仿宋_GB2312"/>
          <w:szCs w:val="22"/>
        </w:rPr>
        <w:t>”</w:t>
      </w:r>
      <w:proofErr w:type="gramStart"/>
      <w:r>
        <w:rPr>
          <w:rFonts w:eastAsia="仿宋_GB2312"/>
          <w:szCs w:val="22"/>
        </w:rPr>
        <w:t>微信公众号</w:t>
      </w:r>
      <w:proofErr w:type="gramEnd"/>
      <w:r>
        <w:rPr>
          <w:rFonts w:eastAsia="仿宋_GB2312"/>
          <w:szCs w:val="22"/>
        </w:rPr>
        <w:t>，及时公开审计信息，推进政务公开工作高效运行。</w:t>
      </w:r>
    </w:p>
    <w:p w:rsidR="00811871" w:rsidRDefault="00DF281A">
      <w:pPr>
        <w:spacing w:line="590" w:lineRule="exact"/>
        <w:ind w:firstLineChars="200" w:firstLine="640"/>
        <w:rPr>
          <w:rFonts w:eastAsia="楷体_GB2312"/>
        </w:rPr>
      </w:pPr>
      <w:r>
        <w:rPr>
          <w:rFonts w:eastAsia="楷体_GB2312"/>
        </w:rPr>
        <w:t>（五）监督保障</w:t>
      </w:r>
    </w:p>
    <w:p w:rsidR="00811871" w:rsidRDefault="00DF281A">
      <w:pPr>
        <w:spacing w:line="590" w:lineRule="exact"/>
        <w:ind w:firstLineChars="200" w:firstLine="640"/>
        <w:rPr>
          <w:rFonts w:eastAsia="仿宋_GB2312"/>
          <w:szCs w:val="32"/>
        </w:rPr>
      </w:pPr>
      <w:r>
        <w:rPr>
          <w:rFonts w:eastAsia="仿宋_GB2312"/>
          <w:szCs w:val="32"/>
        </w:rPr>
        <w:t>调整政务公开工作领导小组，定期听取政务公开工作情况汇报。政府信息公开机构设置在局办公室，配备</w:t>
      </w:r>
      <w:r>
        <w:rPr>
          <w:rFonts w:eastAsia="仿宋_GB2312"/>
          <w:szCs w:val="32"/>
        </w:rPr>
        <w:t>1</w:t>
      </w:r>
      <w:r>
        <w:rPr>
          <w:rFonts w:eastAsia="仿宋_GB2312"/>
          <w:szCs w:val="32"/>
        </w:rPr>
        <w:t>名专职人员。制定《高青县审计局</w:t>
      </w:r>
      <w:r>
        <w:rPr>
          <w:rFonts w:eastAsia="仿宋_GB2312"/>
          <w:szCs w:val="32"/>
        </w:rPr>
        <w:t>2022</w:t>
      </w:r>
      <w:r>
        <w:rPr>
          <w:rFonts w:eastAsia="仿宋_GB2312"/>
          <w:szCs w:val="32"/>
        </w:rPr>
        <w:t>年政务公开工作培训计划》，坚持集中培训和自主培训相结合，</w:t>
      </w:r>
      <w:r>
        <w:rPr>
          <w:rFonts w:eastAsia="仿宋_GB2312"/>
          <w:szCs w:val="32"/>
        </w:rPr>
        <w:t>2022</w:t>
      </w:r>
      <w:r>
        <w:rPr>
          <w:rFonts w:eastAsia="仿宋_GB2312"/>
          <w:szCs w:val="32"/>
        </w:rPr>
        <w:t>年组织开展业务培训</w:t>
      </w:r>
      <w:r>
        <w:rPr>
          <w:rFonts w:eastAsia="仿宋_GB2312"/>
          <w:szCs w:val="32"/>
        </w:rPr>
        <w:t>1</w:t>
      </w:r>
      <w:r>
        <w:rPr>
          <w:rFonts w:eastAsia="仿宋_GB2312"/>
          <w:szCs w:val="32"/>
        </w:rPr>
        <w:t>次。</w:t>
      </w:r>
    </w:p>
    <w:p w:rsidR="00811871" w:rsidRDefault="00811871">
      <w:pPr>
        <w:spacing w:line="590" w:lineRule="exact"/>
        <w:ind w:firstLineChars="200" w:firstLine="640"/>
        <w:rPr>
          <w:rFonts w:eastAsia="仿宋_GB2312"/>
          <w:szCs w:val="32"/>
        </w:rPr>
      </w:pPr>
    </w:p>
    <w:p w:rsidR="00811871" w:rsidRDefault="00811871">
      <w:pPr>
        <w:spacing w:line="590" w:lineRule="exact"/>
        <w:ind w:firstLineChars="200" w:firstLine="640"/>
        <w:rPr>
          <w:rFonts w:eastAsia="仿宋_GB2312"/>
          <w:szCs w:val="32"/>
        </w:rPr>
      </w:pPr>
    </w:p>
    <w:p w:rsidR="00811871" w:rsidRDefault="00811871">
      <w:pPr>
        <w:spacing w:line="590" w:lineRule="exact"/>
        <w:ind w:firstLineChars="200" w:firstLine="640"/>
        <w:rPr>
          <w:rFonts w:eastAsia="仿宋_GB2312"/>
          <w:szCs w:val="32"/>
        </w:rPr>
      </w:pPr>
    </w:p>
    <w:p w:rsidR="00811871" w:rsidRDefault="00811871">
      <w:pPr>
        <w:spacing w:line="590" w:lineRule="exact"/>
        <w:ind w:firstLineChars="200" w:firstLine="640"/>
        <w:rPr>
          <w:rFonts w:eastAsia="仿宋_GB2312"/>
          <w:szCs w:val="32"/>
        </w:rPr>
      </w:pPr>
    </w:p>
    <w:p w:rsidR="00811871" w:rsidRDefault="00811871">
      <w:pPr>
        <w:spacing w:line="590" w:lineRule="exact"/>
        <w:ind w:firstLineChars="200" w:firstLine="640"/>
        <w:rPr>
          <w:rFonts w:eastAsia="仿宋_GB2312"/>
          <w:szCs w:val="32"/>
        </w:rPr>
      </w:pPr>
    </w:p>
    <w:p w:rsidR="00811871" w:rsidRDefault="00811871">
      <w:pPr>
        <w:spacing w:line="590" w:lineRule="exact"/>
        <w:ind w:firstLineChars="200" w:firstLine="640"/>
        <w:rPr>
          <w:rFonts w:eastAsia="仿宋_GB2312"/>
          <w:szCs w:val="32"/>
        </w:rPr>
      </w:pPr>
    </w:p>
    <w:p w:rsidR="00811871" w:rsidRDefault="00DF281A">
      <w:pPr>
        <w:spacing w:afterLines="50" w:after="156" w:line="240" w:lineRule="auto"/>
        <w:ind w:firstLineChars="200" w:firstLine="640"/>
        <w:rPr>
          <w:rFonts w:ascii="黑体" w:eastAsia="黑体" w:hAnsi="黑体"/>
          <w:szCs w:val="32"/>
        </w:rPr>
      </w:pPr>
      <w:r>
        <w:rPr>
          <w:rFonts w:ascii="黑体" w:eastAsia="黑体" w:hAnsi="黑体" w:hint="eastAsia"/>
          <w:szCs w:val="32"/>
        </w:rPr>
        <w:lastRenderedPageBreak/>
        <w:t>二、主动公开政府信息情况</w:t>
      </w:r>
    </w:p>
    <w:tbl>
      <w:tblPr>
        <w:tblStyle w:val="a8"/>
        <w:tblW w:w="8981" w:type="dxa"/>
        <w:jc w:val="center"/>
        <w:tblLayout w:type="fixed"/>
        <w:tblLook w:val="04A0" w:firstRow="1" w:lastRow="0" w:firstColumn="1" w:lastColumn="0" w:noHBand="0" w:noVBand="1"/>
      </w:tblPr>
      <w:tblGrid>
        <w:gridCol w:w="2589"/>
        <w:gridCol w:w="2130"/>
        <w:gridCol w:w="2131"/>
        <w:gridCol w:w="2131"/>
      </w:tblGrid>
      <w:tr w:rsidR="00811871">
        <w:trPr>
          <w:trHeight w:hRule="exact" w:val="567"/>
          <w:jc w:val="center"/>
        </w:trPr>
        <w:tc>
          <w:tcPr>
            <w:tcW w:w="8981" w:type="dxa"/>
            <w:gridSpan w:val="4"/>
            <w:vAlign w:val="center"/>
          </w:tcPr>
          <w:p w:rsidR="00811871" w:rsidRDefault="00DF281A">
            <w:pPr>
              <w:spacing w:line="240" w:lineRule="auto"/>
              <w:ind w:firstLine="0"/>
              <w:jc w:val="center"/>
              <w:rPr>
                <w:rFonts w:ascii="黑体" w:eastAsia="黑体" w:hAnsi="黑体"/>
                <w:sz w:val="20"/>
              </w:rPr>
            </w:pPr>
            <w:r>
              <w:rPr>
                <w:rFonts w:ascii="宋体" w:eastAsia="宋体" w:hAnsi="宋体" w:cs="宋体" w:hint="eastAsia"/>
                <w:snapToGrid/>
                <w:color w:val="000000"/>
                <w:sz w:val="20"/>
              </w:rPr>
              <w:t>第二十条第（一）项</w:t>
            </w:r>
          </w:p>
        </w:tc>
      </w:tr>
      <w:tr w:rsidR="00811871">
        <w:trPr>
          <w:trHeight w:hRule="exact" w:val="567"/>
          <w:jc w:val="center"/>
        </w:trPr>
        <w:tc>
          <w:tcPr>
            <w:tcW w:w="2589" w:type="dxa"/>
            <w:vAlign w:val="center"/>
          </w:tcPr>
          <w:p w:rsidR="00811871" w:rsidRDefault="00DF281A">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2130" w:type="dxa"/>
            <w:vAlign w:val="center"/>
          </w:tcPr>
          <w:p w:rsidR="00811871" w:rsidRDefault="00DF281A">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本年</w:t>
            </w:r>
            <w:r>
              <w:rPr>
                <w:rFonts w:ascii="宋体" w:eastAsia="宋体" w:hAnsi="宋体" w:cs="Calibri"/>
                <w:snapToGrid/>
                <w:sz w:val="20"/>
              </w:rPr>
              <w:t>制</w:t>
            </w:r>
            <w:r>
              <w:rPr>
                <w:rFonts w:ascii="宋体" w:eastAsia="宋体" w:hAnsi="宋体" w:cs="宋体" w:hint="eastAsia"/>
                <w:snapToGrid/>
                <w:sz w:val="20"/>
              </w:rPr>
              <w:t>发件</w:t>
            </w:r>
            <w:r>
              <w:rPr>
                <w:rFonts w:ascii="宋体" w:eastAsia="宋体" w:hAnsi="宋体" w:cs="Calibri"/>
                <w:snapToGrid/>
                <w:sz w:val="20"/>
              </w:rPr>
              <w:t>数</w:t>
            </w:r>
          </w:p>
        </w:tc>
        <w:tc>
          <w:tcPr>
            <w:tcW w:w="2131" w:type="dxa"/>
            <w:vAlign w:val="center"/>
          </w:tcPr>
          <w:p w:rsidR="00811871" w:rsidRDefault="00DF281A">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本年废止件数</w:t>
            </w:r>
          </w:p>
        </w:tc>
        <w:tc>
          <w:tcPr>
            <w:tcW w:w="2131" w:type="dxa"/>
            <w:vAlign w:val="center"/>
          </w:tcPr>
          <w:p w:rsidR="00811871" w:rsidRDefault="00DF281A">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现行有效件</w:t>
            </w:r>
            <w:r>
              <w:rPr>
                <w:rFonts w:ascii="宋体" w:eastAsia="宋体" w:hAnsi="宋体" w:cs="Calibri"/>
                <w:snapToGrid/>
                <w:sz w:val="20"/>
              </w:rPr>
              <w:t>数</w:t>
            </w:r>
          </w:p>
        </w:tc>
      </w:tr>
      <w:tr w:rsidR="00811871">
        <w:trPr>
          <w:trHeight w:hRule="exact" w:val="567"/>
          <w:jc w:val="center"/>
        </w:trPr>
        <w:tc>
          <w:tcPr>
            <w:tcW w:w="2589" w:type="dxa"/>
            <w:vAlign w:val="center"/>
          </w:tcPr>
          <w:p w:rsidR="00811871" w:rsidRDefault="00DF281A">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规章</w:t>
            </w:r>
          </w:p>
        </w:tc>
        <w:tc>
          <w:tcPr>
            <w:tcW w:w="2130" w:type="dxa"/>
            <w:vAlign w:val="center"/>
          </w:tcPr>
          <w:p w:rsidR="00811871" w:rsidRDefault="00DF281A">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811871" w:rsidRDefault="00DF281A">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811871" w:rsidRDefault="00DF281A">
            <w:pPr>
              <w:spacing w:line="240" w:lineRule="auto"/>
              <w:ind w:firstLine="0"/>
              <w:jc w:val="center"/>
              <w:rPr>
                <w:rFonts w:ascii="黑体" w:eastAsia="黑体" w:hAnsi="黑体"/>
                <w:sz w:val="20"/>
              </w:rPr>
            </w:pPr>
            <w:r>
              <w:rPr>
                <w:rFonts w:ascii="黑体" w:eastAsia="黑体" w:hAnsi="黑体" w:hint="eastAsia"/>
                <w:sz w:val="20"/>
              </w:rPr>
              <w:t>0</w:t>
            </w:r>
          </w:p>
        </w:tc>
      </w:tr>
      <w:tr w:rsidR="00811871">
        <w:trPr>
          <w:trHeight w:hRule="exact" w:val="567"/>
          <w:jc w:val="center"/>
        </w:trPr>
        <w:tc>
          <w:tcPr>
            <w:tcW w:w="2589" w:type="dxa"/>
            <w:vAlign w:val="center"/>
          </w:tcPr>
          <w:p w:rsidR="00811871" w:rsidRDefault="00DF281A">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行政规范性文件</w:t>
            </w:r>
          </w:p>
        </w:tc>
        <w:tc>
          <w:tcPr>
            <w:tcW w:w="2130" w:type="dxa"/>
            <w:vAlign w:val="center"/>
          </w:tcPr>
          <w:p w:rsidR="00811871" w:rsidRDefault="00DF281A">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811871" w:rsidRDefault="00DF281A">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811871" w:rsidRDefault="00DF281A">
            <w:pPr>
              <w:spacing w:line="240" w:lineRule="auto"/>
              <w:ind w:firstLine="0"/>
              <w:jc w:val="center"/>
              <w:rPr>
                <w:rFonts w:ascii="黑体" w:eastAsia="黑体" w:hAnsi="黑体"/>
                <w:sz w:val="20"/>
              </w:rPr>
            </w:pPr>
            <w:r>
              <w:rPr>
                <w:rFonts w:ascii="黑体" w:eastAsia="黑体" w:hAnsi="黑体" w:hint="eastAsia"/>
                <w:sz w:val="20"/>
              </w:rPr>
              <w:t>0</w:t>
            </w:r>
          </w:p>
        </w:tc>
      </w:tr>
      <w:tr w:rsidR="00811871">
        <w:trPr>
          <w:trHeight w:hRule="exact" w:val="567"/>
          <w:jc w:val="center"/>
        </w:trPr>
        <w:tc>
          <w:tcPr>
            <w:tcW w:w="8981" w:type="dxa"/>
            <w:gridSpan w:val="4"/>
            <w:vAlign w:val="center"/>
          </w:tcPr>
          <w:p w:rsidR="00811871" w:rsidRDefault="00DF281A">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第二十条第（五）项</w:t>
            </w:r>
          </w:p>
        </w:tc>
      </w:tr>
      <w:tr w:rsidR="00811871">
        <w:trPr>
          <w:trHeight w:hRule="exact" w:val="567"/>
          <w:jc w:val="center"/>
        </w:trPr>
        <w:tc>
          <w:tcPr>
            <w:tcW w:w="2589" w:type="dxa"/>
            <w:vAlign w:val="center"/>
          </w:tcPr>
          <w:p w:rsidR="00811871" w:rsidRDefault="00DF281A">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811871" w:rsidRDefault="00DF281A">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本年处理决定数量</w:t>
            </w:r>
          </w:p>
        </w:tc>
      </w:tr>
      <w:tr w:rsidR="00811871">
        <w:trPr>
          <w:trHeight w:hRule="exact" w:val="567"/>
          <w:jc w:val="center"/>
        </w:trPr>
        <w:tc>
          <w:tcPr>
            <w:tcW w:w="2589" w:type="dxa"/>
            <w:vAlign w:val="center"/>
          </w:tcPr>
          <w:p w:rsidR="00811871" w:rsidRDefault="00DF281A">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行政许可</w:t>
            </w:r>
          </w:p>
        </w:tc>
        <w:tc>
          <w:tcPr>
            <w:tcW w:w="6392" w:type="dxa"/>
            <w:gridSpan w:val="3"/>
            <w:vAlign w:val="center"/>
          </w:tcPr>
          <w:p w:rsidR="00811871" w:rsidRDefault="00DF281A">
            <w:pPr>
              <w:spacing w:line="240" w:lineRule="auto"/>
              <w:ind w:firstLine="0"/>
              <w:jc w:val="center"/>
              <w:rPr>
                <w:rFonts w:ascii="黑体" w:eastAsia="黑体" w:hAnsi="黑体"/>
                <w:sz w:val="20"/>
              </w:rPr>
            </w:pPr>
            <w:r>
              <w:rPr>
                <w:rFonts w:ascii="黑体" w:eastAsia="黑体" w:hAnsi="黑体" w:hint="eastAsia"/>
                <w:sz w:val="20"/>
              </w:rPr>
              <w:t>0</w:t>
            </w:r>
          </w:p>
        </w:tc>
      </w:tr>
      <w:tr w:rsidR="00811871">
        <w:trPr>
          <w:trHeight w:hRule="exact" w:val="567"/>
          <w:jc w:val="center"/>
        </w:trPr>
        <w:tc>
          <w:tcPr>
            <w:tcW w:w="8981" w:type="dxa"/>
            <w:gridSpan w:val="4"/>
            <w:vAlign w:val="center"/>
          </w:tcPr>
          <w:p w:rsidR="00811871" w:rsidRDefault="00DF281A">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第二十条第（六）项</w:t>
            </w:r>
          </w:p>
        </w:tc>
      </w:tr>
      <w:tr w:rsidR="00811871">
        <w:trPr>
          <w:trHeight w:hRule="exact" w:val="567"/>
          <w:jc w:val="center"/>
        </w:trPr>
        <w:tc>
          <w:tcPr>
            <w:tcW w:w="2589" w:type="dxa"/>
            <w:vAlign w:val="center"/>
          </w:tcPr>
          <w:p w:rsidR="00811871" w:rsidRDefault="00DF281A">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811871" w:rsidRDefault="00DF281A">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本年处理决定数量</w:t>
            </w:r>
          </w:p>
        </w:tc>
      </w:tr>
      <w:tr w:rsidR="00811871">
        <w:trPr>
          <w:trHeight w:hRule="exact" w:val="567"/>
          <w:jc w:val="center"/>
        </w:trPr>
        <w:tc>
          <w:tcPr>
            <w:tcW w:w="2589" w:type="dxa"/>
            <w:vAlign w:val="center"/>
          </w:tcPr>
          <w:p w:rsidR="00811871" w:rsidRDefault="00DF281A">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行政处罚</w:t>
            </w:r>
          </w:p>
        </w:tc>
        <w:tc>
          <w:tcPr>
            <w:tcW w:w="6392" w:type="dxa"/>
            <w:gridSpan w:val="3"/>
            <w:vAlign w:val="center"/>
          </w:tcPr>
          <w:p w:rsidR="00811871" w:rsidRDefault="00DF281A">
            <w:pPr>
              <w:spacing w:line="240" w:lineRule="auto"/>
              <w:ind w:firstLine="0"/>
              <w:jc w:val="center"/>
              <w:rPr>
                <w:rFonts w:ascii="黑体" w:eastAsia="黑体" w:hAnsi="黑体"/>
                <w:sz w:val="20"/>
              </w:rPr>
            </w:pPr>
            <w:r>
              <w:rPr>
                <w:rFonts w:ascii="黑体" w:eastAsia="黑体" w:hAnsi="黑体" w:hint="eastAsia"/>
                <w:sz w:val="20"/>
              </w:rPr>
              <w:t>0</w:t>
            </w:r>
          </w:p>
        </w:tc>
      </w:tr>
      <w:tr w:rsidR="00811871">
        <w:trPr>
          <w:trHeight w:hRule="exact" w:val="567"/>
          <w:jc w:val="center"/>
        </w:trPr>
        <w:tc>
          <w:tcPr>
            <w:tcW w:w="2589" w:type="dxa"/>
            <w:vAlign w:val="center"/>
          </w:tcPr>
          <w:p w:rsidR="00811871" w:rsidRDefault="00DF281A">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行政强制</w:t>
            </w:r>
          </w:p>
        </w:tc>
        <w:tc>
          <w:tcPr>
            <w:tcW w:w="6392" w:type="dxa"/>
            <w:gridSpan w:val="3"/>
            <w:vAlign w:val="center"/>
          </w:tcPr>
          <w:p w:rsidR="00811871" w:rsidRDefault="00DF281A">
            <w:pPr>
              <w:spacing w:line="240" w:lineRule="auto"/>
              <w:ind w:firstLine="0"/>
              <w:jc w:val="center"/>
              <w:rPr>
                <w:rFonts w:ascii="黑体" w:eastAsia="黑体" w:hAnsi="黑体"/>
                <w:sz w:val="20"/>
              </w:rPr>
            </w:pPr>
            <w:r>
              <w:rPr>
                <w:rFonts w:ascii="黑体" w:eastAsia="黑体" w:hAnsi="黑体" w:hint="eastAsia"/>
                <w:sz w:val="20"/>
              </w:rPr>
              <w:t>0</w:t>
            </w:r>
          </w:p>
        </w:tc>
      </w:tr>
      <w:tr w:rsidR="00811871">
        <w:trPr>
          <w:trHeight w:hRule="exact" w:val="567"/>
          <w:jc w:val="center"/>
        </w:trPr>
        <w:tc>
          <w:tcPr>
            <w:tcW w:w="8981" w:type="dxa"/>
            <w:gridSpan w:val="4"/>
            <w:vAlign w:val="center"/>
          </w:tcPr>
          <w:p w:rsidR="00811871" w:rsidRDefault="00DF281A">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第二十条第（八）项</w:t>
            </w:r>
          </w:p>
        </w:tc>
      </w:tr>
      <w:tr w:rsidR="00811871">
        <w:trPr>
          <w:trHeight w:hRule="exact" w:val="567"/>
          <w:jc w:val="center"/>
        </w:trPr>
        <w:tc>
          <w:tcPr>
            <w:tcW w:w="2589" w:type="dxa"/>
            <w:vAlign w:val="center"/>
          </w:tcPr>
          <w:p w:rsidR="00811871" w:rsidRDefault="00DF281A">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811871" w:rsidRDefault="00DF281A">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本年收费金额（单位：万元）</w:t>
            </w:r>
          </w:p>
        </w:tc>
      </w:tr>
      <w:tr w:rsidR="00811871">
        <w:trPr>
          <w:trHeight w:hRule="exact" w:val="567"/>
          <w:jc w:val="center"/>
        </w:trPr>
        <w:tc>
          <w:tcPr>
            <w:tcW w:w="2589" w:type="dxa"/>
            <w:vAlign w:val="center"/>
          </w:tcPr>
          <w:p w:rsidR="00811871" w:rsidRDefault="00DF281A">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行政事业性收费</w:t>
            </w:r>
          </w:p>
        </w:tc>
        <w:tc>
          <w:tcPr>
            <w:tcW w:w="6392" w:type="dxa"/>
            <w:gridSpan w:val="3"/>
            <w:vAlign w:val="center"/>
          </w:tcPr>
          <w:p w:rsidR="00811871" w:rsidRDefault="00DF281A">
            <w:pPr>
              <w:spacing w:line="240" w:lineRule="auto"/>
              <w:ind w:firstLine="0"/>
              <w:jc w:val="center"/>
              <w:rPr>
                <w:rFonts w:ascii="黑体" w:eastAsia="黑体" w:hAnsi="黑体"/>
                <w:sz w:val="20"/>
              </w:rPr>
            </w:pPr>
            <w:r>
              <w:rPr>
                <w:rFonts w:ascii="黑体" w:eastAsia="黑体" w:hAnsi="黑体" w:hint="eastAsia"/>
                <w:sz w:val="20"/>
              </w:rPr>
              <w:t>0</w:t>
            </w:r>
          </w:p>
        </w:tc>
      </w:tr>
    </w:tbl>
    <w:p w:rsidR="00811871" w:rsidRDefault="00811871">
      <w:pPr>
        <w:spacing w:line="240" w:lineRule="auto"/>
        <w:ind w:firstLine="0"/>
        <w:rPr>
          <w:rFonts w:ascii="黑体" w:eastAsia="黑体" w:hAnsi="黑体"/>
          <w:sz w:val="30"/>
          <w:szCs w:val="30"/>
        </w:rPr>
      </w:pPr>
    </w:p>
    <w:p w:rsidR="00811871" w:rsidRDefault="00811871">
      <w:pPr>
        <w:spacing w:line="240" w:lineRule="auto"/>
        <w:ind w:firstLine="0"/>
        <w:rPr>
          <w:rFonts w:ascii="黑体" w:eastAsia="黑体" w:hAnsi="黑体"/>
          <w:sz w:val="30"/>
          <w:szCs w:val="30"/>
        </w:rPr>
      </w:pPr>
    </w:p>
    <w:p w:rsidR="00811871" w:rsidRDefault="00811871">
      <w:pPr>
        <w:spacing w:line="240" w:lineRule="auto"/>
        <w:ind w:firstLine="0"/>
        <w:rPr>
          <w:rFonts w:ascii="黑体" w:eastAsia="黑体" w:hAnsi="黑体"/>
          <w:sz w:val="30"/>
          <w:szCs w:val="30"/>
        </w:rPr>
      </w:pPr>
    </w:p>
    <w:p w:rsidR="00811871" w:rsidRDefault="00811871">
      <w:pPr>
        <w:spacing w:line="240" w:lineRule="auto"/>
        <w:ind w:firstLine="0"/>
        <w:rPr>
          <w:rFonts w:ascii="黑体" w:eastAsia="黑体" w:hAnsi="黑体"/>
          <w:sz w:val="30"/>
          <w:szCs w:val="30"/>
        </w:rPr>
      </w:pPr>
    </w:p>
    <w:p w:rsidR="00811871" w:rsidRDefault="00811871">
      <w:pPr>
        <w:spacing w:line="240" w:lineRule="auto"/>
        <w:ind w:firstLine="0"/>
        <w:rPr>
          <w:rFonts w:ascii="黑体" w:eastAsia="黑体" w:hAnsi="黑体"/>
          <w:sz w:val="30"/>
          <w:szCs w:val="30"/>
        </w:rPr>
      </w:pPr>
    </w:p>
    <w:p w:rsidR="00811871" w:rsidRDefault="00811871">
      <w:pPr>
        <w:spacing w:line="240" w:lineRule="auto"/>
        <w:ind w:firstLine="0"/>
        <w:rPr>
          <w:rFonts w:ascii="黑体" w:eastAsia="黑体" w:hAnsi="黑体"/>
          <w:sz w:val="30"/>
          <w:szCs w:val="30"/>
        </w:rPr>
      </w:pPr>
    </w:p>
    <w:p w:rsidR="00811871" w:rsidRDefault="00811871">
      <w:pPr>
        <w:spacing w:line="240" w:lineRule="auto"/>
        <w:ind w:firstLine="0"/>
        <w:rPr>
          <w:rFonts w:ascii="黑体" w:eastAsia="黑体" w:hAnsi="黑体"/>
          <w:sz w:val="30"/>
          <w:szCs w:val="30"/>
        </w:rPr>
      </w:pPr>
    </w:p>
    <w:p w:rsidR="00811871" w:rsidRDefault="00811871">
      <w:pPr>
        <w:spacing w:line="240" w:lineRule="auto"/>
        <w:ind w:firstLine="0"/>
        <w:rPr>
          <w:rFonts w:ascii="黑体" w:eastAsia="黑体" w:hAnsi="黑体"/>
          <w:sz w:val="30"/>
          <w:szCs w:val="30"/>
        </w:rPr>
      </w:pPr>
    </w:p>
    <w:p w:rsidR="00811871" w:rsidRDefault="00811871">
      <w:pPr>
        <w:spacing w:line="240" w:lineRule="auto"/>
        <w:ind w:firstLine="0"/>
        <w:rPr>
          <w:rFonts w:ascii="黑体" w:eastAsia="黑体" w:hAnsi="黑体"/>
          <w:sz w:val="30"/>
          <w:szCs w:val="30"/>
        </w:rPr>
      </w:pPr>
    </w:p>
    <w:p w:rsidR="00811871" w:rsidRDefault="00811871">
      <w:pPr>
        <w:spacing w:line="240" w:lineRule="auto"/>
        <w:ind w:firstLine="0"/>
        <w:rPr>
          <w:rFonts w:ascii="黑体" w:eastAsia="黑体" w:hAnsi="黑体"/>
          <w:sz w:val="30"/>
          <w:szCs w:val="30"/>
        </w:rPr>
      </w:pPr>
    </w:p>
    <w:p w:rsidR="00811871" w:rsidRDefault="00811871">
      <w:pPr>
        <w:spacing w:line="240" w:lineRule="auto"/>
        <w:ind w:firstLine="0"/>
        <w:rPr>
          <w:rFonts w:ascii="黑体" w:eastAsia="黑体" w:hAnsi="黑体"/>
          <w:sz w:val="30"/>
          <w:szCs w:val="30"/>
        </w:rPr>
      </w:pPr>
    </w:p>
    <w:p w:rsidR="00811871" w:rsidRDefault="00811871">
      <w:pPr>
        <w:spacing w:line="240" w:lineRule="auto"/>
        <w:ind w:firstLine="0"/>
        <w:rPr>
          <w:rFonts w:ascii="黑体" w:eastAsia="黑体" w:hAnsi="黑体"/>
          <w:sz w:val="30"/>
          <w:szCs w:val="30"/>
        </w:rPr>
      </w:pPr>
    </w:p>
    <w:p w:rsidR="00811871" w:rsidRDefault="00811871">
      <w:pPr>
        <w:spacing w:line="240" w:lineRule="auto"/>
        <w:ind w:firstLineChars="200" w:firstLine="600"/>
        <w:rPr>
          <w:rFonts w:ascii="黑体" w:eastAsia="黑体" w:hAnsi="黑体"/>
          <w:sz w:val="30"/>
          <w:szCs w:val="30"/>
        </w:rPr>
      </w:pPr>
    </w:p>
    <w:p w:rsidR="00811871" w:rsidRDefault="00DF281A">
      <w:pPr>
        <w:spacing w:afterLines="50" w:after="156" w:line="590" w:lineRule="exact"/>
        <w:ind w:firstLineChars="200" w:firstLine="640"/>
        <w:rPr>
          <w:rFonts w:ascii="黑体" w:eastAsia="黑体" w:hAnsi="黑体"/>
          <w:szCs w:val="32"/>
        </w:rPr>
      </w:pPr>
      <w:r>
        <w:rPr>
          <w:rFonts w:ascii="黑体" w:eastAsia="黑体" w:hAnsi="黑体" w:hint="eastAsia"/>
          <w:szCs w:val="32"/>
        </w:rPr>
        <w:lastRenderedPageBreak/>
        <w:t>三、收到和处理政府信息公开申请情况</w:t>
      </w:r>
    </w:p>
    <w:tbl>
      <w:tblPr>
        <w:tblW w:w="9935" w:type="dxa"/>
        <w:jc w:val="center"/>
        <w:tblLayout w:type="fixed"/>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811871">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811871" w:rsidRDefault="00DF281A">
            <w:pPr>
              <w:widowControl/>
              <w:autoSpaceDE/>
              <w:autoSpaceDN/>
              <w:snapToGrid/>
              <w:spacing w:line="240" w:lineRule="auto"/>
              <w:ind w:firstLine="0"/>
              <w:jc w:val="left"/>
              <w:rPr>
                <w:rFonts w:ascii="宋体" w:eastAsia="宋体" w:hAnsi="宋体" w:cs="宋体"/>
                <w:snapToGrid/>
                <w:sz w:val="24"/>
                <w:szCs w:val="24"/>
              </w:rPr>
            </w:pPr>
            <w:r>
              <w:rPr>
                <w:rFonts w:ascii="楷体" w:eastAsia="楷体" w:hAnsi="楷体" w:cs="宋体" w:hint="eastAsia"/>
                <w:snapToGrid/>
                <w:sz w:val="20"/>
              </w:rPr>
              <w:t>（本列数据的勾</w:t>
            </w:r>
            <w:proofErr w:type="gramStart"/>
            <w:r>
              <w:rPr>
                <w:rFonts w:ascii="楷体" w:eastAsia="楷体" w:hAnsi="楷体" w:cs="宋体" w:hint="eastAsia"/>
                <w:snapToGrid/>
                <w:sz w:val="20"/>
              </w:rPr>
              <w:t>稽</w:t>
            </w:r>
            <w:proofErr w:type="gramEnd"/>
            <w:r>
              <w:rPr>
                <w:rFonts w:ascii="楷体" w:eastAsia="楷体" w:hAnsi="楷体" w:cs="宋体" w:hint="eastAsia"/>
                <w:snapToGrid/>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申请人情况</w:t>
            </w:r>
          </w:p>
        </w:tc>
      </w:tr>
      <w:tr w:rsidR="00811871">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811871" w:rsidRDefault="00811871">
            <w:pPr>
              <w:widowControl/>
              <w:autoSpaceDE/>
              <w:autoSpaceDN/>
              <w:snapToGrid/>
              <w:spacing w:line="240" w:lineRule="auto"/>
              <w:ind w:firstLine="0"/>
              <w:jc w:val="left"/>
              <w:rPr>
                <w:rFonts w:ascii="宋体" w:eastAsia="宋体" w:hAnsi="宋体" w:cs="宋体"/>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r>
      <w:tr w:rsidR="00811871">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811871" w:rsidRDefault="00811871">
            <w:pPr>
              <w:widowControl/>
              <w:autoSpaceDE/>
              <w:autoSpaceDN/>
              <w:snapToGrid/>
              <w:spacing w:line="240" w:lineRule="auto"/>
              <w:ind w:firstLine="0"/>
              <w:jc w:val="left"/>
              <w:rPr>
                <w:rFonts w:ascii="宋体" w:eastAsia="宋体" w:hAnsi="宋体" w:cs="宋体"/>
                <w:snapToGrid/>
                <w:sz w:val="24"/>
                <w:szCs w:val="24"/>
              </w:rPr>
            </w:pPr>
          </w:p>
        </w:tc>
        <w:tc>
          <w:tcPr>
            <w:tcW w:w="850" w:type="dxa"/>
            <w:vMerge/>
            <w:tcBorders>
              <w:top w:val="nil"/>
              <w:left w:val="nil"/>
              <w:bottom w:val="single" w:sz="8" w:space="0" w:color="auto"/>
              <w:right w:val="single" w:sz="8" w:space="0" w:color="auto"/>
            </w:tcBorders>
            <w:vAlign w:val="center"/>
          </w:tcPr>
          <w:p w:rsidR="00811871" w:rsidRDefault="00811871">
            <w:pPr>
              <w:widowControl/>
              <w:autoSpaceDE/>
              <w:autoSpaceDN/>
              <w:snapToGrid/>
              <w:spacing w:line="240" w:lineRule="auto"/>
              <w:ind w:firstLine="0"/>
              <w:jc w:val="left"/>
              <w:rPr>
                <w:rFonts w:ascii="宋体" w:eastAsia="宋体" w:hAnsi="宋体" w:cs="宋体"/>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商业</w:t>
            </w:r>
          </w:p>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科研</w:t>
            </w:r>
          </w:p>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p>
        </w:tc>
        <w:tc>
          <w:tcPr>
            <w:tcW w:w="756" w:type="dxa"/>
            <w:vMerge/>
            <w:tcBorders>
              <w:top w:val="single" w:sz="8" w:space="0" w:color="auto"/>
              <w:left w:val="nil"/>
              <w:bottom w:val="inset" w:sz="8" w:space="0" w:color="auto"/>
              <w:right w:val="single" w:sz="8" w:space="0" w:color="auto"/>
            </w:tcBorders>
            <w:vAlign w:val="center"/>
          </w:tcPr>
          <w:p w:rsidR="00811871" w:rsidRDefault="00811871">
            <w:pPr>
              <w:widowControl/>
              <w:autoSpaceDE/>
              <w:autoSpaceDN/>
              <w:snapToGrid/>
              <w:spacing w:line="240" w:lineRule="auto"/>
              <w:ind w:firstLine="0"/>
              <w:jc w:val="left"/>
              <w:rPr>
                <w:rFonts w:ascii="宋体" w:eastAsia="宋体" w:hAnsi="宋体" w:cs="宋体"/>
                <w:snapToGrid/>
                <w:sz w:val="24"/>
                <w:szCs w:val="24"/>
              </w:rPr>
            </w:pPr>
          </w:p>
        </w:tc>
      </w:tr>
      <w:tr w:rsidR="00811871">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r>
      <w:tr w:rsidR="00811871">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r>
      <w:tr w:rsidR="00811871">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r>
      <w:tr w:rsidR="00811871">
        <w:trPr>
          <w:jc w:val="center"/>
        </w:trPr>
        <w:tc>
          <w:tcPr>
            <w:tcW w:w="768" w:type="dxa"/>
            <w:vMerge/>
            <w:tcBorders>
              <w:top w:val="nil"/>
              <w:left w:val="single" w:sz="8" w:space="0" w:color="auto"/>
              <w:bottom w:val="inset" w:sz="8" w:space="0" w:color="auto"/>
              <w:right w:val="single" w:sz="8" w:space="0" w:color="auto"/>
            </w:tcBorders>
            <w:vAlign w:val="center"/>
          </w:tcPr>
          <w:p w:rsidR="00811871" w:rsidRDefault="00811871">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（二）部分公开</w:t>
            </w:r>
            <w:r>
              <w:rPr>
                <w:rFonts w:ascii="楷体" w:eastAsia="楷体" w:hAnsi="楷体" w:cs="宋体" w:hint="eastAsia"/>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r>
      <w:tr w:rsidR="00811871">
        <w:trPr>
          <w:jc w:val="center"/>
        </w:trPr>
        <w:tc>
          <w:tcPr>
            <w:tcW w:w="768" w:type="dxa"/>
            <w:vMerge/>
            <w:tcBorders>
              <w:top w:val="nil"/>
              <w:left w:val="single" w:sz="8" w:space="0" w:color="auto"/>
              <w:bottom w:val="inset" w:sz="8" w:space="0" w:color="auto"/>
              <w:right w:val="single" w:sz="8" w:space="0" w:color="auto"/>
            </w:tcBorders>
            <w:vAlign w:val="center"/>
          </w:tcPr>
          <w:p w:rsidR="00811871" w:rsidRDefault="00811871">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11871" w:rsidRDefault="00DF281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w:t>
            </w:r>
            <w:r>
              <w:rPr>
                <w:rFonts w:ascii="宋体" w:eastAsia="宋体" w:hAnsi="宋体" w:cs="宋体" w:hint="eastAsia"/>
                <w:snapToGrid/>
                <w:sz w:val="20"/>
              </w:rPr>
              <w:t>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r>
      <w:tr w:rsidR="00811871">
        <w:trPr>
          <w:jc w:val="center"/>
        </w:trPr>
        <w:tc>
          <w:tcPr>
            <w:tcW w:w="768" w:type="dxa"/>
            <w:vMerge/>
            <w:tcBorders>
              <w:top w:val="nil"/>
              <w:left w:val="single" w:sz="8" w:space="0" w:color="auto"/>
              <w:bottom w:val="inset" w:sz="8" w:space="0" w:color="auto"/>
              <w:right w:val="single" w:sz="8" w:space="0" w:color="auto"/>
            </w:tcBorders>
            <w:vAlign w:val="center"/>
          </w:tcPr>
          <w:p w:rsidR="00811871" w:rsidRDefault="00811871">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811871" w:rsidRDefault="0081187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11871" w:rsidRDefault="00DF281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w:t>
            </w:r>
            <w:r>
              <w:rPr>
                <w:rFonts w:ascii="宋体" w:eastAsia="宋体" w:hAnsi="宋体" w:cs="宋体" w:hint="eastAsia"/>
                <w:snapToGrid/>
                <w:sz w:val="20"/>
              </w:rPr>
              <w:t>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r>
      <w:tr w:rsidR="00811871">
        <w:trPr>
          <w:jc w:val="center"/>
        </w:trPr>
        <w:tc>
          <w:tcPr>
            <w:tcW w:w="768" w:type="dxa"/>
            <w:vMerge/>
            <w:tcBorders>
              <w:top w:val="nil"/>
              <w:left w:val="single" w:sz="8" w:space="0" w:color="auto"/>
              <w:bottom w:val="inset" w:sz="8" w:space="0" w:color="auto"/>
              <w:right w:val="single" w:sz="8" w:space="0" w:color="auto"/>
            </w:tcBorders>
            <w:vAlign w:val="center"/>
          </w:tcPr>
          <w:p w:rsidR="00811871" w:rsidRDefault="00811871">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811871" w:rsidRDefault="0081187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11871" w:rsidRDefault="00DF281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w:t>
            </w:r>
            <w:r>
              <w:rPr>
                <w:rFonts w:ascii="宋体" w:eastAsia="宋体" w:hAnsi="宋体" w:cs="宋体" w:hint="eastAsia"/>
                <w:snapToGrid/>
                <w:sz w:val="20"/>
              </w:rPr>
              <w:t>危及“三安全</w:t>
            </w:r>
            <w:proofErr w:type="gramStart"/>
            <w:r>
              <w:rPr>
                <w:rFonts w:ascii="宋体" w:eastAsia="宋体" w:hAnsi="宋体" w:cs="宋体" w:hint="eastAsia"/>
                <w:snapToGrid/>
                <w:sz w:val="20"/>
              </w:rPr>
              <w:t>一</w:t>
            </w:r>
            <w:proofErr w:type="gramEnd"/>
            <w:r>
              <w:rPr>
                <w:rFonts w:ascii="宋体" w:eastAsia="宋体" w:hAnsi="宋体" w:cs="宋体" w:hint="eastAsia"/>
                <w:snapToGrid/>
                <w:sz w:val="20"/>
              </w:rPr>
              <w:t>稳定”</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r>
      <w:tr w:rsidR="00811871">
        <w:trPr>
          <w:jc w:val="center"/>
        </w:trPr>
        <w:tc>
          <w:tcPr>
            <w:tcW w:w="768" w:type="dxa"/>
            <w:vMerge/>
            <w:tcBorders>
              <w:top w:val="nil"/>
              <w:left w:val="single" w:sz="8" w:space="0" w:color="auto"/>
              <w:bottom w:val="inset" w:sz="8" w:space="0" w:color="auto"/>
              <w:right w:val="single" w:sz="8" w:space="0" w:color="auto"/>
            </w:tcBorders>
            <w:vAlign w:val="center"/>
          </w:tcPr>
          <w:p w:rsidR="00811871" w:rsidRDefault="00811871">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811871" w:rsidRDefault="0081187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11871" w:rsidRDefault="00DF281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w:t>
            </w:r>
            <w:r>
              <w:rPr>
                <w:rFonts w:ascii="宋体" w:eastAsia="宋体" w:hAnsi="宋体" w:cs="宋体" w:hint="eastAsia"/>
                <w:snapToGrid/>
                <w:sz w:val="20"/>
              </w:rPr>
              <w:t>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r>
      <w:tr w:rsidR="00811871">
        <w:trPr>
          <w:jc w:val="center"/>
        </w:trPr>
        <w:tc>
          <w:tcPr>
            <w:tcW w:w="768" w:type="dxa"/>
            <w:vMerge/>
            <w:tcBorders>
              <w:top w:val="nil"/>
              <w:left w:val="single" w:sz="8" w:space="0" w:color="auto"/>
              <w:bottom w:val="inset" w:sz="8" w:space="0" w:color="auto"/>
              <w:right w:val="single" w:sz="8" w:space="0" w:color="auto"/>
            </w:tcBorders>
            <w:vAlign w:val="center"/>
          </w:tcPr>
          <w:p w:rsidR="00811871" w:rsidRDefault="00811871">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811871" w:rsidRDefault="0081187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11871" w:rsidRDefault="00DF281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5.</w:t>
            </w:r>
            <w:r>
              <w:rPr>
                <w:rFonts w:ascii="宋体" w:eastAsia="宋体" w:hAnsi="宋体" w:cs="宋体" w:hint="eastAsia"/>
                <w:snapToGrid/>
                <w:sz w:val="20"/>
              </w:rPr>
              <w:t>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r>
      <w:tr w:rsidR="00811871">
        <w:trPr>
          <w:jc w:val="center"/>
        </w:trPr>
        <w:tc>
          <w:tcPr>
            <w:tcW w:w="768" w:type="dxa"/>
            <w:vMerge/>
            <w:tcBorders>
              <w:top w:val="nil"/>
              <w:left w:val="single" w:sz="8" w:space="0" w:color="auto"/>
              <w:bottom w:val="inset" w:sz="8" w:space="0" w:color="auto"/>
              <w:right w:val="single" w:sz="8" w:space="0" w:color="auto"/>
            </w:tcBorders>
            <w:vAlign w:val="center"/>
          </w:tcPr>
          <w:p w:rsidR="00811871" w:rsidRDefault="00811871">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811871" w:rsidRDefault="0081187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11871" w:rsidRDefault="00DF281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6.</w:t>
            </w:r>
            <w:r>
              <w:rPr>
                <w:rFonts w:ascii="宋体" w:eastAsia="宋体" w:hAnsi="宋体" w:cs="宋体" w:hint="eastAsia"/>
                <w:snapToGrid/>
                <w:sz w:val="20"/>
              </w:rPr>
              <w:t>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r>
      <w:tr w:rsidR="00811871">
        <w:trPr>
          <w:jc w:val="center"/>
        </w:trPr>
        <w:tc>
          <w:tcPr>
            <w:tcW w:w="768" w:type="dxa"/>
            <w:vMerge/>
            <w:tcBorders>
              <w:top w:val="nil"/>
              <w:left w:val="single" w:sz="8" w:space="0" w:color="auto"/>
              <w:bottom w:val="inset" w:sz="8" w:space="0" w:color="auto"/>
              <w:right w:val="single" w:sz="8" w:space="0" w:color="auto"/>
            </w:tcBorders>
            <w:vAlign w:val="center"/>
          </w:tcPr>
          <w:p w:rsidR="00811871" w:rsidRDefault="00811871">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811871" w:rsidRDefault="0081187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11871" w:rsidRDefault="00DF281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7.</w:t>
            </w:r>
            <w:r>
              <w:rPr>
                <w:rFonts w:ascii="宋体" w:eastAsia="宋体" w:hAnsi="宋体" w:cs="宋体" w:hint="eastAsia"/>
                <w:snapToGrid/>
                <w:sz w:val="20"/>
              </w:rPr>
              <w:t>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r>
      <w:tr w:rsidR="00811871">
        <w:trPr>
          <w:jc w:val="center"/>
        </w:trPr>
        <w:tc>
          <w:tcPr>
            <w:tcW w:w="768" w:type="dxa"/>
            <w:vMerge/>
            <w:tcBorders>
              <w:top w:val="nil"/>
              <w:left w:val="single" w:sz="8" w:space="0" w:color="auto"/>
              <w:bottom w:val="inset" w:sz="8" w:space="0" w:color="auto"/>
              <w:right w:val="single" w:sz="8" w:space="0" w:color="auto"/>
            </w:tcBorders>
            <w:vAlign w:val="center"/>
          </w:tcPr>
          <w:p w:rsidR="00811871" w:rsidRDefault="00811871">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811871" w:rsidRDefault="0081187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11871" w:rsidRDefault="00DF281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8.</w:t>
            </w:r>
            <w:r>
              <w:rPr>
                <w:rFonts w:ascii="宋体" w:eastAsia="宋体" w:hAnsi="宋体" w:cs="宋体" w:hint="eastAsia"/>
                <w:snapToGrid/>
                <w:sz w:val="20"/>
              </w:rPr>
              <w:t>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r>
      <w:tr w:rsidR="00811871">
        <w:trPr>
          <w:jc w:val="center"/>
        </w:trPr>
        <w:tc>
          <w:tcPr>
            <w:tcW w:w="768" w:type="dxa"/>
            <w:vMerge/>
            <w:tcBorders>
              <w:top w:val="nil"/>
              <w:left w:val="single" w:sz="8" w:space="0" w:color="auto"/>
              <w:bottom w:val="inset" w:sz="8" w:space="0" w:color="auto"/>
              <w:right w:val="single" w:sz="8" w:space="0" w:color="auto"/>
            </w:tcBorders>
            <w:vAlign w:val="center"/>
          </w:tcPr>
          <w:p w:rsidR="00811871" w:rsidRDefault="00811871">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11871" w:rsidRDefault="00DF281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w:t>
            </w:r>
            <w:r>
              <w:rPr>
                <w:rFonts w:ascii="宋体" w:eastAsia="宋体" w:hAnsi="宋体" w:cs="宋体" w:hint="eastAsia"/>
                <w:snapToGrid/>
                <w:sz w:val="20"/>
              </w:rPr>
              <w:t>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r>
      <w:tr w:rsidR="00811871">
        <w:trPr>
          <w:jc w:val="center"/>
        </w:trPr>
        <w:tc>
          <w:tcPr>
            <w:tcW w:w="768" w:type="dxa"/>
            <w:vMerge/>
            <w:tcBorders>
              <w:top w:val="nil"/>
              <w:left w:val="single" w:sz="8" w:space="0" w:color="auto"/>
              <w:bottom w:val="inset" w:sz="8" w:space="0" w:color="auto"/>
              <w:right w:val="single" w:sz="8" w:space="0" w:color="auto"/>
            </w:tcBorders>
            <w:vAlign w:val="center"/>
          </w:tcPr>
          <w:p w:rsidR="00811871" w:rsidRDefault="00811871">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811871" w:rsidRDefault="0081187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11871" w:rsidRDefault="00DF281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w:t>
            </w:r>
            <w:r>
              <w:rPr>
                <w:rFonts w:ascii="宋体" w:eastAsia="宋体" w:hAnsi="宋体" w:cs="宋体" w:hint="eastAsia"/>
                <w:snapToGrid/>
                <w:sz w:val="20"/>
              </w:rPr>
              <w:t>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r>
      <w:tr w:rsidR="00811871">
        <w:trPr>
          <w:jc w:val="center"/>
        </w:trPr>
        <w:tc>
          <w:tcPr>
            <w:tcW w:w="768" w:type="dxa"/>
            <w:vMerge/>
            <w:tcBorders>
              <w:top w:val="nil"/>
              <w:left w:val="single" w:sz="8" w:space="0" w:color="auto"/>
              <w:bottom w:val="inset" w:sz="8" w:space="0" w:color="auto"/>
              <w:right w:val="single" w:sz="8" w:space="0" w:color="auto"/>
            </w:tcBorders>
            <w:vAlign w:val="center"/>
          </w:tcPr>
          <w:p w:rsidR="00811871" w:rsidRDefault="00811871">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811871" w:rsidRDefault="0081187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11871" w:rsidRDefault="00DF281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w:t>
            </w:r>
            <w:r>
              <w:rPr>
                <w:rFonts w:ascii="宋体" w:eastAsia="宋体" w:hAnsi="宋体" w:cs="宋体" w:hint="eastAsia"/>
                <w:snapToGrid/>
                <w:sz w:val="20"/>
              </w:rPr>
              <w:t>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r>
      <w:tr w:rsidR="00811871">
        <w:trPr>
          <w:jc w:val="center"/>
        </w:trPr>
        <w:tc>
          <w:tcPr>
            <w:tcW w:w="768" w:type="dxa"/>
            <w:vMerge/>
            <w:tcBorders>
              <w:top w:val="nil"/>
              <w:left w:val="single" w:sz="8" w:space="0" w:color="auto"/>
              <w:bottom w:val="inset" w:sz="8" w:space="0" w:color="auto"/>
              <w:right w:val="single" w:sz="8" w:space="0" w:color="auto"/>
            </w:tcBorders>
            <w:vAlign w:val="center"/>
          </w:tcPr>
          <w:p w:rsidR="00811871" w:rsidRDefault="00811871">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（五）</w:t>
            </w:r>
            <w:proofErr w:type="gramStart"/>
            <w:r>
              <w:rPr>
                <w:rFonts w:ascii="宋体" w:eastAsia="宋体" w:hAnsi="宋体" w:cs="宋体" w:hint="eastAsia"/>
                <w:snapToGrid/>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11871" w:rsidRDefault="00DF281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w:t>
            </w:r>
            <w:r>
              <w:rPr>
                <w:rFonts w:ascii="宋体" w:eastAsia="宋体" w:hAnsi="宋体" w:cs="宋体" w:hint="eastAsia"/>
                <w:snapToGrid/>
                <w:sz w:val="20"/>
              </w:rPr>
              <w:t>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r>
      <w:tr w:rsidR="00811871">
        <w:trPr>
          <w:jc w:val="center"/>
        </w:trPr>
        <w:tc>
          <w:tcPr>
            <w:tcW w:w="768" w:type="dxa"/>
            <w:vMerge/>
            <w:tcBorders>
              <w:top w:val="nil"/>
              <w:left w:val="single" w:sz="8" w:space="0" w:color="auto"/>
              <w:bottom w:val="inset" w:sz="8" w:space="0" w:color="auto"/>
              <w:right w:val="single" w:sz="8" w:space="0" w:color="auto"/>
            </w:tcBorders>
            <w:vAlign w:val="center"/>
          </w:tcPr>
          <w:p w:rsidR="00811871" w:rsidRDefault="00811871">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811871" w:rsidRDefault="0081187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11871" w:rsidRDefault="00DF281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w:t>
            </w:r>
            <w:r>
              <w:rPr>
                <w:rFonts w:ascii="宋体" w:eastAsia="宋体" w:hAnsi="宋体" w:cs="宋体" w:hint="eastAsia"/>
                <w:snapToGrid/>
                <w:sz w:val="20"/>
              </w:rPr>
              <w:t>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r>
      <w:tr w:rsidR="00811871">
        <w:trPr>
          <w:jc w:val="center"/>
        </w:trPr>
        <w:tc>
          <w:tcPr>
            <w:tcW w:w="768" w:type="dxa"/>
            <w:vMerge/>
            <w:tcBorders>
              <w:top w:val="nil"/>
              <w:left w:val="single" w:sz="8" w:space="0" w:color="auto"/>
              <w:bottom w:val="inset" w:sz="8" w:space="0" w:color="auto"/>
              <w:right w:val="single" w:sz="8" w:space="0" w:color="auto"/>
            </w:tcBorders>
            <w:vAlign w:val="center"/>
          </w:tcPr>
          <w:p w:rsidR="00811871" w:rsidRDefault="00811871">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811871" w:rsidRDefault="0081187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11871" w:rsidRDefault="00DF281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w:t>
            </w:r>
            <w:r>
              <w:rPr>
                <w:rFonts w:ascii="宋体" w:eastAsia="宋体" w:hAnsi="宋体" w:cs="宋体" w:hint="eastAsia"/>
                <w:snapToGrid/>
                <w:sz w:val="20"/>
              </w:rPr>
              <w:t>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r>
      <w:tr w:rsidR="00811871">
        <w:trPr>
          <w:jc w:val="center"/>
        </w:trPr>
        <w:tc>
          <w:tcPr>
            <w:tcW w:w="768" w:type="dxa"/>
            <w:vMerge/>
            <w:tcBorders>
              <w:top w:val="nil"/>
              <w:left w:val="single" w:sz="8" w:space="0" w:color="auto"/>
              <w:bottom w:val="inset" w:sz="8" w:space="0" w:color="auto"/>
              <w:right w:val="single" w:sz="8" w:space="0" w:color="auto"/>
            </w:tcBorders>
            <w:vAlign w:val="center"/>
          </w:tcPr>
          <w:p w:rsidR="00811871" w:rsidRDefault="00811871">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811871" w:rsidRDefault="0081187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11871" w:rsidRDefault="00DF281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w:t>
            </w:r>
            <w:r>
              <w:rPr>
                <w:rFonts w:ascii="宋体" w:eastAsia="宋体" w:hAnsi="宋体" w:cs="宋体" w:hint="eastAsia"/>
                <w:snapToGrid/>
                <w:sz w:val="20"/>
              </w:rPr>
              <w:t>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r>
      <w:tr w:rsidR="00811871">
        <w:trPr>
          <w:trHeight w:val="779"/>
          <w:jc w:val="center"/>
        </w:trPr>
        <w:tc>
          <w:tcPr>
            <w:tcW w:w="768" w:type="dxa"/>
            <w:vMerge/>
            <w:tcBorders>
              <w:top w:val="nil"/>
              <w:left w:val="single" w:sz="8" w:space="0" w:color="auto"/>
              <w:bottom w:val="inset" w:sz="8" w:space="0" w:color="auto"/>
              <w:right w:val="single" w:sz="8" w:space="0" w:color="auto"/>
            </w:tcBorders>
            <w:vAlign w:val="center"/>
          </w:tcPr>
          <w:p w:rsidR="00811871" w:rsidRDefault="00811871">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811871" w:rsidRDefault="0081187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5.</w:t>
            </w:r>
            <w:r>
              <w:rPr>
                <w:rFonts w:ascii="宋体" w:eastAsia="宋体" w:hAnsi="宋体" w:cs="宋体" w:hint="eastAsia"/>
                <w:snapToGrid/>
                <w:sz w:val="20"/>
              </w:rPr>
              <w:t>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nil"/>
              <w:left w:val="nil"/>
              <w:bottom w:val="inset" w:sz="8" w:space="0" w:color="auto"/>
              <w:right w:val="single" w:sz="8" w:space="0" w:color="auto"/>
            </w:tcBorders>
            <w:tcMar>
              <w:top w:w="0" w:type="dxa"/>
              <w:left w:w="57" w:type="dxa"/>
              <w:bottom w:w="0" w:type="dxa"/>
              <w:right w:w="57" w:type="dxa"/>
            </w:tcMa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r>
      <w:tr w:rsidR="00811871">
        <w:trPr>
          <w:jc w:val="center"/>
        </w:trPr>
        <w:tc>
          <w:tcPr>
            <w:tcW w:w="768" w:type="dxa"/>
            <w:vMerge/>
            <w:tcBorders>
              <w:top w:val="nil"/>
              <w:left w:val="single" w:sz="8" w:space="0" w:color="auto"/>
              <w:bottom w:val="inset" w:sz="8" w:space="0" w:color="auto"/>
              <w:right w:val="single" w:sz="8" w:space="0" w:color="auto"/>
            </w:tcBorders>
            <w:vAlign w:val="center"/>
          </w:tcPr>
          <w:p w:rsidR="00811871" w:rsidRDefault="00811871">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1.</w:t>
            </w:r>
            <w:r>
              <w:rPr>
                <w:rFonts w:ascii="宋体" w:eastAsia="宋体" w:hAnsi="宋体" w:cs="宋体" w:hint="eastAsia"/>
                <w:snapToGrid/>
                <w:sz w:val="20"/>
              </w:rPr>
              <w:t>申请人无正当理由逾期</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补正、行政机关</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r>
      <w:tr w:rsidR="00811871">
        <w:trPr>
          <w:jc w:val="center"/>
        </w:trPr>
        <w:tc>
          <w:tcPr>
            <w:tcW w:w="768" w:type="dxa"/>
            <w:vMerge/>
            <w:tcBorders>
              <w:top w:val="nil"/>
              <w:left w:val="single" w:sz="8" w:space="0" w:color="auto"/>
              <w:bottom w:val="inset" w:sz="8" w:space="0" w:color="auto"/>
              <w:right w:val="single" w:sz="8" w:space="0" w:color="auto"/>
            </w:tcBorders>
            <w:vAlign w:val="center"/>
          </w:tcPr>
          <w:p w:rsidR="00811871" w:rsidRDefault="00811871">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inset" w:sz="8" w:space="0" w:color="auto"/>
              <w:left w:val="nil"/>
              <w:bottom w:val="inset" w:sz="8" w:space="0" w:color="auto"/>
              <w:right w:val="single" w:sz="8" w:space="0" w:color="auto"/>
            </w:tcBorders>
            <w:vAlign w:val="center"/>
          </w:tcPr>
          <w:p w:rsidR="00811871" w:rsidRDefault="0081187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2.</w:t>
            </w:r>
            <w:r>
              <w:rPr>
                <w:rFonts w:ascii="宋体" w:eastAsia="宋体" w:hAnsi="宋体" w:cs="宋体" w:hint="eastAsia"/>
                <w:snapToGrid/>
                <w:sz w:val="20"/>
              </w:rPr>
              <w:t>申请人逾期未按收费通知要求缴纳费用、行政机关</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r>
      <w:tr w:rsidR="00811871">
        <w:trPr>
          <w:jc w:val="center"/>
        </w:trPr>
        <w:tc>
          <w:tcPr>
            <w:tcW w:w="768" w:type="dxa"/>
            <w:vMerge/>
            <w:tcBorders>
              <w:top w:val="nil"/>
              <w:left w:val="single" w:sz="8" w:space="0" w:color="auto"/>
              <w:bottom w:val="inset" w:sz="8" w:space="0" w:color="auto"/>
              <w:right w:val="single" w:sz="8" w:space="0" w:color="auto"/>
            </w:tcBorders>
            <w:vAlign w:val="center"/>
          </w:tcPr>
          <w:p w:rsidR="00811871" w:rsidRDefault="00811871">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inset" w:sz="8" w:space="0" w:color="auto"/>
              <w:left w:val="nil"/>
              <w:bottom w:val="inset" w:sz="8" w:space="0" w:color="auto"/>
              <w:right w:val="single" w:sz="8" w:space="0" w:color="auto"/>
            </w:tcBorders>
            <w:vAlign w:val="center"/>
          </w:tcPr>
          <w:p w:rsidR="00811871" w:rsidRDefault="0081187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w:t>
            </w:r>
            <w:r>
              <w:rPr>
                <w:rFonts w:ascii="宋体" w:eastAsia="宋体" w:hAnsi="宋体" w:cs="宋体" w:hint="eastAsia"/>
                <w:snapToGrid/>
                <w:sz w:val="20"/>
              </w:rPr>
              <w:t>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r>
      <w:tr w:rsidR="00811871">
        <w:trPr>
          <w:jc w:val="center"/>
        </w:trPr>
        <w:tc>
          <w:tcPr>
            <w:tcW w:w="768" w:type="dxa"/>
            <w:vMerge/>
            <w:tcBorders>
              <w:top w:val="nil"/>
              <w:left w:val="single" w:sz="8" w:space="0" w:color="auto"/>
              <w:bottom w:val="inset" w:sz="8" w:space="0" w:color="auto"/>
              <w:right w:val="single" w:sz="8" w:space="0" w:color="auto"/>
            </w:tcBorders>
            <w:vAlign w:val="center"/>
          </w:tcPr>
          <w:p w:rsidR="00811871" w:rsidRDefault="00811871">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r>
      <w:tr w:rsidR="00811871">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r>
    </w:tbl>
    <w:p w:rsidR="00811871" w:rsidRDefault="00811871">
      <w:pPr>
        <w:spacing w:line="240" w:lineRule="auto"/>
        <w:ind w:firstLineChars="200" w:firstLine="600"/>
        <w:rPr>
          <w:rFonts w:ascii="黑体" w:eastAsia="黑体" w:hAnsi="黑体"/>
          <w:sz w:val="30"/>
          <w:szCs w:val="30"/>
        </w:rPr>
      </w:pPr>
    </w:p>
    <w:p w:rsidR="00811871" w:rsidRDefault="00811871">
      <w:pPr>
        <w:spacing w:line="240" w:lineRule="auto"/>
        <w:ind w:firstLineChars="200" w:firstLine="600"/>
        <w:rPr>
          <w:rFonts w:ascii="黑体" w:eastAsia="黑体" w:hAnsi="黑体"/>
          <w:sz w:val="30"/>
          <w:szCs w:val="30"/>
        </w:rPr>
      </w:pPr>
    </w:p>
    <w:p w:rsidR="00811871" w:rsidRDefault="00811871">
      <w:pPr>
        <w:spacing w:line="240" w:lineRule="auto"/>
        <w:ind w:firstLineChars="200" w:firstLine="600"/>
        <w:rPr>
          <w:rFonts w:ascii="黑体" w:eastAsia="黑体" w:hAnsi="黑体"/>
          <w:sz w:val="30"/>
          <w:szCs w:val="30"/>
        </w:rPr>
      </w:pPr>
    </w:p>
    <w:p w:rsidR="00811871" w:rsidRDefault="00811871">
      <w:pPr>
        <w:spacing w:line="240" w:lineRule="auto"/>
        <w:ind w:firstLineChars="200" w:firstLine="600"/>
        <w:rPr>
          <w:rFonts w:ascii="黑体" w:eastAsia="黑体" w:hAnsi="黑体"/>
          <w:sz w:val="30"/>
          <w:szCs w:val="30"/>
        </w:rPr>
      </w:pPr>
    </w:p>
    <w:p w:rsidR="00811871" w:rsidRDefault="00DF281A">
      <w:pPr>
        <w:spacing w:afterLines="50" w:after="156" w:line="590" w:lineRule="exact"/>
        <w:ind w:firstLineChars="200" w:firstLine="640"/>
        <w:rPr>
          <w:rFonts w:ascii="黑体" w:eastAsia="黑体" w:hAnsi="黑体"/>
          <w:sz w:val="30"/>
          <w:szCs w:val="30"/>
        </w:rPr>
      </w:pPr>
      <w:r>
        <w:rPr>
          <w:rFonts w:ascii="黑体" w:eastAsia="黑体" w:hAnsi="黑体" w:hint="eastAsia"/>
          <w:szCs w:val="32"/>
        </w:rPr>
        <w:lastRenderedPageBreak/>
        <w:t>四、政府信息公开行政复议、行政诉讼情况</w:t>
      </w:r>
    </w:p>
    <w:tbl>
      <w:tblPr>
        <w:tblW w:w="9748" w:type="dxa"/>
        <w:jc w:val="center"/>
        <w:tblLayout w:type="fixed"/>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811871">
        <w:trPr>
          <w:jc w:val="center"/>
        </w:trPr>
        <w:tc>
          <w:tcPr>
            <w:tcW w:w="325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行政复议</w:t>
            </w:r>
          </w:p>
        </w:tc>
        <w:tc>
          <w:tcPr>
            <w:tcW w:w="649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行政诉讼</w:t>
            </w:r>
          </w:p>
        </w:tc>
      </w:tr>
      <w:tr w:rsidR="00811871">
        <w:trPr>
          <w:jc w:val="center"/>
        </w:trPr>
        <w:tc>
          <w:tcPr>
            <w:tcW w:w="6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结果维持</w:t>
            </w:r>
          </w:p>
        </w:tc>
        <w:tc>
          <w:tcPr>
            <w:tcW w:w="6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r>
            <w:r>
              <w:rPr>
                <w:rFonts w:ascii="宋体" w:eastAsia="宋体" w:hAnsi="宋体" w:cs="宋体" w:hint="eastAsia"/>
                <w:snapToGrid/>
                <w:sz w:val="20"/>
              </w:rPr>
              <w:t>纠正</w:t>
            </w:r>
          </w:p>
        </w:tc>
        <w:tc>
          <w:tcPr>
            <w:tcW w:w="65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r>
              <w:rPr>
                <w:rFonts w:ascii="宋体" w:eastAsia="宋体" w:hAnsi="宋体" w:cs="宋体" w:hint="eastAsia"/>
                <w:snapToGrid/>
                <w:sz w:val="20"/>
              </w:rPr>
              <w:br/>
            </w:r>
            <w:r>
              <w:rPr>
                <w:rFonts w:ascii="宋体" w:eastAsia="宋体" w:hAnsi="宋体" w:cs="宋体" w:hint="eastAsia"/>
                <w:snapToGrid/>
                <w:sz w:val="20"/>
              </w:rPr>
              <w:t>结果</w:t>
            </w:r>
          </w:p>
        </w:tc>
        <w:tc>
          <w:tcPr>
            <w:tcW w:w="65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r>
            <w:r>
              <w:rPr>
                <w:rFonts w:ascii="宋体" w:eastAsia="宋体" w:hAnsi="宋体" w:cs="宋体" w:hint="eastAsia"/>
                <w:snapToGrid/>
                <w:sz w:val="20"/>
              </w:rPr>
              <w:t>审结</w:t>
            </w:r>
          </w:p>
        </w:tc>
        <w:tc>
          <w:tcPr>
            <w:tcW w:w="65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c>
          <w:tcPr>
            <w:tcW w:w="32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未经复议直接起诉</w:t>
            </w:r>
          </w:p>
        </w:tc>
        <w:tc>
          <w:tcPr>
            <w:tcW w:w="325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复议后起诉</w:t>
            </w:r>
          </w:p>
        </w:tc>
      </w:tr>
      <w:tr w:rsidR="00811871">
        <w:trPr>
          <w:jc w:val="center"/>
        </w:trPr>
        <w:tc>
          <w:tcPr>
            <w:tcW w:w="650" w:type="dxa"/>
            <w:vMerge/>
            <w:tcBorders>
              <w:top w:val="nil"/>
              <w:left w:val="single" w:sz="8" w:space="0" w:color="auto"/>
              <w:bottom w:val="single" w:sz="8" w:space="0" w:color="auto"/>
              <w:right w:val="single" w:sz="8" w:space="0" w:color="auto"/>
            </w:tcBorders>
            <w:vAlign w:val="center"/>
          </w:tcPr>
          <w:p w:rsidR="00811871" w:rsidRDefault="00811871">
            <w:pPr>
              <w:widowControl/>
              <w:autoSpaceDE/>
              <w:autoSpaceDN/>
              <w:snapToGrid/>
              <w:spacing w:line="240" w:lineRule="auto"/>
              <w:ind w:firstLine="0"/>
              <w:jc w:val="left"/>
              <w:rPr>
                <w:rFonts w:ascii="宋体" w:eastAsia="宋体" w:hAnsi="宋体" w:cs="宋体"/>
                <w:snapToGrid/>
                <w:sz w:val="24"/>
                <w:szCs w:val="24"/>
              </w:rPr>
            </w:pPr>
          </w:p>
        </w:tc>
        <w:tc>
          <w:tcPr>
            <w:tcW w:w="650" w:type="dxa"/>
            <w:vMerge/>
            <w:tcBorders>
              <w:top w:val="nil"/>
              <w:left w:val="single" w:sz="8" w:space="0" w:color="auto"/>
              <w:bottom w:val="single" w:sz="8" w:space="0" w:color="auto"/>
              <w:right w:val="single" w:sz="8" w:space="0" w:color="auto"/>
            </w:tcBorders>
            <w:vAlign w:val="center"/>
          </w:tcPr>
          <w:p w:rsidR="00811871" w:rsidRDefault="00811871">
            <w:pPr>
              <w:widowControl/>
              <w:autoSpaceDE/>
              <w:autoSpaceDN/>
              <w:snapToGrid/>
              <w:spacing w:line="240" w:lineRule="auto"/>
              <w:ind w:firstLine="0"/>
              <w:jc w:val="left"/>
              <w:rPr>
                <w:rFonts w:ascii="宋体" w:eastAsia="宋体" w:hAnsi="宋体" w:cs="宋体"/>
                <w:snapToGrid/>
                <w:sz w:val="24"/>
                <w:szCs w:val="24"/>
              </w:rPr>
            </w:pPr>
          </w:p>
        </w:tc>
        <w:tc>
          <w:tcPr>
            <w:tcW w:w="650" w:type="dxa"/>
            <w:vMerge/>
            <w:tcBorders>
              <w:top w:val="single" w:sz="8" w:space="0" w:color="auto"/>
              <w:left w:val="single" w:sz="8" w:space="0" w:color="auto"/>
              <w:bottom w:val="single" w:sz="8" w:space="0" w:color="auto"/>
              <w:right w:val="single" w:sz="8" w:space="0" w:color="auto"/>
            </w:tcBorders>
            <w:vAlign w:val="center"/>
          </w:tcPr>
          <w:p w:rsidR="00811871" w:rsidRDefault="00811871">
            <w:pPr>
              <w:widowControl/>
              <w:autoSpaceDE/>
              <w:autoSpaceDN/>
              <w:snapToGrid/>
              <w:spacing w:line="240" w:lineRule="auto"/>
              <w:ind w:firstLine="0"/>
              <w:jc w:val="left"/>
              <w:rPr>
                <w:rFonts w:ascii="宋体" w:eastAsia="宋体" w:hAnsi="宋体" w:cs="宋体"/>
                <w:snapToGrid/>
                <w:sz w:val="24"/>
                <w:szCs w:val="24"/>
              </w:rPr>
            </w:pPr>
          </w:p>
        </w:tc>
        <w:tc>
          <w:tcPr>
            <w:tcW w:w="650" w:type="dxa"/>
            <w:vMerge/>
            <w:tcBorders>
              <w:top w:val="single" w:sz="8" w:space="0" w:color="auto"/>
              <w:left w:val="single" w:sz="8" w:space="0" w:color="auto"/>
              <w:bottom w:val="single" w:sz="8" w:space="0" w:color="auto"/>
              <w:right w:val="single" w:sz="8" w:space="0" w:color="auto"/>
            </w:tcBorders>
            <w:vAlign w:val="center"/>
          </w:tcPr>
          <w:p w:rsidR="00811871" w:rsidRDefault="00811871">
            <w:pPr>
              <w:widowControl/>
              <w:autoSpaceDE/>
              <w:autoSpaceDN/>
              <w:snapToGrid/>
              <w:spacing w:line="240" w:lineRule="auto"/>
              <w:ind w:firstLine="0"/>
              <w:jc w:val="left"/>
              <w:rPr>
                <w:rFonts w:ascii="宋体" w:eastAsia="宋体" w:hAnsi="宋体" w:cs="宋体"/>
                <w:snapToGrid/>
                <w:sz w:val="24"/>
                <w:szCs w:val="24"/>
              </w:rPr>
            </w:pPr>
          </w:p>
        </w:tc>
        <w:tc>
          <w:tcPr>
            <w:tcW w:w="650" w:type="dxa"/>
            <w:vMerge/>
            <w:tcBorders>
              <w:top w:val="single" w:sz="8" w:space="0" w:color="auto"/>
              <w:left w:val="single" w:sz="8" w:space="0" w:color="auto"/>
              <w:bottom w:val="single" w:sz="8" w:space="0" w:color="auto"/>
              <w:right w:val="single" w:sz="8" w:space="0" w:color="auto"/>
            </w:tcBorders>
            <w:vAlign w:val="center"/>
          </w:tcPr>
          <w:p w:rsidR="00811871" w:rsidRDefault="00811871">
            <w:pPr>
              <w:widowControl/>
              <w:autoSpaceDE/>
              <w:autoSpaceDN/>
              <w:snapToGrid/>
              <w:spacing w:line="240" w:lineRule="auto"/>
              <w:ind w:firstLine="0"/>
              <w:jc w:val="left"/>
              <w:rPr>
                <w:rFonts w:ascii="宋体" w:eastAsia="宋体" w:hAnsi="宋体" w:cs="宋体"/>
                <w:snapToGrid/>
                <w:sz w:val="24"/>
                <w:szCs w:val="24"/>
              </w:rPr>
            </w:pP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r>
            <w:r>
              <w:rPr>
                <w:rFonts w:ascii="宋体" w:eastAsia="宋体" w:hAnsi="宋体" w:cs="宋体" w:hint="eastAsia"/>
                <w:snapToGrid/>
                <w:sz w:val="20"/>
              </w:rPr>
              <w:t>维持</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r>
            <w:r>
              <w:rPr>
                <w:rFonts w:ascii="宋体" w:eastAsia="宋体" w:hAnsi="宋体" w:cs="宋体" w:hint="eastAsia"/>
                <w:snapToGrid/>
                <w:sz w:val="20"/>
              </w:rPr>
              <w:t>纠正</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r>
              <w:rPr>
                <w:rFonts w:ascii="宋体" w:eastAsia="宋体" w:hAnsi="宋体" w:cs="宋体" w:hint="eastAsia"/>
                <w:snapToGrid/>
                <w:sz w:val="20"/>
              </w:rPr>
              <w:br/>
            </w:r>
            <w:r>
              <w:rPr>
                <w:rFonts w:ascii="宋体" w:eastAsia="宋体" w:hAnsi="宋体" w:cs="宋体" w:hint="eastAsia"/>
                <w:snapToGrid/>
                <w:sz w:val="20"/>
              </w:rPr>
              <w:t>结果</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r>
            <w:r>
              <w:rPr>
                <w:rFonts w:ascii="宋体" w:eastAsia="宋体" w:hAnsi="宋体" w:cs="宋体" w:hint="eastAsia"/>
                <w:snapToGrid/>
                <w:sz w:val="20"/>
              </w:rPr>
              <w:t>审结</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总计</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r>
            <w:r>
              <w:rPr>
                <w:rFonts w:ascii="宋体" w:eastAsia="宋体" w:hAnsi="宋体" w:cs="宋体" w:hint="eastAsia"/>
                <w:snapToGrid/>
                <w:sz w:val="20"/>
              </w:rPr>
              <w:t>维持</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r>
            <w:r>
              <w:rPr>
                <w:rFonts w:ascii="宋体" w:eastAsia="宋体" w:hAnsi="宋体" w:cs="宋体" w:hint="eastAsia"/>
                <w:snapToGrid/>
                <w:sz w:val="20"/>
              </w:rPr>
              <w:t>纠正</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其他</w:t>
            </w:r>
            <w:r>
              <w:rPr>
                <w:rFonts w:ascii="宋体" w:eastAsia="宋体" w:hAnsi="宋体" w:cs="宋体" w:hint="eastAsia"/>
                <w:snapToGrid/>
                <w:color w:val="000000"/>
                <w:sz w:val="20"/>
              </w:rPr>
              <w:br/>
            </w:r>
            <w:r>
              <w:rPr>
                <w:rFonts w:ascii="宋体" w:eastAsia="宋体" w:hAnsi="宋体" w:cs="宋体" w:hint="eastAsia"/>
                <w:snapToGrid/>
                <w:color w:val="000000"/>
                <w:sz w:val="20"/>
              </w:rPr>
              <w:t>结果</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r>
            <w:r>
              <w:rPr>
                <w:rFonts w:ascii="宋体" w:eastAsia="宋体" w:hAnsi="宋体" w:cs="宋体" w:hint="eastAsia"/>
                <w:snapToGrid/>
                <w:sz w:val="20"/>
              </w:rPr>
              <w:t>审结</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总计</w:t>
            </w:r>
          </w:p>
        </w:tc>
      </w:tr>
      <w:tr w:rsidR="00811871">
        <w:trPr>
          <w:trHeight w:val="672"/>
          <w:jc w:val="center"/>
        </w:trPr>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11871" w:rsidRDefault="00DF281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r>
    </w:tbl>
    <w:p w:rsidR="00811871" w:rsidRDefault="00811871">
      <w:pPr>
        <w:spacing w:line="240" w:lineRule="auto"/>
        <w:ind w:firstLineChars="200" w:firstLine="640"/>
        <w:rPr>
          <w:rFonts w:ascii="黑体" w:eastAsia="黑体" w:hAnsi="黑体"/>
          <w:szCs w:val="32"/>
        </w:rPr>
      </w:pPr>
    </w:p>
    <w:p w:rsidR="00811871" w:rsidRDefault="00DF281A">
      <w:pPr>
        <w:spacing w:line="590" w:lineRule="exact"/>
        <w:ind w:firstLineChars="200" w:firstLine="640"/>
        <w:rPr>
          <w:rFonts w:ascii="黑体" w:eastAsia="黑体" w:hAnsi="黑体"/>
          <w:szCs w:val="32"/>
        </w:rPr>
      </w:pPr>
      <w:r>
        <w:rPr>
          <w:rFonts w:ascii="黑体" w:eastAsia="黑体" w:hAnsi="黑体" w:hint="eastAsia"/>
          <w:szCs w:val="32"/>
        </w:rPr>
        <w:t>五、存在的主要问题及改进情况</w:t>
      </w:r>
    </w:p>
    <w:p w:rsidR="00811871" w:rsidRDefault="00DF281A">
      <w:pPr>
        <w:spacing w:line="590" w:lineRule="exact"/>
        <w:ind w:firstLineChars="200" w:firstLine="640"/>
        <w:rPr>
          <w:rFonts w:ascii="楷体_GB2312" w:eastAsia="楷体_GB2312" w:hAnsi="黑体"/>
          <w:szCs w:val="32"/>
        </w:rPr>
      </w:pPr>
      <w:bookmarkStart w:id="0" w:name="_GoBack"/>
      <w:r>
        <w:rPr>
          <w:rFonts w:ascii="楷体_GB2312" w:eastAsia="楷体_GB2312" w:hAnsi="黑体" w:hint="eastAsia"/>
          <w:szCs w:val="32"/>
        </w:rPr>
        <w:t>（一）存在问题</w:t>
      </w:r>
    </w:p>
    <w:p w:rsidR="00811871" w:rsidRDefault="00DF281A">
      <w:pPr>
        <w:pStyle w:val="a5"/>
        <w:widowControl/>
        <w:shd w:val="clear" w:color="auto" w:fill="FFFFFF"/>
        <w:spacing w:line="590" w:lineRule="exact"/>
        <w:ind w:firstLineChars="200" w:firstLine="640"/>
        <w:jc w:val="both"/>
      </w:pPr>
      <w:r>
        <w:rPr>
          <w:rFonts w:eastAsia="仿宋_GB2312" w:hint="eastAsia"/>
          <w:sz w:val="32"/>
          <w:szCs w:val="32"/>
        </w:rPr>
        <w:t>2022</w:t>
      </w:r>
      <w:r>
        <w:rPr>
          <w:rFonts w:eastAsia="仿宋_GB2312" w:hint="eastAsia"/>
          <w:sz w:val="32"/>
          <w:szCs w:val="32"/>
        </w:rPr>
        <w:t>年在政府信息公开工作方面主要存在的问题：一是信息公开的格式、内容需要进一步规范；二是个别涉及业务条线的栏目，因业务性质导致信息更新不够及时</w:t>
      </w:r>
      <w:r>
        <w:rPr>
          <w:rFonts w:ascii="仿宋" w:eastAsia="仿宋" w:hAnsi="仿宋" w:cs="仿宋" w:hint="eastAsia"/>
          <w:color w:val="333333"/>
          <w:sz w:val="31"/>
          <w:szCs w:val="31"/>
          <w:shd w:val="clear" w:color="auto" w:fill="FFFFFF"/>
        </w:rPr>
        <w:t>。</w:t>
      </w:r>
      <w:r>
        <w:rPr>
          <w:rFonts w:ascii="仿宋" w:eastAsia="仿宋" w:hAnsi="仿宋" w:cs="仿宋" w:hint="eastAsia"/>
          <w:color w:val="333333"/>
          <w:sz w:val="31"/>
          <w:szCs w:val="31"/>
          <w:shd w:val="clear" w:color="auto" w:fill="FFFFFF"/>
        </w:rPr>
        <w:t xml:space="preserve"> </w:t>
      </w:r>
    </w:p>
    <w:p w:rsidR="00811871" w:rsidRDefault="00DF281A">
      <w:pPr>
        <w:spacing w:line="590" w:lineRule="exact"/>
        <w:ind w:firstLineChars="200" w:firstLine="640"/>
        <w:rPr>
          <w:rFonts w:ascii="楷体_GB2312" w:eastAsia="楷体_GB2312" w:hAnsi="黑体"/>
          <w:szCs w:val="32"/>
        </w:rPr>
      </w:pPr>
      <w:r>
        <w:rPr>
          <w:rFonts w:ascii="楷体_GB2312" w:eastAsia="楷体_GB2312" w:hAnsi="黑体" w:hint="eastAsia"/>
          <w:szCs w:val="32"/>
        </w:rPr>
        <w:t>（二）改进措施</w:t>
      </w:r>
    </w:p>
    <w:p w:rsidR="00811871" w:rsidRDefault="00DF281A">
      <w:pPr>
        <w:spacing w:line="590" w:lineRule="exact"/>
        <w:ind w:firstLineChars="200" w:firstLine="640"/>
        <w:rPr>
          <w:rFonts w:eastAsia="仿宋_GB2312"/>
          <w:szCs w:val="32"/>
        </w:rPr>
      </w:pPr>
      <w:r>
        <w:rPr>
          <w:rFonts w:eastAsia="仿宋_GB2312" w:hint="eastAsia"/>
          <w:szCs w:val="32"/>
        </w:rPr>
        <w:t>一是进一步提高认识，切实加强对《条例》的学习宣传。</w:t>
      </w:r>
      <w:r>
        <w:rPr>
          <w:rFonts w:eastAsia="仿宋_GB2312" w:hint="eastAsia"/>
          <w:szCs w:val="32"/>
        </w:rPr>
        <w:t>将政务公开作为重要工作内容，认真抓好落实，进一步提高干部职工的思想认识，不断增强做好政务公开工作的责任感和使命感。</w:t>
      </w:r>
      <w:r>
        <w:rPr>
          <w:rFonts w:eastAsia="仿宋_GB2312" w:hint="eastAsia"/>
          <w:szCs w:val="32"/>
        </w:rPr>
        <w:t xml:space="preserve"> </w:t>
      </w:r>
    </w:p>
    <w:p w:rsidR="00811871" w:rsidRDefault="00DF281A">
      <w:pPr>
        <w:spacing w:line="590" w:lineRule="exact"/>
        <w:ind w:firstLineChars="200" w:firstLine="640"/>
        <w:rPr>
          <w:rFonts w:eastAsia="仿宋_GB2312"/>
          <w:szCs w:val="32"/>
        </w:rPr>
      </w:pPr>
      <w:r>
        <w:rPr>
          <w:rFonts w:eastAsia="仿宋_GB2312" w:hint="eastAsia"/>
          <w:szCs w:val="32"/>
        </w:rPr>
        <w:t>二是充实公开内容，按照“以公开为原则，不公开为例外”的总体要求，进一步做好公开和不</w:t>
      </w:r>
      <w:r>
        <w:rPr>
          <w:rFonts w:eastAsia="仿宋_GB2312" w:hint="eastAsia"/>
          <w:szCs w:val="32"/>
        </w:rPr>
        <w:t>予公开两类信息的界定。按照《条例》规定，加强对公众关注度高的信息的梳理，及时公开政务信息，</w:t>
      </w:r>
      <w:r>
        <w:rPr>
          <w:rFonts w:eastAsia="仿宋_GB2312" w:hint="eastAsia"/>
          <w:szCs w:val="32"/>
        </w:rPr>
        <w:t>做到</w:t>
      </w:r>
      <w:r>
        <w:rPr>
          <w:rFonts w:eastAsia="仿宋_GB2312" w:hint="eastAsia"/>
          <w:szCs w:val="32"/>
        </w:rPr>
        <w:t>公开内容</w:t>
      </w:r>
      <w:r>
        <w:rPr>
          <w:rFonts w:eastAsia="仿宋_GB2312" w:hint="eastAsia"/>
          <w:szCs w:val="32"/>
        </w:rPr>
        <w:t>真实、具体、全面。</w:t>
      </w:r>
    </w:p>
    <w:p w:rsidR="00811871" w:rsidRDefault="00DF281A">
      <w:pPr>
        <w:spacing w:line="590" w:lineRule="exact"/>
        <w:ind w:firstLineChars="200" w:firstLine="640"/>
        <w:rPr>
          <w:rFonts w:eastAsia="仿宋_GB2312"/>
          <w:szCs w:val="32"/>
        </w:rPr>
      </w:pPr>
      <w:r>
        <w:rPr>
          <w:rFonts w:eastAsia="仿宋_GB2312" w:hint="eastAsia"/>
          <w:szCs w:val="32"/>
        </w:rPr>
        <w:t>三是做好补差补缺，对照政府信息公开要求，对未</w:t>
      </w:r>
      <w:r>
        <w:rPr>
          <w:rFonts w:eastAsia="仿宋_GB2312" w:hint="eastAsia"/>
          <w:szCs w:val="32"/>
        </w:rPr>
        <w:t>及时公开的</w:t>
      </w:r>
      <w:r>
        <w:rPr>
          <w:rFonts w:eastAsia="仿宋_GB2312" w:hint="eastAsia"/>
          <w:szCs w:val="32"/>
        </w:rPr>
        <w:t>信息进行自查，</w:t>
      </w:r>
      <w:r>
        <w:rPr>
          <w:rFonts w:eastAsia="仿宋_GB2312" w:hint="eastAsia"/>
          <w:szCs w:val="32"/>
        </w:rPr>
        <w:t>完善相应栏目和相关内容。</w:t>
      </w:r>
      <w:bookmarkEnd w:id="0"/>
      <w:r>
        <w:rPr>
          <w:rFonts w:eastAsia="仿宋_GB2312" w:hint="eastAsia"/>
          <w:szCs w:val="32"/>
        </w:rPr>
        <w:t xml:space="preserve"> </w:t>
      </w:r>
    </w:p>
    <w:p w:rsidR="00811871" w:rsidRDefault="00DF281A">
      <w:pPr>
        <w:spacing w:line="590" w:lineRule="exact"/>
        <w:ind w:firstLineChars="200" w:firstLine="640"/>
        <w:rPr>
          <w:rFonts w:ascii="黑体" w:eastAsia="黑体" w:hAnsi="黑体"/>
          <w:szCs w:val="32"/>
        </w:rPr>
      </w:pPr>
      <w:r>
        <w:rPr>
          <w:rFonts w:ascii="黑体" w:eastAsia="黑体" w:hAnsi="黑体" w:hint="eastAsia"/>
          <w:szCs w:val="32"/>
        </w:rPr>
        <w:t>六、其他需要报告的事项</w:t>
      </w:r>
    </w:p>
    <w:p w:rsidR="00811871" w:rsidRDefault="00DF281A">
      <w:pPr>
        <w:spacing w:line="590" w:lineRule="exact"/>
        <w:ind w:firstLineChars="200" w:firstLine="640"/>
        <w:rPr>
          <w:rFonts w:ascii="楷体_GB2312" w:eastAsia="楷体_GB2312" w:hAnsi="黑体"/>
          <w:szCs w:val="32"/>
        </w:rPr>
      </w:pPr>
      <w:r>
        <w:rPr>
          <w:rFonts w:ascii="楷体_GB2312" w:eastAsia="楷体_GB2312" w:hAnsi="黑体" w:hint="eastAsia"/>
          <w:szCs w:val="32"/>
        </w:rPr>
        <w:t>（一）政府信息公开信息处理费收取情况</w:t>
      </w:r>
    </w:p>
    <w:p w:rsidR="00811871" w:rsidRDefault="00DF281A">
      <w:pPr>
        <w:spacing w:line="590" w:lineRule="exact"/>
        <w:ind w:firstLineChars="200" w:firstLine="640"/>
        <w:rPr>
          <w:rFonts w:ascii="仿宋_GB2312" w:eastAsia="仿宋_GB2312"/>
          <w:szCs w:val="32"/>
        </w:rPr>
      </w:pPr>
      <w:r>
        <w:rPr>
          <w:rFonts w:ascii="仿宋_GB2312" w:eastAsia="仿宋_GB2312" w:hint="eastAsia"/>
          <w:szCs w:val="32"/>
        </w:rPr>
        <w:lastRenderedPageBreak/>
        <w:t>本机关依申请提供政府信息，根据《国务院办公厅关于印发</w:t>
      </w:r>
      <w:r>
        <w:rPr>
          <w:rFonts w:ascii="仿宋_GB2312" w:eastAsia="仿宋_GB2312" w:hint="eastAsia"/>
          <w:szCs w:val="32"/>
        </w:rPr>
        <w:t>&lt;</w:t>
      </w:r>
      <w:r>
        <w:rPr>
          <w:rFonts w:ascii="仿宋_GB2312" w:eastAsia="仿宋_GB2312" w:hint="eastAsia"/>
          <w:szCs w:val="32"/>
        </w:rPr>
        <w:t>政府信息公开信息处理费管理办法</w:t>
      </w:r>
      <w:r>
        <w:rPr>
          <w:rFonts w:ascii="仿宋_GB2312" w:eastAsia="仿宋_GB2312" w:hint="eastAsia"/>
          <w:szCs w:val="32"/>
        </w:rPr>
        <w:t>&gt;</w:t>
      </w:r>
      <w:r>
        <w:rPr>
          <w:rFonts w:ascii="仿宋_GB2312" w:eastAsia="仿宋_GB2312" w:hint="eastAsia"/>
          <w:szCs w:val="32"/>
        </w:rPr>
        <w:t>的通知》（国办函〔</w:t>
      </w:r>
      <w:r>
        <w:rPr>
          <w:rFonts w:ascii="仿宋_GB2312" w:eastAsia="仿宋_GB2312" w:hint="eastAsia"/>
          <w:szCs w:val="32"/>
        </w:rPr>
        <w:t>2020</w:t>
      </w:r>
      <w:r>
        <w:rPr>
          <w:rFonts w:ascii="仿宋_GB2312" w:eastAsia="仿宋_GB2312" w:hint="eastAsia"/>
          <w:szCs w:val="32"/>
        </w:rPr>
        <w:t>〕</w:t>
      </w:r>
      <w:r>
        <w:rPr>
          <w:rFonts w:ascii="仿宋_GB2312" w:eastAsia="仿宋_GB2312" w:hint="eastAsia"/>
          <w:szCs w:val="32"/>
        </w:rPr>
        <w:t>109</w:t>
      </w:r>
      <w:r>
        <w:rPr>
          <w:rFonts w:ascii="仿宋_GB2312" w:eastAsia="仿宋_GB2312" w:hint="eastAsia"/>
          <w:szCs w:val="32"/>
        </w:rPr>
        <w:t>号）和《山东省人民政府办公厅关于做好政府信息公开信息处理费管理工作有关事项的通知》（鲁政办字〔</w:t>
      </w:r>
      <w:r>
        <w:rPr>
          <w:rFonts w:ascii="仿宋_GB2312" w:eastAsia="仿宋_GB2312" w:hint="eastAsia"/>
          <w:szCs w:val="32"/>
        </w:rPr>
        <w:t>2020</w:t>
      </w:r>
      <w:r>
        <w:rPr>
          <w:rFonts w:ascii="仿宋_GB2312" w:eastAsia="仿宋_GB2312" w:hint="eastAsia"/>
          <w:szCs w:val="32"/>
        </w:rPr>
        <w:t>〕</w:t>
      </w:r>
      <w:r>
        <w:rPr>
          <w:rFonts w:ascii="仿宋_GB2312" w:eastAsia="仿宋_GB2312" w:hint="eastAsia"/>
          <w:szCs w:val="32"/>
        </w:rPr>
        <w:t>179</w:t>
      </w:r>
      <w:r>
        <w:rPr>
          <w:rFonts w:ascii="仿宋_GB2312" w:eastAsia="仿宋_GB2312" w:hint="eastAsia"/>
          <w:szCs w:val="32"/>
        </w:rPr>
        <w:t>号）收取信息处理费。</w:t>
      </w:r>
      <w:r>
        <w:rPr>
          <w:rFonts w:ascii="仿宋_GB2312" w:eastAsia="仿宋_GB2312" w:hint="eastAsia"/>
          <w:szCs w:val="32"/>
        </w:rPr>
        <w:t>2022</w:t>
      </w:r>
      <w:r>
        <w:rPr>
          <w:rFonts w:ascii="仿宋_GB2312" w:eastAsia="仿宋_GB2312" w:hint="eastAsia"/>
          <w:szCs w:val="32"/>
        </w:rPr>
        <w:t>年本机关依申请公开政府信息未收取任何费用。</w:t>
      </w:r>
    </w:p>
    <w:p w:rsidR="00811871" w:rsidRDefault="00DF281A">
      <w:pPr>
        <w:spacing w:line="590" w:lineRule="exact"/>
        <w:ind w:firstLineChars="200" w:firstLine="640"/>
        <w:rPr>
          <w:rFonts w:ascii="楷体_GB2312" w:eastAsia="楷体_GB2312" w:hAnsi="黑体"/>
          <w:szCs w:val="32"/>
        </w:rPr>
      </w:pPr>
      <w:r>
        <w:rPr>
          <w:rFonts w:ascii="楷体_GB2312" w:eastAsia="楷体_GB2312" w:hAnsi="黑体" w:hint="eastAsia"/>
          <w:szCs w:val="32"/>
        </w:rPr>
        <w:t>（二）落实上级年度政务公开工作要点</w:t>
      </w:r>
      <w:r>
        <w:rPr>
          <w:rFonts w:ascii="楷体_GB2312" w:eastAsia="楷体_GB2312" w:hAnsi="黑体" w:hint="eastAsia"/>
          <w:szCs w:val="32"/>
        </w:rPr>
        <w:t>情况</w:t>
      </w:r>
    </w:p>
    <w:p w:rsidR="00811871" w:rsidRDefault="00DF281A">
      <w:pPr>
        <w:spacing w:line="590" w:lineRule="exact"/>
        <w:ind w:firstLineChars="200" w:firstLine="640"/>
        <w:rPr>
          <w:rFonts w:ascii="仿宋_GB2312" w:eastAsia="仿宋_GB2312"/>
          <w:szCs w:val="32"/>
        </w:rPr>
      </w:pPr>
      <w:r>
        <w:rPr>
          <w:rFonts w:ascii="仿宋_GB2312" w:eastAsia="仿宋_GB2312" w:hint="eastAsia"/>
          <w:szCs w:val="32"/>
        </w:rPr>
        <w:t>本机关严格落实《国务院办公厅关于印发</w:t>
      </w:r>
      <w:r>
        <w:rPr>
          <w:rFonts w:ascii="仿宋_GB2312" w:eastAsia="仿宋_GB2312" w:hint="eastAsia"/>
          <w:szCs w:val="32"/>
        </w:rPr>
        <w:t>2022</w:t>
      </w:r>
      <w:r>
        <w:rPr>
          <w:rFonts w:ascii="仿宋_GB2312" w:eastAsia="仿宋_GB2312" w:hint="eastAsia"/>
          <w:szCs w:val="32"/>
        </w:rPr>
        <w:t>年政务公开工作要点的通知》《山东省人民政府办公厅关于印发</w:t>
      </w:r>
      <w:r>
        <w:rPr>
          <w:rFonts w:ascii="仿宋_GB2312" w:eastAsia="仿宋_GB2312" w:hint="eastAsia"/>
          <w:szCs w:val="32"/>
        </w:rPr>
        <w:t>2022</w:t>
      </w:r>
      <w:r>
        <w:rPr>
          <w:rFonts w:ascii="仿宋_GB2312" w:eastAsia="仿宋_GB2312" w:hint="eastAsia"/>
          <w:szCs w:val="32"/>
        </w:rPr>
        <w:t>年山东省政务公开工作要点的通知》，以及《淄博市人民政府办公室关于印发</w:t>
      </w:r>
      <w:r>
        <w:rPr>
          <w:rFonts w:ascii="仿宋_GB2312" w:eastAsia="仿宋_GB2312" w:hint="eastAsia"/>
          <w:szCs w:val="32"/>
        </w:rPr>
        <w:t>2022</w:t>
      </w:r>
      <w:r>
        <w:rPr>
          <w:rFonts w:ascii="仿宋_GB2312" w:eastAsia="仿宋_GB2312" w:hint="eastAsia"/>
          <w:szCs w:val="32"/>
        </w:rPr>
        <w:t>年淄博市政务公开工作方案的通知》《高青县人民政府办公室关于印发</w:t>
      </w:r>
      <w:r>
        <w:rPr>
          <w:rFonts w:ascii="仿宋_GB2312" w:eastAsia="仿宋_GB2312" w:hint="eastAsia"/>
          <w:szCs w:val="32"/>
        </w:rPr>
        <w:t>2022</w:t>
      </w:r>
      <w:r>
        <w:rPr>
          <w:rFonts w:ascii="仿宋_GB2312" w:eastAsia="仿宋_GB2312" w:hint="eastAsia"/>
          <w:szCs w:val="32"/>
        </w:rPr>
        <w:t>年高青县政务公开工作要点的通知》要求，扎实推进政务公开工作。</w:t>
      </w:r>
    </w:p>
    <w:p w:rsidR="00811871" w:rsidRDefault="00DF281A">
      <w:pPr>
        <w:spacing w:line="590" w:lineRule="exact"/>
        <w:ind w:firstLineChars="200" w:firstLine="640"/>
        <w:rPr>
          <w:rFonts w:ascii="仿宋_GB2312" w:eastAsia="仿宋_GB2312"/>
          <w:szCs w:val="32"/>
        </w:rPr>
      </w:pPr>
      <w:r>
        <w:rPr>
          <w:rFonts w:ascii="仿宋_GB2312" w:eastAsia="仿宋_GB2312" w:hint="eastAsia"/>
          <w:szCs w:val="32"/>
        </w:rPr>
        <w:t>一是及时更新调整了县政府门户网站各相关栏目内容，确保信息公开及时性、规范性。严格规范版面编排，尽力提高信息公开质量，维护政府网站的信息权威性和严肃性。二是不断优化政务服务与信息公开，在“高青</w:t>
      </w:r>
      <w:r>
        <w:rPr>
          <w:rFonts w:ascii="仿宋_GB2312" w:eastAsia="仿宋_GB2312" w:hint="eastAsia"/>
          <w:szCs w:val="32"/>
        </w:rPr>
        <w:t>审计”公众号中及时发布和转载工作动态，完善、丰富信息内容。三是</w:t>
      </w:r>
      <w:r>
        <w:rPr>
          <w:rFonts w:eastAsia="仿宋_GB2312"/>
          <w:szCs w:val="32"/>
        </w:rPr>
        <w:t>202</w:t>
      </w:r>
      <w:r>
        <w:rPr>
          <w:rFonts w:eastAsia="仿宋_GB2312" w:hint="eastAsia"/>
          <w:szCs w:val="32"/>
        </w:rPr>
        <w:t>2</w:t>
      </w:r>
      <w:r>
        <w:rPr>
          <w:rFonts w:eastAsia="仿宋_GB2312"/>
          <w:szCs w:val="32"/>
        </w:rPr>
        <w:t>年组织召开政务公开工作推进会，</w:t>
      </w:r>
      <w:r>
        <w:rPr>
          <w:rFonts w:eastAsia="仿宋_GB2312" w:hint="eastAsia"/>
          <w:szCs w:val="32"/>
        </w:rPr>
        <w:t>研究考核指标体系内容，</w:t>
      </w:r>
      <w:r>
        <w:rPr>
          <w:rFonts w:eastAsia="仿宋_GB2312"/>
          <w:szCs w:val="32"/>
        </w:rPr>
        <w:t>对公开存在的问题要求及时整改，举一反三，确保政府信息高质量公开。</w:t>
      </w:r>
      <w:r>
        <w:rPr>
          <w:rFonts w:ascii="仿宋_GB2312" w:eastAsia="仿宋_GB2312" w:hint="eastAsia"/>
          <w:szCs w:val="32"/>
        </w:rPr>
        <w:t>四是丰富法定公开内容，按照要求及时公开部门预算、部门决算等，按时公开人大建议和政协提案等信息，做到应公开尽公开，及时公开“十四五”发展规划、政府集</w:t>
      </w:r>
      <w:r>
        <w:rPr>
          <w:rFonts w:ascii="仿宋_GB2312" w:eastAsia="仿宋_GB2312" w:hint="eastAsia"/>
          <w:szCs w:val="32"/>
        </w:rPr>
        <w:lastRenderedPageBreak/>
        <w:t>中采购等信息。五是定期开展分析</w:t>
      </w:r>
      <w:proofErr w:type="gramStart"/>
      <w:r>
        <w:rPr>
          <w:rFonts w:ascii="仿宋_GB2312" w:eastAsia="仿宋_GB2312" w:hint="eastAsia"/>
          <w:szCs w:val="32"/>
        </w:rPr>
        <w:t>研</w:t>
      </w:r>
      <w:proofErr w:type="gramEnd"/>
      <w:r>
        <w:rPr>
          <w:rFonts w:ascii="仿宋_GB2312" w:eastAsia="仿宋_GB2312" w:hint="eastAsia"/>
          <w:szCs w:val="32"/>
        </w:rPr>
        <w:t>判和自查自纠，及时查漏补缺，发现问题及时、全面整改，不断提升政府信息公开质量。持续加强日常工作中网站、新媒体管理，防范化解网络安全风险，并将政务公开</w:t>
      </w:r>
      <w:r>
        <w:rPr>
          <w:rFonts w:ascii="仿宋_GB2312" w:eastAsia="仿宋_GB2312" w:hint="eastAsia"/>
          <w:szCs w:val="32"/>
        </w:rPr>
        <w:t>工作纳入局年终绩效考评体系，确保各项责任落地落实。</w:t>
      </w:r>
    </w:p>
    <w:p w:rsidR="00811871" w:rsidRDefault="00DF281A">
      <w:pPr>
        <w:spacing w:line="590" w:lineRule="exact"/>
        <w:ind w:firstLineChars="200" w:firstLine="640"/>
        <w:rPr>
          <w:rFonts w:ascii="楷体_GB2312" w:eastAsia="楷体_GB2312" w:hAnsi="黑体"/>
          <w:szCs w:val="32"/>
        </w:rPr>
      </w:pPr>
      <w:r>
        <w:rPr>
          <w:rFonts w:ascii="楷体_GB2312" w:eastAsia="楷体_GB2312" w:hAnsi="黑体" w:hint="eastAsia"/>
          <w:szCs w:val="32"/>
        </w:rPr>
        <w:t>（三）人大代表建议和政协委员提案办理结果公开情况</w:t>
      </w:r>
    </w:p>
    <w:p w:rsidR="00811871" w:rsidRDefault="00DF281A">
      <w:pPr>
        <w:spacing w:line="590" w:lineRule="exact"/>
        <w:ind w:firstLineChars="200" w:firstLine="640"/>
        <w:rPr>
          <w:rFonts w:ascii="仿宋_GB2312" w:eastAsia="仿宋_GB2312"/>
          <w:szCs w:val="32"/>
        </w:rPr>
      </w:pPr>
      <w:r>
        <w:rPr>
          <w:rFonts w:ascii="仿宋_GB2312" w:eastAsia="仿宋_GB2312" w:hint="eastAsia"/>
          <w:szCs w:val="32"/>
        </w:rPr>
        <w:t>2022</w:t>
      </w:r>
      <w:r>
        <w:rPr>
          <w:rFonts w:ascii="仿宋_GB2312" w:eastAsia="仿宋_GB2312" w:hint="eastAsia"/>
          <w:szCs w:val="32"/>
        </w:rPr>
        <w:t>年，本机关未</w:t>
      </w:r>
      <w:proofErr w:type="gramStart"/>
      <w:r>
        <w:rPr>
          <w:rFonts w:ascii="仿宋_GB2312" w:eastAsia="仿宋_GB2312" w:hint="eastAsia"/>
          <w:szCs w:val="32"/>
        </w:rPr>
        <w:t>承办县</w:t>
      </w:r>
      <w:proofErr w:type="gramEnd"/>
      <w:r>
        <w:rPr>
          <w:rFonts w:ascii="仿宋_GB2312" w:eastAsia="仿宋_GB2312" w:hint="eastAsia"/>
          <w:szCs w:val="32"/>
        </w:rPr>
        <w:t>十八届人大一次会议建议、县政协十五届一次会议提案。</w:t>
      </w:r>
    </w:p>
    <w:p w:rsidR="00811871" w:rsidRDefault="00DF281A">
      <w:pPr>
        <w:spacing w:line="590" w:lineRule="exact"/>
        <w:ind w:firstLineChars="200" w:firstLine="640"/>
        <w:rPr>
          <w:rFonts w:ascii="楷体_GB2312" w:eastAsia="楷体_GB2312" w:hAnsi="黑体"/>
          <w:szCs w:val="32"/>
        </w:rPr>
      </w:pPr>
      <w:r>
        <w:rPr>
          <w:rFonts w:ascii="楷体_GB2312" w:eastAsia="楷体_GB2312" w:hAnsi="黑体" w:hint="eastAsia"/>
          <w:szCs w:val="32"/>
        </w:rPr>
        <w:t>（四）政务公开工作创新情况</w:t>
      </w:r>
    </w:p>
    <w:p w:rsidR="00811871" w:rsidRDefault="00DF281A">
      <w:pPr>
        <w:spacing w:line="590" w:lineRule="exact"/>
        <w:ind w:firstLineChars="200" w:firstLine="640"/>
        <w:rPr>
          <w:rFonts w:ascii="仿宋_GB2312" w:eastAsia="仿宋_GB2312"/>
          <w:szCs w:val="32"/>
        </w:rPr>
      </w:pPr>
      <w:r>
        <w:rPr>
          <w:rFonts w:ascii="仿宋_GB2312" w:eastAsia="仿宋_GB2312" w:hint="eastAsia"/>
          <w:szCs w:val="32"/>
        </w:rPr>
        <w:t>高青县审计局依法全面履行审计监督职责，做好常态化“经济体检”工作，充分发挥审计在党和国家监督体系中的重要作用。一是聚焦主责主业，加大履职信息公开力度。在“政务公开”下设的“审计信息”子栏目中主动公开审计成果，全面及时公开</w:t>
      </w:r>
      <w:r>
        <w:rPr>
          <w:rFonts w:ascii="仿宋_GB2312" w:eastAsia="仿宋_GB2312" w:hint="eastAsia"/>
          <w:szCs w:val="32"/>
        </w:rPr>
        <w:t>2021</w:t>
      </w:r>
      <w:r>
        <w:rPr>
          <w:rFonts w:ascii="仿宋_GB2312" w:eastAsia="仿宋_GB2312" w:hint="eastAsia"/>
          <w:szCs w:val="32"/>
        </w:rPr>
        <w:t>年度县级预算执行和其他财政收支的审计工作报告、</w:t>
      </w:r>
      <w:r>
        <w:rPr>
          <w:rFonts w:ascii="仿宋_GB2312" w:eastAsia="仿宋_GB2312" w:hint="eastAsia"/>
          <w:szCs w:val="32"/>
        </w:rPr>
        <w:t>2020</w:t>
      </w:r>
      <w:r>
        <w:rPr>
          <w:rFonts w:ascii="仿宋_GB2312" w:eastAsia="仿宋_GB2312" w:hint="eastAsia"/>
          <w:szCs w:val="32"/>
        </w:rPr>
        <w:t>年度县级预算执行和其他</w:t>
      </w:r>
      <w:r>
        <w:rPr>
          <w:rFonts w:ascii="仿宋_GB2312" w:eastAsia="仿宋_GB2312" w:hint="eastAsia"/>
          <w:szCs w:val="32"/>
        </w:rPr>
        <w:t>财政收支审计查出问题整改情况的报告、审计结果公告，深化审计工作报告和审计结果公开。二是以审计工作为中心，加强政务信息公开。通过《山东审计简报》发布审计工作信息</w:t>
      </w:r>
      <w:r>
        <w:rPr>
          <w:rFonts w:ascii="仿宋_GB2312" w:eastAsia="仿宋_GB2312" w:hint="eastAsia"/>
          <w:szCs w:val="32"/>
        </w:rPr>
        <w:t>3</w:t>
      </w:r>
      <w:r>
        <w:rPr>
          <w:rFonts w:ascii="仿宋_GB2312" w:eastAsia="仿宋_GB2312" w:hint="eastAsia"/>
          <w:szCs w:val="32"/>
        </w:rPr>
        <w:t>篇，在</w:t>
      </w:r>
      <w:proofErr w:type="gramStart"/>
      <w:r>
        <w:rPr>
          <w:rFonts w:ascii="仿宋_GB2312" w:eastAsia="仿宋_GB2312" w:hint="eastAsia"/>
          <w:szCs w:val="32"/>
        </w:rPr>
        <w:t>微信公众号</w:t>
      </w:r>
      <w:proofErr w:type="gramEnd"/>
      <w:r>
        <w:rPr>
          <w:rFonts w:ascii="仿宋_GB2312" w:eastAsia="仿宋_GB2312" w:hint="eastAsia"/>
          <w:szCs w:val="32"/>
        </w:rPr>
        <w:t>“高青审计”上针对审计工作重点，实时推进审计工作动态公开，公开一线工作动态，推进审计信息公开常态化。</w:t>
      </w:r>
    </w:p>
    <w:p w:rsidR="00811871" w:rsidRDefault="00DF281A">
      <w:pPr>
        <w:spacing w:line="590" w:lineRule="exact"/>
        <w:ind w:firstLineChars="200" w:firstLine="640"/>
        <w:rPr>
          <w:rFonts w:ascii="楷体_GB2312" w:eastAsia="楷体_GB2312" w:hAnsi="黑体"/>
          <w:szCs w:val="32"/>
        </w:rPr>
      </w:pPr>
      <w:r>
        <w:rPr>
          <w:rFonts w:ascii="楷体_GB2312" w:eastAsia="楷体_GB2312" w:hAnsi="黑体" w:hint="eastAsia"/>
          <w:szCs w:val="32"/>
        </w:rPr>
        <w:t>（五）有关数据统计说明</w:t>
      </w:r>
    </w:p>
    <w:p w:rsidR="00811871" w:rsidRDefault="00DF281A">
      <w:pPr>
        <w:spacing w:line="590" w:lineRule="exact"/>
        <w:ind w:firstLineChars="200" w:firstLine="640"/>
        <w:rPr>
          <w:rFonts w:ascii="仿宋_GB2312" w:eastAsia="仿宋_GB2312"/>
          <w:szCs w:val="32"/>
        </w:rPr>
      </w:pPr>
      <w:r>
        <w:rPr>
          <w:rFonts w:ascii="仿宋_GB2312" w:eastAsia="仿宋_GB2312" w:hint="eastAsia"/>
          <w:szCs w:val="32"/>
        </w:rPr>
        <w:t>1.</w:t>
      </w:r>
      <w:r>
        <w:rPr>
          <w:rFonts w:ascii="仿宋_GB2312" w:eastAsia="仿宋_GB2312" w:hint="eastAsia"/>
          <w:szCs w:val="32"/>
        </w:rPr>
        <w:t>报告中所列数据可能因四舍五入原因与数据直接相</w:t>
      </w:r>
      <w:r>
        <w:rPr>
          <w:rFonts w:ascii="仿宋_GB2312" w:eastAsia="仿宋_GB2312" w:hint="eastAsia"/>
          <w:szCs w:val="32"/>
        </w:rPr>
        <w:lastRenderedPageBreak/>
        <w:t>加之和存在尾数差异。</w:t>
      </w:r>
    </w:p>
    <w:p w:rsidR="00811871" w:rsidRDefault="00DF281A">
      <w:pPr>
        <w:spacing w:line="590" w:lineRule="exact"/>
        <w:ind w:firstLineChars="200" w:firstLine="640"/>
        <w:rPr>
          <w:rFonts w:ascii="仿宋_GB2312" w:eastAsia="仿宋_GB2312"/>
          <w:szCs w:val="32"/>
        </w:rPr>
      </w:pPr>
      <w:r>
        <w:rPr>
          <w:rFonts w:ascii="仿宋_GB2312" w:eastAsia="仿宋_GB2312" w:hint="eastAsia"/>
          <w:szCs w:val="32"/>
        </w:rPr>
        <w:t>2.</w:t>
      </w:r>
      <w:r>
        <w:rPr>
          <w:rFonts w:ascii="仿宋_GB2312" w:eastAsia="仿宋_GB2312" w:hint="eastAsia"/>
          <w:szCs w:val="32"/>
        </w:rPr>
        <w:t>行政许可数量、行政处罚和行政强制数量，包括已公开和</w:t>
      </w:r>
      <w:proofErr w:type="gramStart"/>
      <w:r>
        <w:rPr>
          <w:rFonts w:ascii="仿宋_GB2312" w:eastAsia="仿宋_GB2312" w:hint="eastAsia"/>
          <w:szCs w:val="32"/>
        </w:rPr>
        <w:t>依法未</w:t>
      </w:r>
      <w:proofErr w:type="gramEnd"/>
      <w:r>
        <w:rPr>
          <w:rFonts w:ascii="仿宋_GB2312" w:eastAsia="仿宋_GB2312" w:hint="eastAsia"/>
          <w:szCs w:val="32"/>
        </w:rPr>
        <w:t>公开的全部处理决定。</w:t>
      </w:r>
    </w:p>
    <w:p w:rsidR="00811871" w:rsidRDefault="00DF281A">
      <w:pPr>
        <w:spacing w:line="590" w:lineRule="exact"/>
        <w:ind w:firstLineChars="200" w:firstLine="640"/>
        <w:rPr>
          <w:rFonts w:ascii="仿宋_GB2312" w:eastAsia="仿宋_GB2312"/>
          <w:szCs w:val="32"/>
        </w:rPr>
      </w:pPr>
      <w:r>
        <w:rPr>
          <w:rFonts w:ascii="仿宋_GB2312" w:eastAsia="仿宋_GB2312" w:hint="eastAsia"/>
          <w:szCs w:val="32"/>
        </w:rPr>
        <w:t>3.</w:t>
      </w:r>
      <w:r>
        <w:rPr>
          <w:rFonts w:ascii="仿宋_GB2312" w:eastAsia="仿宋_GB2312" w:hint="eastAsia"/>
          <w:szCs w:val="32"/>
        </w:rPr>
        <w:t>行政复议机关作为共同被告的行政诉讼案件，只计算</w:t>
      </w:r>
      <w:proofErr w:type="gramStart"/>
      <w:r>
        <w:rPr>
          <w:rFonts w:ascii="仿宋_GB2312" w:eastAsia="仿宋_GB2312" w:hint="eastAsia"/>
          <w:szCs w:val="32"/>
        </w:rPr>
        <w:t>原行为</w:t>
      </w:r>
      <w:proofErr w:type="gramEnd"/>
      <w:r>
        <w:rPr>
          <w:rFonts w:ascii="仿宋_GB2312" w:eastAsia="仿宋_GB2312" w:hint="eastAsia"/>
          <w:szCs w:val="32"/>
        </w:rPr>
        <w:t>主体的案件数量，不计算行政复议机关的案件数量。</w:t>
      </w:r>
    </w:p>
    <w:p w:rsidR="00811871" w:rsidRDefault="00811871">
      <w:pPr>
        <w:ind w:firstLineChars="200" w:firstLine="640"/>
        <w:jc w:val="left"/>
        <w:rPr>
          <w:rFonts w:ascii="仿宋_GB2312" w:eastAsia="仿宋_GB2312"/>
        </w:rPr>
      </w:pPr>
    </w:p>
    <w:p w:rsidR="00811871" w:rsidRDefault="00811871">
      <w:pPr>
        <w:ind w:firstLineChars="200" w:firstLine="640"/>
        <w:jc w:val="left"/>
        <w:rPr>
          <w:rFonts w:ascii="仿宋_GB2312" w:eastAsia="仿宋_GB2312"/>
        </w:rPr>
      </w:pPr>
    </w:p>
    <w:p w:rsidR="00811871" w:rsidRDefault="00811871">
      <w:pPr>
        <w:ind w:firstLineChars="200" w:firstLine="600"/>
        <w:jc w:val="left"/>
        <w:rPr>
          <w:rFonts w:ascii="楷体_GB2312" w:eastAsia="楷体_GB2312" w:hAnsi="黑体"/>
          <w:sz w:val="30"/>
          <w:szCs w:val="30"/>
        </w:rPr>
      </w:pPr>
    </w:p>
    <w:p w:rsidR="00811871" w:rsidRDefault="00811871">
      <w:pPr>
        <w:spacing w:line="560" w:lineRule="exact"/>
        <w:ind w:firstLineChars="200" w:firstLine="600"/>
        <w:rPr>
          <w:rFonts w:ascii="楷体_GB2312" w:eastAsia="楷体_GB2312" w:hAnsi="黑体"/>
          <w:sz w:val="30"/>
          <w:szCs w:val="30"/>
        </w:rPr>
      </w:pPr>
    </w:p>
    <w:sectPr w:rsidR="008118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auto"/>
    <w:pitch w:val="default"/>
    <w:sig w:usb0="00000000" w:usb1="00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0NDljNmFiMzFkY2ZjZmQ4N2MzMDQyM2Q3NzlkMzMifQ=="/>
  </w:docVars>
  <w:rsids>
    <w:rsidRoot w:val="002E3543"/>
    <w:rsid w:val="B3F6A88D"/>
    <w:rsid w:val="000164E6"/>
    <w:rsid w:val="00024945"/>
    <w:rsid w:val="00110130"/>
    <w:rsid w:val="00117733"/>
    <w:rsid w:val="00121DCF"/>
    <w:rsid w:val="00211942"/>
    <w:rsid w:val="002133C7"/>
    <w:rsid w:val="002E3543"/>
    <w:rsid w:val="003B5255"/>
    <w:rsid w:val="003C5EFC"/>
    <w:rsid w:val="003E75A6"/>
    <w:rsid w:val="00415AB1"/>
    <w:rsid w:val="004622F8"/>
    <w:rsid w:val="004C1750"/>
    <w:rsid w:val="00515DB1"/>
    <w:rsid w:val="00523855"/>
    <w:rsid w:val="00591E5D"/>
    <w:rsid w:val="005C0F41"/>
    <w:rsid w:val="0065765D"/>
    <w:rsid w:val="00673AC7"/>
    <w:rsid w:val="00704FCD"/>
    <w:rsid w:val="00811871"/>
    <w:rsid w:val="008C4ED2"/>
    <w:rsid w:val="009B028C"/>
    <w:rsid w:val="00B75450"/>
    <w:rsid w:val="00BF4983"/>
    <w:rsid w:val="00C542CC"/>
    <w:rsid w:val="00C67940"/>
    <w:rsid w:val="00C73BD0"/>
    <w:rsid w:val="00CC2BE7"/>
    <w:rsid w:val="00CC521B"/>
    <w:rsid w:val="00CD1D00"/>
    <w:rsid w:val="00D520CC"/>
    <w:rsid w:val="00D55FC4"/>
    <w:rsid w:val="00DB5D7B"/>
    <w:rsid w:val="00DF281A"/>
    <w:rsid w:val="00E07CBF"/>
    <w:rsid w:val="00EA0721"/>
    <w:rsid w:val="00EF5607"/>
    <w:rsid w:val="00F33639"/>
    <w:rsid w:val="00FA216A"/>
    <w:rsid w:val="00FD5381"/>
    <w:rsid w:val="0ACB3491"/>
    <w:rsid w:val="0AF5506C"/>
    <w:rsid w:val="0E04632D"/>
    <w:rsid w:val="143441DB"/>
    <w:rsid w:val="29D11B4B"/>
    <w:rsid w:val="30267E8C"/>
    <w:rsid w:val="43B02CF8"/>
    <w:rsid w:val="4CEB3FCF"/>
    <w:rsid w:val="55936E48"/>
    <w:rsid w:val="56353E67"/>
    <w:rsid w:val="6232284C"/>
    <w:rsid w:val="6C165193"/>
    <w:rsid w:val="72A87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5">
    <w:name w:val="Normal (Web)"/>
    <w:basedOn w:val="a"/>
    <w:uiPriority w:val="99"/>
    <w:semiHidden/>
    <w:unhideWhenUsed/>
    <w:qFormat/>
    <w:pPr>
      <w:jc w:val="left"/>
    </w:pPr>
    <w:rPr>
      <w:sz w:val="24"/>
    </w:rPr>
  </w:style>
  <w:style w:type="character" w:styleId="a6">
    <w:name w:val="FollowedHyperlink"/>
    <w:basedOn w:val="a0"/>
    <w:uiPriority w:val="99"/>
    <w:semiHidden/>
    <w:unhideWhenUsed/>
    <w:qFormat/>
    <w:rPr>
      <w:color w:val="333333"/>
      <w:u w:val="none"/>
    </w:rPr>
  </w:style>
  <w:style w:type="character" w:styleId="a7">
    <w:name w:val="Hyperlink"/>
    <w:basedOn w:val="a0"/>
    <w:uiPriority w:val="99"/>
    <w:semiHidden/>
    <w:unhideWhenUsed/>
    <w:qFormat/>
    <w:rPr>
      <w:color w:val="333333"/>
      <w:u w:val="none"/>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3"/>
    <w:uiPriority w:val="99"/>
    <w:qFormat/>
    <w:rPr>
      <w:rFonts w:ascii="Times New Roman" w:eastAsia="方正仿宋_GBK" w:hAnsi="Times New Roman" w:cs="Times New Roman"/>
      <w:snapToGrid w:val="0"/>
      <w:kern w:val="0"/>
      <w:sz w:val="18"/>
      <w:szCs w:val="18"/>
    </w:rPr>
  </w:style>
  <w:style w:type="character" w:customStyle="1" w:styleId="tt1">
    <w:name w:val="tt1"/>
    <w:basedOn w:val="a0"/>
    <w:qFormat/>
    <w:rPr>
      <w:color w:val="6A6A6A"/>
      <w:sz w:val="24"/>
      <w:szCs w:val="24"/>
    </w:rPr>
  </w:style>
  <w:style w:type="character" w:customStyle="1" w:styleId="redwords">
    <w:name w:val="redwords"/>
    <w:basedOn w:val="a0"/>
    <w:qFormat/>
    <w:rPr>
      <w:color w:val="DF3B3E"/>
    </w:rPr>
  </w:style>
  <w:style w:type="character" w:customStyle="1" w:styleId="s5">
    <w:name w:val="s5"/>
    <w:basedOn w:val="a0"/>
    <w:qFormat/>
  </w:style>
  <w:style w:type="character" w:customStyle="1" w:styleId="s3">
    <w:name w:val="s3"/>
    <w:basedOn w:val="a0"/>
    <w:qFormat/>
  </w:style>
  <w:style w:type="character" w:customStyle="1" w:styleId="s2">
    <w:name w:val="s2"/>
    <w:basedOn w:val="a0"/>
    <w:qFormat/>
  </w:style>
  <w:style w:type="character" w:customStyle="1" w:styleId="s21">
    <w:name w:val="s21"/>
    <w:basedOn w:val="a0"/>
    <w:qFormat/>
  </w:style>
  <w:style w:type="character" w:customStyle="1" w:styleId="sp">
    <w:name w:val="sp"/>
    <w:basedOn w:val="a0"/>
    <w:qFormat/>
    <w:rPr>
      <w:color w:val="2BA0EE"/>
    </w:rPr>
  </w:style>
  <w:style w:type="character" w:customStyle="1" w:styleId="yydh-cur">
    <w:name w:val="yydh-cur"/>
    <w:basedOn w:val="a0"/>
    <w:qFormat/>
    <w:rPr>
      <w:b/>
      <w:color w:val="2BA0EE"/>
    </w:rPr>
  </w:style>
  <w:style w:type="character" w:customStyle="1" w:styleId="cur">
    <w:name w:val="cur"/>
    <w:basedOn w:val="a0"/>
    <w:qFormat/>
    <w:rPr>
      <w:shd w:val="clear" w:color="auto" w:fill="FFFFFF"/>
    </w:rPr>
  </w:style>
  <w:style w:type="character" w:customStyle="1" w:styleId="cur1">
    <w:name w:val="cur1"/>
    <w:basedOn w:val="a0"/>
    <w:qFormat/>
    <w:rPr>
      <w:color w:val="FFFFFF"/>
    </w:rPr>
  </w:style>
  <w:style w:type="character" w:customStyle="1" w:styleId="first-child3">
    <w:name w:val="first-child3"/>
    <w:basedOn w:val="a0"/>
    <w:qFormat/>
  </w:style>
  <w:style w:type="character" w:customStyle="1" w:styleId="s1">
    <w:name w:val="s1"/>
    <w:basedOn w:val="a0"/>
    <w:qFormat/>
  </w:style>
  <w:style w:type="character" w:customStyle="1" w:styleId="s11">
    <w:name w:val="s11"/>
    <w:basedOn w:val="a0"/>
    <w:qFormat/>
    <w:rPr>
      <w:color w:val="404040"/>
    </w:rPr>
  </w:style>
  <w:style w:type="character" w:customStyle="1" w:styleId="s4">
    <w:name w:val="s4"/>
    <w:basedOn w:val="a0"/>
    <w:qFormat/>
  </w:style>
  <w:style w:type="character" w:customStyle="1" w:styleId="s41">
    <w:name w:val="s41"/>
    <w:basedOn w:val="a0"/>
    <w:qFormat/>
  </w:style>
  <w:style w:type="character" w:customStyle="1" w:styleId="color-green">
    <w:name w:val="color-green"/>
    <w:basedOn w:val="a0"/>
    <w:qFormat/>
    <w:rPr>
      <w:color w:val="18C851"/>
    </w:rPr>
  </w:style>
  <w:style w:type="character" w:customStyle="1" w:styleId="s6">
    <w:name w:val="s6"/>
    <w:basedOn w:val="a0"/>
    <w:qFormat/>
  </w:style>
  <w:style w:type="character" w:customStyle="1" w:styleId="s61">
    <w:name w:val="s61"/>
    <w:basedOn w:val="a0"/>
    <w:qFormat/>
  </w:style>
  <w:style w:type="character" w:customStyle="1" w:styleId="color-yellow">
    <w:name w:val="color-yellow"/>
    <w:basedOn w:val="a0"/>
    <w:qFormat/>
    <w:rPr>
      <w:color w:val="FEBA3F"/>
    </w:rPr>
  </w:style>
  <w:style w:type="character" w:customStyle="1" w:styleId="yanzheng">
    <w:name w:val="yanzheng"/>
    <w:basedOn w:val="a0"/>
    <w:qFormat/>
  </w:style>
  <w:style w:type="character" w:customStyle="1" w:styleId="hover17">
    <w:name w:val="hover17"/>
    <w:basedOn w:val="a0"/>
    <w:qFormat/>
    <w:rPr>
      <w:b/>
      <w:color w:val="2BA0E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5">
    <w:name w:val="Normal (Web)"/>
    <w:basedOn w:val="a"/>
    <w:uiPriority w:val="99"/>
    <w:semiHidden/>
    <w:unhideWhenUsed/>
    <w:qFormat/>
    <w:pPr>
      <w:jc w:val="left"/>
    </w:pPr>
    <w:rPr>
      <w:sz w:val="24"/>
    </w:rPr>
  </w:style>
  <w:style w:type="character" w:styleId="a6">
    <w:name w:val="FollowedHyperlink"/>
    <w:basedOn w:val="a0"/>
    <w:uiPriority w:val="99"/>
    <w:semiHidden/>
    <w:unhideWhenUsed/>
    <w:qFormat/>
    <w:rPr>
      <w:color w:val="333333"/>
      <w:u w:val="none"/>
    </w:rPr>
  </w:style>
  <w:style w:type="character" w:styleId="a7">
    <w:name w:val="Hyperlink"/>
    <w:basedOn w:val="a0"/>
    <w:uiPriority w:val="99"/>
    <w:semiHidden/>
    <w:unhideWhenUsed/>
    <w:qFormat/>
    <w:rPr>
      <w:color w:val="333333"/>
      <w:u w:val="none"/>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3"/>
    <w:uiPriority w:val="99"/>
    <w:qFormat/>
    <w:rPr>
      <w:rFonts w:ascii="Times New Roman" w:eastAsia="方正仿宋_GBK" w:hAnsi="Times New Roman" w:cs="Times New Roman"/>
      <w:snapToGrid w:val="0"/>
      <w:kern w:val="0"/>
      <w:sz w:val="18"/>
      <w:szCs w:val="18"/>
    </w:rPr>
  </w:style>
  <w:style w:type="character" w:customStyle="1" w:styleId="tt1">
    <w:name w:val="tt1"/>
    <w:basedOn w:val="a0"/>
    <w:qFormat/>
    <w:rPr>
      <w:color w:val="6A6A6A"/>
      <w:sz w:val="24"/>
      <w:szCs w:val="24"/>
    </w:rPr>
  </w:style>
  <w:style w:type="character" w:customStyle="1" w:styleId="redwords">
    <w:name w:val="redwords"/>
    <w:basedOn w:val="a0"/>
    <w:qFormat/>
    <w:rPr>
      <w:color w:val="DF3B3E"/>
    </w:rPr>
  </w:style>
  <w:style w:type="character" w:customStyle="1" w:styleId="s5">
    <w:name w:val="s5"/>
    <w:basedOn w:val="a0"/>
    <w:qFormat/>
  </w:style>
  <w:style w:type="character" w:customStyle="1" w:styleId="s3">
    <w:name w:val="s3"/>
    <w:basedOn w:val="a0"/>
    <w:qFormat/>
  </w:style>
  <w:style w:type="character" w:customStyle="1" w:styleId="s2">
    <w:name w:val="s2"/>
    <w:basedOn w:val="a0"/>
    <w:qFormat/>
  </w:style>
  <w:style w:type="character" w:customStyle="1" w:styleId="s21">
    <w:name w:val="s21"/>
    <w:basedOn w:val="a0"/>
    <w:qFormat/>
  </w:style>
  <w:style w:type="character" w:customStyle="1" w:styleId="sp">
    <w:name w:val="sp"/>
    <w:basedOn w:val="a0"/>
    <w:qFormat/>
    <w:rPr>
      <w:color w:val="2BA0EE"/>
    </w:rPr>
  </w:style>
  <w:style w:type="character" w:customStyle="1" w:styleId="yydh-cur">
    <w:name w:val="yydh-cur"/>
    <w:basedOn w:val="a0"/>
    <w:qFormat/>
    <w:rPr>
      <w:b/>
      <w:color w:val="2BA0EE"/>
    </w:rPr>
  </w:style>
  <w:style w:type="character" w:customStyle="1" w:styleId="cur">
    <w:name w:val="cur"/>
    <w:basedOn w:val="a0"/>
    <w:qFormat/>
    <w:rPr>
      <w:shd w:val="clear" w:color="auto" w:fill="FFFFFF"/>
    </w:rPr>
  </w:style>
  <w:style w:type="character" w:customStyle="1" w:styleId="cur1">
    <w:name w:val="cur1"/>
    <w:basedOn w:val="a0"/>
    <w:qFormat/>
    <w:rPr>
      <w:color w:val="FFFFFF"/>
    </w:rPr>
  </w:style>
  <w:style w:type="character" w:customStyle="1" w:styleId="first-child3">
    <w:name w:val="first-child3"/>
    <w:basedOn w:val="a0"/>
    <w:qFormat/>
  </w:style>
  <w:style w:type="character" w:customStyle="1" w:styleId="s1">
    <w:name w:val="s1"/>
    <w:basedOn w:val="a0"/>
    <w:qFormat/>
  </w:style>
  <w:style w:type="character" w:customStyle="1" w:styleId="s11">
    <w:name w:val="s11"/>
    <w:basedOn w:val="a0"/>
    <w:qFormat/>
    <w:rPr>
      <w:color w:val="404040"/>
    </w:rPr>
  </w:style>
  <w:style w:type="character" w:customStyle="1" w:styleId="s4">
    <w:name w:val="s4"/>
    <w:basedOn w:val="a0"/>
    <w:qFormat/>
  </w:style>
  <w:style w:type="character" w:customStyle="1" w:styleId="s41">
    <w:name w:val="s41"/>
    <w:basedOn w:val="a0"/>
    <w:qFormat/>
  </w:style>
  <w:style w:type="character" w:customStyle="1" w:styleId="color-green">
    <w:name w:val="color-green"/>
    <w:basedOn w:val="a0"/>
    <w:qFormat/>
    <w:rPr>
      <w:color w:val="18C851"/>
    </w:rPr>
  </w:style>
  <w:style w:type="character" w:customStyle="1" w:styleId="s6">
    <w:name w:val="s6"/>
    <w:basedOn w:val="a0"/>
    <w:qFormat/>
  </w:style>
  <w:style w:type="character" w:customStyle="1" w:styleId="s61">
    <w:name w:val="s61"/>
    <w:basedOn w:val="a0"/>
    <w:qFormat/>
  </w:style>
  <w:style w:type="character" w:customStyle="1" w:styleId="color-yellow">
    <w:name w:val="color-yellow"/>
    <w:basedOn w:val="a0"/>
    <w:qFormat/>
    <w:rPr>
      <w:color w:val="FEBA3F"/>
    </w:rPr>
  </w:style>
  <w:style w:type="character" w:customStyle="1" w:styleId="yanzheng">
    <w:name w:val="yanzheng"/>
    <w:basedOn w:val="a0"/>
    <w:qFormat/>
  </w:style>
  <w:style w:type="character" w:customStyle="1" w:styleId="hover17">
    <w:name w:val="hover17"/>
    <w:basedOn w:val="a0"/>
    <w:qFormat/>
    <w:rPr>
      <w:b/>
      <w:color w:val="2BA0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政府信息主动公开情况</a:t>
            </a:r>
          </a:p>
        </c:rich>
      </c:tx>
      <c:overlay val="0"/>
      <c:spPr>
        <a:noFill/>
        <a:ln>
          <a:noFill/>
        </a:ln>
        <a:effectLst/>
      </c:spPr>
    </c:title>
    <c:autoTitleDeleted val="0"/>
    <c:plotArea>
      <c:layout/>
      <c:pieChart>
        <c:varyColors val="1"/>
        <c:ser>
          <c:idx val="0"/>
          <c:order val="0"/>
          <c:tx>
            <c:strRef>
              <c:f>Sheet1!$B$1</c:f>
              <c:strCache>
                <c:ptCount val="1"/>
                <c:pt idx="0">
                  <c:v>数量</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Pt>
            <c:idx val="10"/>
            <c:bubble3D val="0"/>
            <c:spPr>
              <a:solidFill>
                <a:schemeClr val="accent5">
                  <a:lumMod val="60000"/>
                </a:schemeClr>
              </a:solidFill>
              <a:ln w="19050">
                <a:solidFill>
                  <a:schemeClr val="lt1"/>
                </a:solidFill>
              </a:ln>
              <a:effectLst/>
            </c:spPr>
          </c:dPt>
          <c:dPt>
            <c:idx val="11"/>
            <c:bubble3D val="0"/>
            <c:spPr>
              <a:solidFill>
                <a:schemeClr val="accent6">
                  <a:lumMod val="60000"/>
                </a:schemeClr>
              </a:solidFill>
              <a:ln w="19050">
                <a:solidFill>
                  <a:schemeClr val="lt1"/>
                </a:solidFill>
              </a:ln>
              <a:effectLst/>
            </c:spPr>
          </c:dPt>
          <c:dPt>
            <c:idx val="12"/>
            <c:bubble3D val="0"/>
            <c:spPr>
              <a:solidFill>
                <a:schemeClr val="accent1">
                  <a:lumMod val="80000"/>
                  <a:lumOff val="20000"/>
                </a:schemeClr>
              </a:solidFill>
              <a:ln w="19050">
                <a:solidFill>
                  <a:schemeClr val="lt1"/>
                </a:solidFill>
              </a:ln>
              <a:effectLst/>
            </c:spPr>
          </c:dPt>
          <c:dPt>
            <c:idx val="13"/>
            <c:bubble3D val="0"/>
            <c:spPr>
              <a:solidFill>
                <a:schemeClr val="accent2">
                  <a:lumMod val="80000"/>
                  <a:lumOff val="20000"/>
                </a:schemeClr>
              </a:solidFill>
              <a:ln w="19050">
                <a:solidFill>
                  <a:schemeClr val="lt1"/>
                </a:solidFill>
              </a:ln>
              <a:effectLst/>
            </c:spPr>
          </c:dPt>
          <c:cat>
            <c:strRef>
              <c:f>Sheet1!$A$2:$A$15</c:f>
              <c:strCache>
                <c:ptCount val="14"/>
                <c:pt idx="0">
                  <c:v>机构职能</c:v>
                </c:pt>
                <c:pt idx="1">
                  <c:v>部门文件及解读</c:v>
                </c:pt>
                <c:pt idx="2">
                  <c:v>审计信息</c:v>
                </c:pt>
                <c:pt idx="3">
                  <c:v>重要部署执行</c:v>
                </c:pt>
                <c:pt idx="4">
                  <c:v>建议提案办理</c:v>
                </c:pt>
                <c:pt idx="5">
                  <c:v>财政信息</c:v>
                </c:pt>
                <c:pt idx="6">
                  <c:v>行政执法公示</c:v>
                </c:pt>
                <c:pt idx="7">
                  <c:v>主动公开基本目录</c:v>
                </c:pt>
                <c:pt idx="8">
                  <c:v>组织管理</c:v>
                </c:pt>
                <c:pt idx="9">
                  <c:v>政府信息公开指南</c:v>
                </c:pt>
                <c:pt idx="10">
                  <c:v>信息公开工作年度报告</c:v>
                </c:pt>
                <c:pt idx="11">
                  <c:v>政府会议</c:v>
                </c:pt>
                <c:pt idx="12">
                  <c:v>法治政府建设</c:v>
                </c:pt>
                <c:pt idx="13">
                  <c:v>规划计划</c:v>
                </c:pt>
              </c:strCache>
            </c:strRef>
          </c:cat>
          <c:val>
            <c:numRef>
              <c:f>Sheet1!$B$2:$B$15</c:f>
              <c:numCache>
                <c:formatCode>General</c:formatCode>
                <c:ptCount val="14"/>
                <c:pt idx="0">
                  <c:v>1</c:v>
                </c:pt>
                <c:pt idx="1">
                  <c:v>3</c:v>
                </c:pt>
                <c:pt idx="2">
                  <c:v>4</c:v>
                </c:pt>
                <c:pt idx="3">
                  <c:v>8</c:v>
                </c:pt>
                <c:pt idx="4">
                  <c:v>1</c:v>
                </c:pt>
                <c:pt idx="5">
                  <c:v>5</c:v>
                </c:pt>
                <c:pt idx="6">
                  <c:v>8</c:v>
                </c:pt>
                <c:pt idx="7">
                  <c:v>1</c:v>
                </c:pt>
                <c:pt idx="8">
                  <c:v>6</c:v>
                </c:pt>
                <c:pt idx="9">
                  <c:v>1</c:v>
                </c:pt>
                <c:pt idx="10">
                  <c:v>1</c:v>
                </c:pt>
                <c:pt idx="11">
                  <c:v>1</c:v>
                </c:pt>
                <c:pt idx="12">
                  <c:v>1</c:v>
                </c:pt>
                <c:pt idx="13">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650</Words>
  <Characters>3708</Characters>
  <Application>Microsoft Office Word</Application>
  <DocSecurity>0</DocSecurity>
  <Lines>30</Lines>
  <Paragraphs>8</Paragraphs>
  <ScaleCrop>false</ScaleCrop>
  <Company>gq</Company>
  <LinksUpToDate>false</LinksUpToDate>
  <CharactersWithSpaces>4350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20</cp:revision>
  <dcterms:created xsi:type="dcterms:W3CDTF">2022-01-02T09:04:00Z</dcterms:created>
  <dcterms:modified xsi:type="dcterms:W3CDTF">2023-01-20T08:36:00Z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B3F7B8D794FD4D549719E7915DC9CFDB</vt:lpwstr>
  </property>
</Properties>
</file>